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982345</wp:posOffset>
            </wp:positionH>
            <wp:positionV relativeFrom="page">
              <wp:posOffset>154305</wp:posOffset>
            </wp:positionV>
            <wp:extent cx="5584190" cy="72205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t>UNITED STATES</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Washington, D.C. 20549</w:t>
      </w:r>
    </w:p>
    <w:p>
      <w:pPr>
        <w:spacing w:after="0" w:line="72"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FORM 10-Q</w:t>
      </w:r>
    </w:p>
    <w:p>
      <w:pPr>
        <w:spacing w:after="0" w:line="139" w:lineRule="exact"/>
        <w:rPr>
          <w:sz w:val="24"/>
          <w:szCs w:val="24"/>
          <w:color w:val="auto"/>
        </w:rPr>
      </w:pPr>
    </w:p>
    <w:p>
      <w:pPr>
        <w:ind w:left="920"/>
        <w:spacing w:after="0"/>
        <w:rPr>
          <w:sz w:val="20"/>
          <w:szCs w:val="20"/>
          <w:color w:val="auto"/>
        </w:rPr>
      </w:pPr>
      <w:r>
        <w:rPr>
          <w:rFonts w:ascii="Arial" w:cs="Arial" w:eastAsia="Arial" w:hAnsi="Arial"/>
          <w:sz w:val="13"/>
          <w:szCs w:val="13"/>
          <w:b w:val="1"/>
          <w:bCs w:val="1"/>
          <w:color w:val="auto"/>
        </w:rPr>
        <w:t>(Mark One)</w:t>
      </w:r>
    </w:p>
    <w:p>
      <w:pPr>
        <w:spacing w:after="0" w:line="6" w:lineRule="exact"/>
        <w:rPr>
          <w:sz w:val="24"/>
          <w:szCs w:val="24"/>
          <w:color w:val="auto"/>
        </w:rPr>
      </w:pPr>
    </w:p>
    <w:p>
      <w:pPr>
        <w:ind w:left="1160" w:right="1199" w:hanging="304"/>
        <w:spacing w:after="0" w:line="293" w:lineRule="auto"/>
        <w:tabs>
          <w:tab w:leader="none" w:pos="1150" w:val="left"/>
        </w:tabs>
        <w:numPr>
          <w:ilvl w:val="0"/>
          <w:numId w:val="1"/>
        </w:numPr>
        <w:rPr>
          <w:rFonts w:ascii="MS PGothic" w:cs="MS PGothic" w:eastAsia="MS PGothic" w:hAnsi="MS PGothic"/>
          <w:sz w:val="16"/>
          <w:szCs w:val="16"/>
          <w:color w:val="auto"/>
        </w:rPr>
      </w:pPr>
      <w:r>
        <w:rPr>
          <w:rFonts w:ascii="Arial" w:cs="Arial" w:eastAsia="Arial" w:hAnsi="Arial"/>
          <w:sz w:val="17"/>
          <w:szCs w:val="17"/>
          <w:b w:val="1"/>
          <w:bCs w:val="1"/>
          <w:color w:val="auto"/>
        </w:rPr>
        <w:t>QUARTERLY REPORT PURSUANT TO SECTION 13 OR 15(d) OF THE SECURITIES EXCHANGE ACT OF 1934</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 the quarterly period ended June 30, 2024</w:t>
      </w:r>
    </w:p>
    <w:p>
      <w:pPr>
        <w:spacing w:after="0" w:line="108"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OR</w:t>
      </w:r>
    </w:p>
    <w:p>
      <w:pPr>
        <w:spacing w:after="0" w:line="96" w:lineRule="exact"/>
        <w:rPr>
          <w:sz w:val="24"/>
          <w:szCs w:val="24"/>
          <w:color w:val="auto"/>
        </w:rPr>
      </w:pPr>
    </w:p>
    <w:p>
      <w:pPr>
        <w:ind w:left="1160" w:right="1199" w:hanging="304"/>
        <w:spacing w:after="0" w:line="315" w:lineRule="auto"/>
        <w:tabs>
          <w:tab w:leader="none" w:pos="1160" w:val="left"/>
        </w:tabs>
        <w:numPr>
          <w:ilvl w:val="0"/>
          <w:numId w:val="2"/>
        </w:numPr>
        <w:rPr>
          <w:rFonts w:ascii="MS PGothic" w:cs="MS PGothic" w:eastAsia="MS PGothic" w:hAnsi="MS PGothic"/>
          <w:sz w:val="16"/>
          <w:szCs w:val="16"/>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15" w:lineRule="exact"/>
        <w:rPr>
          <w:sz w:val="24"/>
          <w:szCs w:val="24"/>
          <w:color w:val="auto"/>
        </w:rPr>
      </w:pPr>
    </w:p>
    <w:p>
      <w:pPr>
        <w:ind w:left="2720"/>
        <w:spacing w:after="0"/>
        <w:rPr>
          <w:sz w:val="20"/>
          <w:szCs w:val="20"/>
          <w:color w:val="auto"/>
        </w:rPr>
      </w:pPr>
      <w:r>
        <w:rPr>
          <w:rFonts w:ascii="Arial" w:cs="Arial" w:eastAsia="Arial" w:hAnsi="Arial"/>
          <w:sz w:val="13"/>
          <w:szCs w:val="13"/>
          <w:color w:val="auto"/>
        </w:rPr>
        <w:t>For the transition period from ____________ to ____________</w:t>
      </w:r>
    </w:p>
    <w:p>
      <w:pPr>
        <w:spacing w:after="0" w:line="108"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Commission file number 1-12993</w:t>
      </w:r>
    </w:p>
    <w:p>
      <w:pPr>
        <w:spacing w:after="0" w:line="81" w:lineRule="exact"/>
        <w:rPr>
          <w:sz w:val="24"/>
          <w:szCs w:val="24"/>
          <w:color w:val="auto"/>
        </w:rPr>
      </w:pPr>
    </w:p>
    <w:p>
      <w:pPr>
        <w:jc w:val="center"/>
        <w:ind w:right="39"/>
        <w:spacing w:after="0"/>
        <w:rPr>
          <w:sz w:val="20"/>
          <w:szCs w:val="20"/>
          <w:color w:val="auto"/>
        </w:rPr>
      </w:pPr>
      <w:r>
        <w:rPr>
          <w:rFonts w:ascii="Arial" w:cs="Arial" w:eastAsia="Arial" w:hAnsi="Arial"/>
          <w:sz w:val="23"/>
          <w:szCs w:val="23"/>
          <w:b w:val="1"/>
          <w:bCs w:val="1"/>
          <w:color w:val="auto"/>
        </w:rPr>
        <w:t>ALEXANDRIA REAL ESTATE EQUITIES, INC.</w:t>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(Exact name of registrant as specified in its charter)</w:t>
      </w:r>
    </w:p>
    <w:p>
      <w:pPr>
        <w:spacing w:after="0" w:line="46" w:lineRule="exact"/>
        <w:rPr>
          <w:sz w:val="24"/>
          <w:szCs w:val="24"/>
          <w:color w:val="auto"/>
        </w:rPr>
      </w:pPr>
    </w:p>
    <w:tbl>
      <w:tblPr>
        <w:tblLayout w:type="fixed"/>
        <w:tblInd w:w="1580" w:type="dxa"/>
        <w:tblCellMar>
          <w:top w:w="0" w:type="dxa"/>
          <w:left w:w="0" w:type="dxa"/>
          <w:bottom w:w="0" w:type="dxa"/>
          <w:right w:w="0" w:type="dxa"/>
        </w:tblCellMar>
      </w:tblPr>
      <w:tr>
        <w:trPr>
          <w:trHeight w:val="177"/>
        </w:trPr>
        <w:tc>
          <w:tcPr>
            <w:tcW w:w="2600" w:type="dxa"/>
            <w:vAlign w:val="bottom"/>
          </w:tcPr>
          <w:p>
            <w:pPr>
              <w:jc w:val="center"/>
              <w:ind w:right="856"/>
              <w:spacing w:after="0"/>
              <w:rPr>
                <w:sz w:val="20"/>
                <w:szCs w:val="20"/>
                <w:color w:val="auto"/>
              </w:rPr>
            </w:pPr>
            <w:r>
              <w:rPr>
                <w:rFonts w:ascii="Arial" w:cs="Arial" w:eastAsia="Arial" w:hAnsi="Arial"/>
                <w:sz w:val="13"/>
                <w:szCs w:val="13"/>
                <w:b w:val="1"/>
                <w:bCs w:val="1"/>
                <w:color w:val="auto"/>
                <w:w w:val="98"/>
              </w:rPr>
              <w:t>Maryland</w:t>
            </w:r>
          </w:p>
        </w:tc>
        <w:tc>
          <w:tcPr>
            <w:tcW w:w="3160" w:type="dxa"/>
            <w:vAlign w:val="bottom"/>
          </w:tcPr>
          <w:p>
            <w:pPr>
              <w:jc w:val="right"/>
              <w:ind w:right="716"/>
              <w:spacing w:after="0"/>
              <w:rPr>
                <w:sz w:val="20"/>
                <w:szCs w:val="20"/>
                <w:color w:val="auto"/>
              </w:rPr>
            </w:pPr>
            <w:r>
              <w:rPr>
                <w:rFonts w:ascii="Arial" w:cs="Arial" w:eastAsia="Arial" w:hAnsi="Arial"/>
                <w:sz w:val="13"/>
                <w:szCs w:val="13"/>
                <w:b w:val="1"/>
                <w:bCs w:val="1"/>
                <w:color w:val="auto"/>
              </w:rPr>
              <w:t>95-4502084</w:t>
            </w:r>
          </w:p>
        </w:tc>
      </w:tr>
      <w:tr>
        <w:trPr>
          <w:trHeight w:val="156"/>
        </w:trPr>
        <w:tc>
          <w:tcPr>
            <w:tcW w:w="2600" w:type="dxa"/>
            <w:vAlign w:val="bottom"/>
          </w:tcPr>
          <w:p>
            <w:pPr>
              <w:jc w:val="center"/>
              <w:ind w:right="856"/>
              <w:spacing w:after="0"/>
              <w:rPr>
                <w:sz w:val="20"/>
                <w:szCs w:val="20"/>
                <w:color w:val="auto"/>
              </w:rPr>
            </w:pPr>
            <w:r>
              <w:rPr>
                <w:rFonts w:ascii="Arial" w:cs="Arial" w:eastAsia="Arial" w:hAnsi="Arial"/>
                <w:sz w:val="13"/>
                <w:szCs w:val="13"/>
                <w:color w:val="auto"/>
                <w:w w:val="98"/>
              </w:rPr>
              <w:t>(State or other jurisdiction of</w:t>
            </w:r>
          </w:p>
        </w:tc>
        <w:tc>
          <w:tcPr>
            <w:tcW w:w="3160" w:type="dxa"/>
            <w:vAlign w:val="bottom"/>
          </w:tcPr>
          <w:p>
            <w:pPr>
              <w:jc w:val="center"/>
              <w:ind w:left="856"/>
              <w:spacing w:after="0"/>
              <w:rPr>
                <w:sz w:val="20"/>
                <w:szCs w:val="20"/>
                <w:color w:val="auto"/>
              </w:rPr>
            </w:pPr>
            <w:r>
              <w:rPr>
                <w:rFonts w:ascii="Arial" w:cs="Arial" w:eastAsia="Arial" w:hAnsi="Arial"/>
                <w:sz w:val="13"/>
                <w:szCs w:val="13"/>
                <w:color w:val="auto"/>
                <w:w w:val="99"/>
              </w:rPr>
              <w:t>(I.R.S. Employer Identification Number)</w:t>
            </w:r>
          </w:p>
        </w:tc>
      </w:tr>
      <w:tr>
        <w:trPr>
          <w:trHeight w:val="169"/>
        </w:trPr>
        <w:tc>
          <w:tcPr>
            <w:tcW w:w="2600" w:type="dxa"/>
            <w:vAlign w:val="bottom"/>
          </w:tcPr>
          <w:p>
            <w:pPr>
              <w:jc w:val="center"/>
              <w:ind w:right="856"/>
              <w:spacing w:after="0"/>
              <w:rPr>
                <w:sz w:val="20"/>
                <w:szCs w:val="20"/>
                <w:color w:val="auto"/>
              </w:rPr>
            </w:pPr>
            <w:r>
              <w:rPr>
                <w:rFonts w:ascii="Arial" w:cs="Arial" w:eastAsia="Arial" w:hAnsi="Arial"/>
                <w:sz w:val="13"/>
                <w:szCs w:val="13"/>
                <w:color w:val="auto"/>
                <w:w w:val="99"/>
              </w:rPr>
              <w:t>incorporation or organization)</w:t>
            </w:r>
          </w:p>
        </w:tc>
        <w:tc>
          <w:tcPr>
            <w:tcW w:w="3160" w:type="dxa"/>
            <w:vAlign w:val="bottom"/>
          </w:tcPr>
          <w:p>
            <w:pPr>
              <w:spacing w:after="0"/>
              <w:rPr>
                <w:sz w:val="14"/>
                <w:szCs w:val="14"/>
                <w:color w:val="auto"/>
              </w:rPr>
            </w:pPr>
          </w:p>
        </w:tc>
      </w:tr>
    </w:tbl>
    <w:p>
      <w:pPr>
        <w:spacing w:after="0" w:line="57" w:lineRule="exact"/>
        <w:rPr>
          <w:sz w:val="24"/>
          <w:szCs w:val="24"/>
          <w:color w:val="auto"/>
        </w:rPr>
      </w:pPr>
    </w:p>
    <w:p>
      <w:pPr>
        <w:ind w:left="2940"/>
        <w:spacing w:after="0"/>
        <w:rPr>
          <w:sz w:val="20"/>
          <w:szCs w:val="20"/>
          <w:color w:val="auto"/>
        </w:rPr>
      </w:pPr>
      <w:r>
        <w:rPr>
          <w:rFonts w:ascii="Arial" w:cs="Arial" w:eastAsia="Arial" w:hAnsi="Arial"/>
          <w:sz w:val="13"/>
          <w:szCs w:val="13"/>
          <w:b w:val="1"/>
          <w:bCs w:val="1"/>
          <w:color w:val="auto"/>
        </w:rPr>
        <w:t>26 North Euclid Avenue, Pasadena, California 91101</w:t>
      </w:r>
    </w:p>
    <w:p>
      <w:pPr>
        <w:spacing w:after="0" w:line="24" w:lineRule="exact"/>
        <w:rPr>
          <w:sz w:val="24"/>
          <w:szCs w:val="24"/>
          <w:color w:val="auto"/>
        </w:rPr>
      </w:pPr>
    </w:p>
    <w:p>
      <w:pPr>
        <w:ind w:left="3100"/>
        <w:spacing w:after="0"/>
        <w:rPr>
          <w:sz w:val="20"/>
          <w:szCs w:val="20"/>
          <w:color w:val="auto"/>
        </w:rPr>
      </w:pPr>
      <w:r>
        <w:rPr>
          <w:rFonts w:ascii="Arial" w:cs="Arial" w:eastAsia="Arial" w:hAnsi="Arial"/>
          <w:sz w:val="13"/>
          <w:szCs w:val="13"/>
          <w:color w:val="auto"/>
        </w:rPr>
        <w:t>(Address of principal executive offices) (Zip code)</w:t>
      </w:r>
    </w:p>
    <w:p>
      <w:pPr>
        <w:spacing w:after="0" w:line="9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(626) 578-0777</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(Registrant’s telephone number, including area code)</w:t>
      </w:r>
    </w:p>
    <w:p>
      <w:pPr>
        <w:spacing w:after="0" w:line="9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N/A</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(Former name, former address and former fiscal year, if changed since last report)</w:t>
      </w:r>
    </w:p>
    <w:p>
      <w:pPr>
        <w:spacing w:after="0" w:line="96" w:lineRule="exact"/>
        <w:rPr>
          <w:sz w:val="24"/>
          <w:szCs w:val="24"/>
          <w:color w:val="auto"/>
        </w:rPr>
      </w:pPr>
    </w:p>
    <w:p>
      <w:pPr>
        <w:ind w:left="640"/>
        <w:spacing w:after="0"/>
        <w:rPr>
          <w:sz w:val="20"/>
          <w:szCs w:val="20"/>
          <w:color w:val="auto"/>
        </w:rPr>
      </w:pPr>
      <w:r>
        <w:rPr>
          <w:rFonts w:ascii="Arial" w:cs="Arial" w:eastAsia="Arial" w:hAnsi="Arial"/>
          <w:sz w:val="13"/>
          <w:szCs w:val="13"/>
          <w:color w:val="auto"/>
        </w:rPr>
        <w:t>Securities registered pursuant to Section 12(b) of the Exchange Act:</w:t>
      </w:r>
    </w:p>
    <w:p>
      <w:pPr>
        <w:spacing w:after="0" w:line="88" w:lineRule="exact"/>
        <w:rPr>
          <w:sz w:val="24"/>
          <w:szCs w:val="24"/>
          <w:color w:val="auto"/>
        </w:rPr>
      </w:pPr>
    </w:p>
    <w:tbl>
      <w:tblPr>
        <w:tblLayout w:type="fixed"/>
        <w:tblInd w:w="650" w:type="dxa"/>
        <w:tblCellMar>
          <w:top w:w="0" w:type="dxa"/>
          <w:left w:w="0" w:type="dxa"/>
          <w:bottom w:w="0" w:type="dxa"/>
          <w:right w:w="0" w:type="dxa"/>
        </w:tblCellMar>
      </w:tblPr>
      <w:tr>
        <w:trPr>
          <w:trHeight w:val="204"/>
        </w:trPr>
        <w:tc>
          <w:tcPr>
            <w:tcW w:w="34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9"/>
              </w:rPr>
              <w:t>Title of each class</w:t>
            </w:r>
          </w:p>
        </w:tc>
        <w:tc>
          <w:tcPr>
            <w:tcW w:w="15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9"/>
              </w:rPr>
              <w:t>Trading Symbol(s)</w:t>
            </w:r>
          </w:p>
        </w:tc>
        <w:tc>
          <w:tcPr>
            <w:tcW w:w="28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8"/>
              </w:rPr>
              <w:t>Name of each exchange on which registered</w:t>
            </w:r>
          </w:p>
        </w:tc>
      </w:tr>
      <w:tr>
        <w:trPr>
          <w:trHeight w:val="184"/>
        </w:trPr>
        <w:tc>
          <w:tcPr>
            <w:tcW w:w="34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9"/>
              </w:rPr>
              <w:t>Common Stock, $0.01 par value per share</w:t>
            </w: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7"/>
              </w:rPr>
              <w:t>ARE</w:t>
            </w:r>
          </w:p>
        </w:tc>
        <w:tc>
          <w:tcPr>
            <w:tcW w:w="2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8"/>
              </w:rPr>
              <w:t>New York Stock Exchange</w:t>
            </w:r>
          </w:p>
        </w:tc>
      </w:tr>
    </w:tbl>
    <w:p>
      <w:pPr>
        <w:spacing w:after="0" w:line="54" w:lineRule="exact"/>
        <w:rPr>
          <w:sz w:val="24"/>
          <w:szCs w:val="24"/>
          <w:color w:val="auto"/>
        </w:rPr>
      </w:pPr>
    </w:p>
    <w:p>
      <w:pPr>
        <w:jc w:val="both"/>
        <w:ind w:left="640" w:right="779"/>
        <w:spacing w:after="0" w:line="274" w:lineRule="auto"/>
        <w:rPr>
          <w:sz w:val="20"/>
          <w:szCs w:val="20"/>
          <w:color w:val="auto"/>
        </w:rPr>
      </w:pPr>
      <w:r>
        <w:rPr>
          <w:rFonts w:ascii="Arial" w:cs="Arial" w:eastAsia="Arial" w:hAnsi="Arial"/>
          <w:sz w:val="12"/>
          <w:szCs w:val="12"/>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w:t>
      </w:r>
    </w:p>
    <w:p>
      <w:pPr>
        <w:ind w:left="640"/>
        <w:spacing w:after="0" w:line="173" w:lineRule="exact"/>
        <w:rPr>
          <w:sz w:val="20"/>
          <w:szCs w:val="20"/>
          <w:color w:val="auto"/>
        </w:rPr>
      </w:pPr>
      <w:r>
        <w:rPr>
          <w:rFonts w:ascii="Arial" w:cs="Arial" w:eastAsia="Arial" w:hAnsi="Arial"/>
          <w:sz w:val="13"/>
          <w:szCs w:val="13"/>
          <w:color w:val="auto"/>
        </w:rPr>
        <w:t xml:space="preserve">and (2) has been subject to such filing requirements for the past 90 days. Yes </w:t>
      </w:r>
      <w:r>
        <w:rPr>
          <w:rFonts w:ascii="MS PGothic" w:cs="MS PGothic" w:eastAsia="MS PGothic" w:hAnsi="MS PGothic"/>
          <w:sz w:val="15"/>
          <w:szCs w:val="15"/>
          <w:color w:val="auto"/>
        </w:rPr>
        <w:t>☒</w:t>
      </w:r>
      <w:r>
        <w:rPr>
          <w:rFonts w:ascii="Arial" w:cs="Arial" w:eastAsia="Arial" w:hAnsi="Arial"/>
          <w:sz w:val="13"/>
          <w:szCs w:val="13"/>
          <w:color w:val="auto"/>
        </w:rPr>
        <w:t xml:space="preserve"> No </w:t>
      </w:r>
      <w:r>
        <w:rPr>
          <w:rFonts w:ascii="MS PGothic" w:cs="MS PGothic" w:eastAsia="MS PGothic" w:hAnsi="MS PGothic"/>
          <w:sz w:val="15"/>
          <w:szCs w:val="15"/>
          <w:color w:val="auto"/>
        </w:rPr>
        <w:t>☐</w:t>
      </w:r>
    </w:p>
    <w:p>
      <w:pPr>
        <w:spacing w:after="0" w:line="113" w:lineRule="exact"/>
        <w:rPr>
          <w:sz w:val="24"/>
          <w:szCs w:val="24"/>
          <w:color w:val="auto"/>
        </w:rPr>
      </w:pPr>
    </w:p>
    <w:p>
      <w:pPr>
        <w:ind w:left="640" w:right="819"/>
        <w:spacing w:after="0" w:line="274" w:lineRule="auto"/>
        <w:rPr>
          <w:sz w:val="20"/>
          <w:szCs w:val="20"/>
          <w:color w:val="auto"/>
        </w:rPr>
      </w:pPr>
      <w:r>
        <w:rPr>
          <w:rFonts w:ascii="Arial" w:cs="Arial" w:eastAsia="Arial" w:hAnsi="Arial"/>
          <w:sz w:val="12"/>
          <w:szCs w:val="12"/>
          <w:color w:val="auto"/>
        </w:rPr>
        <w:t>Indicate by check mark whether the registrant has submitted electronically every Interactive Data File required to be submitted and posted pursuant to Rule 405 of Regulation S-T (§ 232.405 of this chapter) during the preceding 12 months (or for such shorter period</w:t>
      </w:r>
    </w:p>
    <w:p>
      <w:pPr>
        <w:ind w:left="640"/>
        <w:spacing w:after="0" w:line="173" w:lineRule="exact"/>
        <w:rPr>
          <w:sz w:val="20"/>
          <w:szCs w:val="20"/>
          <w:color w:val="auto"/>
        </w:rPr>
      </w:pPr>
      <w:r>
        <w:rPr>
          <w:rFonts w:ascii="Arial" w:cs="Arial" w:eastAsia="Arial" w:hAnsi="Arial"/>
          <w:sz w:val="13"/>
          <w:szCs w:val="13"/>
          <w:color w:val="auto"/>
        </w:rPr>
        <w:t xml:space="preserve">that the registrant was required to submit and post such files). Yes </w:t>
      </w:r>
      <w:r>
        <w:rPr>
          <w:rFonts w:ascii="MS PGothic" w:cs="MS PGothic" w:eastAsia="MS PGothic" w:hAnsi="MS PGothic"/>
          <w:sz w:val="15"/>
          <w:szCs w:val="15"/>
          <w:color w:val="auto"/>
        </w:rPr>
        <w:t>☒</w:t>
      </w:r>
      <w:r>
        <w:rPr>
          <w:rFonts w:ascii="Arial" w:cs="Arial" w:eastAsia="Arial" w:hAnsi="Arial"/>
          <w:sz w:val="13"/>
          <w:szCs w:val="13"/>
          <w:color w:val="auto"/>
        </w:rPr>
        <w:t xml:space="preserve"> No </w:t>
      </w:r>
      <w:r>
        <w:rPr>
          <w:rFonts w:ascii="MS PGothic" w:cs="MS PGothic" w:eastAsia="MS PGothic" w:hAnsi="MS PGothic"/>
          <w:sz w:val="15"/>
          <w:szCs w:val="15"/>
          <w:color w:val="auto"/>
        </w:rPr>
        <w:t>☐</w:t>
      </w:r>
    </w:p>
    <w:p>
      <w:pPr>
        <w:spacing w:after="0" w:line="113" w:lineRule="exact"/>
        <w:rPr>
          <w:sz w:val="24"/>
          <w:szCs w:val="24"/>
          <w:color w:val="auto"/>
        </w:rPr>
      </w:pPr>
    </w:p>
    <w:p>
      <w:pPr>
        <w:ind w:left="640" w:right="659"/>
        <w:spacing w:after="0" w:line="259"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1600" w:type="dxa"/>
        <w:tblCellMar>
          <w:top w:w="0" w:type="dxa"/>
          <w:left w:w="0" w:type="dxa"/>
          <w:bottom w:w="0" w:type="dxa"/>
          <w:right w:w="0" w:type="dxa"/>
        </w:tblCellMar>
      </w:tblPr>
      <w:tr>
        <w:trPr>
          <w:trHeight w:val="204"/>
        </w:trPr>
        <w:tc>
          <w:tcPr>
            <w:tcW w:w="1300" w:type="dxa"/>
            <w:vAlign w:val="bottom"/>
          </w:tcPr>
          <w:p>
            <w:pPr>
              <w:jc w:val="right"/>
              <w:spacing w:after="0"/>
              <w:rPr>
                <w:sz w:val="20"/>
                <w:szCs w:val="20"/>
                <w:color w:val="auto"/>
              </w:rPr>
            </w:pPr>
            <w:r>
              <w:rPr>
                <w:rFonts w:ascii="Arial" w:cs="Arial" w:eastAsia="Arial" w:hAnsi="Arial"/>
                <w:sz w:val="13"/>
                <w:szCs w:val="13"/>
                <w:color w:val="auto"/>
                <w:w w:val="96"/>
              </w:rPr>
              <w:t>Large accelerated filer</w:t>
            </w:r>
          </w:p>
        </w:tc>
        <w:tc>
          <w:tcPr>
            <w:tcW w:w="1420" w:type="dxa"/>
            <w:vAlign w:val="bottom"/>
          </w:tcPr>
          <w:p>
            <w:pPr>
              <w:ind w:left="40"/>
              <w:spacing w:after="0" w:line="161" w:lineRule="exact"/>
              <w:rPr>
                <w:sz w:val="20"/>
                <w:szCs w:val="20"/>
                <w:color w:val="auto"/>
              </w:rPr>
            </w:pPr>
            <w:r>
              <w:rPr>
                <w:rFonts w:ascii="MS PGothic" w:cs="MS PGothic" w:eastAsia="MS PGothic" w:hAnsi="MS PGothic"/>
                <w:sz w:val="16"/>
                <w:szCs w:val="16"/>
                <w:color w:val="auto"/>
              </w:rPr>
              <w:t>☒</w:t>
            </w:r>
          </w:p>
        </w:tc>
        <w:tc>
          <w:tcPr>
            <w:tcW w:w="2900" w:type="dxa"/>
            <w:vAlign w:val="bottom"/>
          </w:tcPr>
          <w:p>
            <w:pPr>
              <w:ind w:left="1220"/>
              <w:spacing w:after="0"/>
              <w:rPr>
                <w:sz w:val="20"/>
                <w:szCs w:val="20"/>
                <w:color w:val="auto"/>
              </w:rPr>
            </w:pPr>
            <w:r>
              <w:rPr>
                <w:rFonts w:ascii="Arial" w:cs="Arial" w:eastAsia="Arial" w:hAnsi="Arial"/>
                <w:sz w:val="13"/>
                <w:szCs w:val="13"/>
                <w:color w:val="auto"/>
              </w:rPr>
              <w:t>Smaller reporting company</w:t>
            </w:r>
          </w:p>
        </w:tc>
        <w:tc>
          <w:tcPr>
            <w:tcW w:w="260" w:type="dxa"/>
            <w:vAlign w:val="bottom"/>
          </w:tcPr>
          <w:p>
            <w:pPr>
              <w:ind w:left="1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4"/>
        </w:trPr>
        <w:tc>
          <w:tcPr>
            <w:tcW w:w="1300" w:type="dxa"/>
            <w:vAlign w:val="bottom"/>
          </w:tcPr>
          <w:p>
            <w:pPr>
              <w:jc w:val="right"/>
              <w:spacing w:after="0"/>
              <w:rPr>
                <w:sz w:val="20"/>
                <w:szCs w:val="20"/>
                <w:color w:val="auto"/>
              </w:rPr>
            </w:pPr>
            <w:r>
              <w:rPr>
                <w:rFonts w:ascii="Arial" w:cs="Arial" w:eastAsia="Arial" w:hAnsi="Arial"/>
                <w:sz w:val="13"/>
                <w:szCs w:val="13"/>
                <w:color w:val="auto"/>
              </w:rPr>
              <w:t>Accelerated filer</w:t>
            </w:r>
          </w:p>
        </w:tc>
        <w:tc>
          <w:tcPr>
            <w:tcW w:w="1420" w:type="dxa"/>
            <w:vAlign w:val="bottom"/>
          </w:tcPr>
          <w:p>
            <w:pPr>
              <w:ind w:left="40"/>
              <w:spacing w:after="0" w:line="161" w:lineRule="exact"/>
              <w:rPr>
                <w:sz w:val="20"/>
                <w:szCs w:val="20"/>
                <w:color w:val="auto"/>
              </w:rPr>
            </w:pPr>
            <w:r>
              <w:rPr>
                <w:rFonts w:ascii="MS PGothic" w:cs="MS PGothic" w:eastAsia="MS PGothic" w:hAnsi="MS PGothic"/>
                <w:sz w:val="16"/>
                <w:szCs w:val="16"/>
                <w:color w:val="auto"/>
              </w:rPr>
              <w:t>☐</w:t>
            </w:r>
          </w:p>
        </w:tc>
        <w:tc>
          <w:tcPr>
            <w:tcW w:w="2900" w:type="dxa"/>
            <w:vAlign w:val="bottom"/>
          </w:tcPr>
          <w:p>
            <w:pPr>
              <w:ind w:left="1220"/>
              <w:spacing w:after="0"/>
              <w:rPr>
                <w:sz w:val="20"/>
                <w:szCs w:val="20"/>
                <w:color w:val="auto"/>
              </w:rPr>
            </w:pPr>
            <w:r>
              <w:rPr>
                <w:rFonts w:ascii="Arial" w:cs="Arial" w:eastAsia="Arial" w:hAnsi="Arial"/>
                <w:sz w:val="13"/>
                <w:szCs w:val="13"/>
                <w:color w:val="auto"/>
              </w:rPr>
              <w:t>Emerging growth company</w:t>
            </w:r>
          </w:p>
        </w:tc>
        <w:tc>
          <w:tcPr>
            <w:tcW w:w="260" w:type="dxa"/>
            <w:vAlign w:val="bottom"/>
          </w:tcPr>
          <w:p>
            <w:pPr>
              <w:ind w:left="1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64"/>
        </w:trPr>
        <w:tc>
          <w:tcPr>
            <w:tcW w:w="1300" w:type="dxa"/>
            <w:vAlign w:val="bottom"/>
          </w:tcPr>
          <w:p>
            <w:pPr>
              <w:jc w:val="right"/>
              <w:spacing w:after="0"/>
              <w:rPr>
                <w:sz w:val="20"/>
                <w:szCs w:val="20"/>
                <w:color w:val="auto"/>
              </w:rPr>
            </w:pPr>
            <w:r>
              <w:rPr>
                <w:rFonts w:ascii="Arial" w:cs="Arial" w:eastAsia="Arial" w:hAnsi="Arial"/>
                <w:sz w:val="13"/>
                <w:szCs w:val="13"/>
                <w:color w:val="auto"/>
              </w:rPr>
              <w:t>Non-accelerated filer</w:t>
            </w:r>
          </w:p>
        </w:tc>
        <w:tc>
          <w:tcPr>
            <w:tcW w:w="1420" w:type="dxa"/>
            <w:vAlign w:val="bottom"/>
          </w:tcPr>
          <w:p>
            <w:pPr>
              <w:ind w:left="40"/>
              <w:spacing w:after="0" w:line="161" w:lineRule="exact"/>
              <w:rPr>
                <w:sz w:val="20"/>
                <w:szCs w:val="20"/>
                <w:color w:val="auto"/>
              </w:rPr>
            </w:pPr>
            <w:r>
              <w:rPr>
                <w:rFonts w:ascii="MS PGothic" w:cs="MS PGothic" w:eastAsia="MS PGothic" w:hAnsi="MS PGothic"/>
                <w:sz w:val="16"/>
                <w:szCs w:val="16"/>
                <w:color w:val="auto"/>
              </w:rPr>
              <w:t>☐</w:t>
            </w:r>
          </w:p>
        </w:tc>
        <w:tc>
          <w:tcPr>
            <w:tcW w:w="2900" w:type="dxa"/>
            <w:vAlign w:val="bottom"/>
          </w:tcPr>
          <w:p>
            <w:pPr>
              <w:spacing w:after="0"/>
              <w:rPr>
                <w:sz w:val="22"/>
                <w:szCs w:val="22"/>
                <w:color w:val="auto"/>
              </w:rPr>
            </w:pPr>
          </w:p>
        </w:tc>
        <w:tc>
          <w:tcPr>
            <w:tcW w:w="260" w:type="dxa"/>
            <w:vAlign w:val="bottom"/>
          </w:tcPr>
          <w:p>
            <w:pPr>
              <w:spacing w:after="0"/>
              <w:rPr>
                <w:sz w:val="22"/>
                <w:szCs w:val="22"/>
                <w:color w:val="auto"/>
              </w:rPr>
            </w:pPr>
          </w:p>
        </w:tc>
      </w:tr>
    </w:tbl>
    <w:p>
      <w:pPr>
        <w:spacing w:after="0" w:line="165" w:lineRule="exact"/>
        <w:rPr>
          <w:sz w:val="24"/>
          <w:szCs w:val="24"/>
          <w:color w:val="auto"/>
        </w:rPr>
      </w:pPr>
    </w:p>
    <w:p>
      <w:pPr>
        <w:ind w:left="640" w:right="1099"/>
        <w:spacing w:after="0" w:line="186"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7" w:lineRule="exact"/>
        <w:rPr>
          <w:sz w:val="24"/>
          <w:szCs w:val="24"/>
          <w:color w:val="auto"/>
        </w:rPr>
      </w:pPr>
    </w:p>
    <w:p>
      <w:pPr>
        <w:ind w:left="640" w:right="1139"/>
        <w:spacing w:after="0" w:line="251"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3"/>
          <w:szCs w:val="13"/>
          <w:color w:val="auto"/>
        </w:rPr>
        <w:t xml:space="preserve"> No </w:t>
      </w:r>
      <w:r>
        <w:rPr>
          <w:rFonts w:ascii="MS PGothic" w:cs="MS PGothic" w:eastAsia="MS PGothic" w:hAnsi="MS PGothic"/>
          <w:sz w:val="15"/>
          <w:szCs w:val="15"/>
          <w:color w:val="auto"/>
        </w:rPr>
        <w:t>☒</w:t>
      </w:r>
      <w:r>
        <w:rPr>
          <w:rFonts w:ascii="Arial" w:cs="Arial" w:eastAsia="Arial" w:hAnsi="Arial"/>
          <w:sz w:val="13"/>
          <w:szCs w:val="13"/>
          <w:color w:val="auto"/>
        </w:rPr>
        <w:t xml:space="preserve"> As of July 15, 2024, </w:t>
      </w:r>
      <w:r>
        <w:rPr>
          <w:rFonts w:ascii="Arial" w:cs="Arial" w:eastAsia="Arial" w:hAnsi="Arial"/>
          <w:sz w:val="13"/>
          <w:szCs w:val="13"/>
          <w:color w:val="auto"/>
          <w:highlight w:val="white"/>
        </w:rPr>
        <w:t>174,926,073</w:t>
      </w:r>
      <w:r>
        <w:rPr>
          <w:rFonts w:ascii="Arial" w:cs="Arial" w:eastAsia="Arial" w:hAnsi="Arial"/>
          <w:sz w:val="13"/>
          <w:szCs w:val="13"/>
          <w:color w:val="auto"/>
        </w:rPr>
        <w:t xml:space="preserve"> shares of common stock, par value $0.01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67945</wp:posOffset>
            </wp:positionH>
            <wp:positionV relativeFrom="paragraph">
              <wp:posOffset>537845</wp:posOffset>
            </wp:positionV>
            <wp:extent cx="5584190" cy="31673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84190" cy="31673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4" w:lineRule="exact"/>
        <w:rPr>
          <w:sz w:val="24"/>
          <w:szCs w:val="24"/>
          <w:color w:val="auto"/>
        </w:rPr>
      </w:pPr>
    </w:p>
    <w:p>
      <w:pPr>
        <w:ind w:left="3820"/>
        <w:spacing w:after="0"/>
        <w:rPr>
          <w:sz w:val="20"/>
          <w:szCs w:val="20"/>
          <w:color w:val="auto"/>
        </w:rPr>
      </w:pPr>
      <w:r>
        <w:rPr>
          <w:rFonts w:ascii="Arial" w:cs="Arial" w:eastAsia="Arial" w:hAnsi="Arial"/>
          <w:sz w:val="13"/>
          <w:szCs w:val="13"/>
          <w:b w:val="1"/>
          <w:bCs w:val="1"/>
          <w:color w:val="auto"/>
        </w:rPr>
        <w:t>TABLE OF CONTENTS</w:t>
      </w:r>
    </w:p>
    <w:p>
      <w:pPr>
        <w:spacing w:after="0" w:line="130" w:lineRule="exact"/>
        <w:rPr>
          <w:sz w:val="24"/>
          <w:szCs w:val="24"/>
          <w:color w:val="auto"/>
        </w:rPr>
      </w:pPr>
    </w:p>
    <w:p>
      <w:pPr>
        <w:ind w:left="7920"/>
        <w:spacing w:after="0"/>
        <w:rPr>
          <w:sz w:val="20"/>
          <w:szCs w:val="20"/>
          <w:color w:val="auto"/>
        </w:rPr>
      </w:pPr>
      <w:r>
        <w:rPr>
          <w:rFonts w:ascii="Arial" w:cs="Arial" w:eastAsia="Arial" w:hAnsi="Arial"/>
          <w:sz w:val="13"/>
          <w:szCs w:val="13"/>
          <w:color w:val="auto"/>
        </w:rPr>
        <w:t>Page</w:t>
      </w:r>
    </w:p>
    <w:p>
      <w:pPr>
        <w:spacing w:after="0" w:line="22" w:lineRule="exact"/>
        <w:rPr>
          <w:sz w:val="24"/>
          <w:szCs w:val="24"/>
          <w:color w:val="auto"/>
        </w:rPr>
      </w:pPr>
    </w:p>
    <w:p>
      <w:pPr>
        <w:ind w:left="680"/>
        <w:spacing w:after="0"/>
        <w:rPr>
          <w:sz w:val="20"/>
          <w:szCs w:val="20"/>
          <w:color w:val="auto"/>
        </w:rPr>
      </w:pPr>
      <w:r>
        <w:rPr>
          <w:rFonts w:ascii="Arial" w:cs="Arial" w:eastAsia="Arial" w:hAnsi="Arial"/>
          <w:sz w:val="13"/>
          <w:szCs w:val="13"/>
          <w:color w:val="auto"/>
        </w:rPr>
        <w:t>PART I – FINANCIAL INFORMATION</w:t>
      </w:r>
    </w:p>
    <w:p>
      <w:pPr>
        <w:spacing w:after="0" w:line="194" w:lineRule="exact"/>
        <w:rPr>
          <w:sz w:val="24"/>
          <w:szCs w:val="24"/>
          <w:color w:val="auto"/>
        </w:rPr>
      </w:pPr>
    </w:p>
    <w:p>
      <w:pPr>
        <w:ind w:left="780"/>
        <w:spacing w:after="0"/>
        <w:tabs>
          <w:tab w:leader="none" w:pos="1460" w:val="left"/>
        </w:tabs>
        <w:rPr>
          <w:sz w:val="20"/>
          <w:szCs w:val="20"/>
          <w:color w:val="auto"/>
        </w:rPr>
      </w:pPr>
      <w:r>
        <w:rPr>
          <w:rFonts w:ascii="Arial" w:cs="Arial" w:eastAsia="Arial" w:hAnsi="Arial"/>
          <w:sz w:val="13"/>
          <w:szCs w:val="13"/>
          <w:color w:val="auto"/>
        </w:rPr>
        <w:t>Item 1.</w:t>
      </w:r>
      <w:r>
        <w:rPr>
          <w:sz w:val="20"/>
          <w:szCs w:val="20"/>
          <w:color w:val="auto"/>
        </w:rPr>
        <w:tab/>
      </w:r>
      <w:r>
        <w:rPr>
          <w:rFonts w:ascii="Arial" w:cs="Arial" w:eastAsia="Arial" w:hAnsi="Arial"/>
          <w:sz w:val="12"/>
          <w:szCs w:val="12"/>
          <w:color w:val="auto"/>
        </w:rPr>
        <w:t>FINANCIAL STATEMENTS (UNAUDITED)</w:t>
      </w:r>
    </w:p>
    <w:p>
      <w:pPr>
        <w:spacing w:after="0" w:line="194" w:lineRule="exact"/>
        <w:rPr>
          <w:sz w:val="24"/>
          <w:szCs w:val="24"/>
          <w:color w:val="auto"/>
        </w:rPr>
      </w:pPr>
    </w:p>
    <w:p>
      <w:pPr>
        <w:ind w:left="1480"/>
        <w:spacing w:after="0"/>
        <w:tabs>
          <w:tab w:leader="dot" w:pos="8020" w:val="left"/>
        </w:tabs>
        <w:rPr>
          <w:sz w:val="20"/>
          <w:szCs w:val="20"/>
          <w:color w:val="auto"/>
        </w:rPr>
      </w:pPr>
      <w:r>
        <w:rPr>
          <w:rFonts w:ascii="Arial" w:cs="Arial" w:eastAsia="Arial" w:hAnsi="Arial"/>
          <w:sz w:val="13"/>
          <w:szCs w:val="13"/>
          <w:color w:val="auto"/>
        </w:rPr>
        <w:t>Consolidated Balance Sheets as of June 30, 2024 and December 31, 2023</w:t>
      </w:r>
      <w:r>
        <w:rPr>
          <w:sz w:val="20"/>
          <w:szCs w:val="20"/>
          <w:color w:val="auto"/>
        </w:rPr>
        <w:tab/>
      </w:r>
      <w:r>
        <w:rPr>
          <w:rFonts w:ascii="Arial" w:cs="Arial" w:eastAsia="Arial" w:hAnsi="Arial"/>
          <w:sz w:val="10"/>
          <w:szCs w:val="10"/>
          <w:color w:val="auto"/>
        </w:rPr>
        <w:t>1</w:t>
      </w:r>
    </w:p>
    <w:p>
      <w:pPr>
        <w:spacing w:after="0" w:line="194" w:lineRule="exact"/>
        <w:rPr>
          <w:sz w:val="24"/>
          <w:szCs w:val="24"/>
          <w:color w:val="auto"/>
        </w:rPr>
      </w:pPr>
    </w:p>
    <w:p>
      <w:pPr>
        <w:ind w:left="1480"/>
        <w:spacing w:after="0"/>
        <w:rPr>
          <w:sz w:val="20"/>
          <w:szCs w:val="20"/>
          <w:color w:val="auto"/>
        </w:rPr>
      </w:pPr>
      <w:r>
        <w:rPr>
          <w:rFonts w:ascii="Arial" w:cs="Arial" w:eastAsia="Arial" w:hAnsi="Arial"/>
          <w:sz w:val="13"/>
          <w:szCs w:val="13"/>
          <w:color w:val="auto"/>
        </w:rPr>
        <w:t>Consolidated Financial Statements for the Three and Six Months Ended June 30, 2024 and 2023:</w:t>
      </w:r>
    </w:p>
    <w:p>
      <w:pPr>
        <w:spacing w:after="0" w:line="194" w:lineRule="exact"/>
        <w:rPr>
          <w:sz w:val="24"/>
          <w:szCs w:val="24"/>
          <w:color w:val="auto"/>
        </w:rPr>
      </w:pPr>
    </w:p>
    <w:p>
      <w:pPr>
        <w:ind w:left="1780"/>
        <w:spacing w:after="0"/>
        <w:tabs>
          <w:tab w:leader="dot" w:pos="8020" w:val="left"/>
        </w:tabs>
        <w:rPr>
          <w:sz w:val="20"/>
          <w:szCs w:val="20"/>
          <w:color w:val="auto"/>
        </w:rPr>
      </w:pPr>
      <w:r>
        <w:rPr>
          <w:rFonts w:ascii="Arial" w:cs="Arial" w:eastAsia="Arial" w:hAnsi="Arial"/>
          <w:sz w:val="13"/>
          <w:szCs w:val="13"/>
          <w:color w:val="auto"/>
        </w:rPr>
        <w:t>Consolidated Statements of Operations</w:t>
      </w:r>
      <w:r>
        <w:rPr>
          <w:sz w:val="20"/>
          <w:szCs w:val="20"/>
          <w:color w:val="auto"/>
        </w:rPr>
        <w:tab/>
      </w:r>
      <w:r>
        <w:rPr>
          <w:rFonts w:ascii="Arial" w:cs="Arial" w:eastAsia="Arial" w:hAnsi="Arial"/>
          <w:sz w:val="10"/>
          <w:szCs w:val="10"/>
          <w:color w:val="auto"/>
        </w:rPr>
        <w:t>2</w:t>
      </w:r>
    </w:p>
    <w:p>
      <w:pPr>
        <w:spacing w:after="0" w:line="194" w:lineRule="exact"/>
        <w:rPr>
          <w:sz w:val="24"/>
          <w:szCs w:val="24"/>
          <w:color w:val="auto"/>
        </w:rPr>
      </w:pPr>
    </w:p>
    <w:p>
      <w:pPr>
        <w:ind w:left="1780"/>
        <w:spacing w:after="0"/>
        <w:tabs>
          <w:tab w:leader="dot" w:pos="8020" w:val="left"/>
        </w:tabs>
        <w:rPr>
          <w:sz w:val="20"/>
          <w:szCs w:val="20"/>
          <w:color w:val="auto"/>
        </w:rPr>
      </w:pPr>
      <w:r>
        <w:rPr>
          <w:rFonts w:ascii="Arial" w:cs="Arial" w:eastAsia="Arial" w:hAnsi="Arial"/>
          <w:sz w:val="13"/>
          <w:szCs w:val="13"/>
          <w:color w:val="auto"/>
        </w:rPr>
        <w:t>Consolidated Statements of Comprehensive Income</w:t>
      </w:r>
      <w:r>
        <w:rPr>
          <w:sz w:val="20"/>
          <w:szCs w:val="20"/>
          <w:color w:val="auto"/>
        </w:rPr>
        <w:tab/>
      </w:r>
      <w:r>
        <w:rPr>
          <w:rFonts w:ascii="Arial" w:cs="Arial" w:eastAsia="Arial" w:hAnsi="Arial"/>
          <w:sz w:val="10"/>
          <w:szCs w:val="10"/>
          <w:color w:val="auto"/>
        </w:rPr>
        <w:t>3</w:t>
      </w:r>
    </w:p>
    <w:p>
      <w:pPr>
        <w:spacing w:after="0" w:line="194" w:lineRule="exact"/>
        <w:rPr>
          <w:sz w:val="24"/>
          <w:szCs w:val="24"/>
          <w:color w:val="auto"/>
        </w:rPr>
      </w:pPr>
    </w:p>
    <w:p>
      <w:pPr>
        <w:ind w:left="1780"/>
        <w:spacing w:after="0"/>
        <w:tabs>
          <w:tab w:leader="dot" w:pos="8020" w:val="left"/>
        </w:tabs>
        <w:rPr>
          <w:sz w:val="20"/>
          <w:szCs w:val="20"/>
          <w:color w:val="auto"/>
        </w:rPr>
      </w:pPr>
      <w:r>
        <w:rPr>
          <w:rFonts w:ascii="Arial" w:cs="Arial" w:eastAsia="Arial" w:hAnsi="Arial"/>
          <w:sz w:val="13"/>
          <w:szCs w:val="13"/>
          <w:color w:val="auto"/>
        </w:rPr>
        <w:t>Consolidated Statements of Changes in Stockholders’ Equity and Noncontrolling Interests</w:t>
      </w:r>
      <w:r>
        <w:rPr>
          <w:sz w:val="20"/>
          <w:szCs w:val="20"/>
          <w:color w:val="auto"/>
        </w:rPr>
        <w:tab/>
      </w:r>
      <w:r>
        <w:rPr>
          <w:rFonts w:ascii="Arial" w:cs="Arial" w:eastAsia="Arial" w:hAnsi="Arial"/>
          <w:sz w:val="10"/>
          <w:szCs w:val="10"/>
          <w:color w:val="auto"/>
        </w:rPr>
        <w:t>4</w:t>
      </w:r>
    </w:p>
    <w:p>
      <w:pPr>
        <w:spacing w:after="0" w:line="194" w:lineRule="exact"/>
        <w:rPr>
          <w:sz w:val="24"/>
          <w:szCs w:val="24"/>
          <w:color w:val="auto"/>
        </w:rPr>
      </w:pPr>
    </w:p>
    <w:p>
      <w:pPr>
        <w:ind w:left="1480"/>
        <w:spacing w:after="0"/>
        <w:tabs>
          <w:tab w:leader="dot" w:pos="8020" w:val="left"/>
        </w:tabs>
        <w:rPr>
          <w:sz w:val="20"/>
          <w:szCs w:val="20"/>
          <w:color w:val="auto"/>
        </w:rPr>
      </w:pPr>
      <w:r>
        <w:rPr>
          <w:rFonts w:ascii="Arial" w:cs="Arial" w:eastAsia="Arial" w:hAnsi="Arial"/>
          <w:sz w:val="13"/>
          <w:szCs w:val="13"/>
          <w:color w:val="auto"/>
        </w:rPr>
        <w:t>Consolidated Statements of Cash Flows for the Six Months Ended June 30, 2024 and 2023</w:t>
      </w:r>
      <w:r>
        <w:rPr>
          <w:sz w:val="20"/>
          <w:szCs w:val="20"/>
          <w:color w:val="auto"/>
        </w:rPr>
        <w:tab/>
      </w:r>
      <w:r>
        <w:rPr>
          <w:rFonts w:ascii="Arial" w:cs="Arial" w:eastAsia="Arial" w:hAnsi="Arial"/>
          <w:sz w:val="10"/>
          <w:szCs w:val="10"/>
          <w:color w:val="auto"/>
        </w:rPr>
        <w:t>8</w:t>
      </w:r>
    </w:p>
    <w:p>
      <w:pPr>
        <w:spacing w:after="0" w:line="194" w:lineRule="exact"/>
        <w:rPr>
          <w:sz w:val="24"/>
          <w:szCs w:val="24"/>
          <w:color w:val="auto"/>
        </w:rPr>
      </w:pPr>
    </w:p>
    <w:p>
      <w:pPr>
        <w:ind w:left="1480"/>
        <w:spacing w:after="0"/>
        <w:tabs>
          <w:tab w:leader="dot" w:pos="7980" w:val="left"/>
        </w:tabs>
        <w:rPr>
          <w:sz w:val="20"/>
          <w:szCs w:val="20"/>
          <w:color w:val="auto"/>
        </w:rPr>
      </w:pPr>
      <w:r>
        <w:rPr>
          <w:rFonts w:ascii="Arial" w:cs="Arial" w:eastAsia="Arial" w:hAnsi="Arial"/>
          <w:sz w:val="13"/>
          <w:szCs w:val="13"/>
          <w:color w:val="auto"/>
        </w:rPr>
        <w:t>Notes to Consolidated Financial Statements</w:t>
      </w:r>
      <w:r>
        <w:rPr>
          <w:sz w:val="20"/>
          <w:szCs w:val="20"/>
          <w:color w:val="auto"/>
        </w:rPr>
        <w:tab/>
      </w:r>
      <w:r>
        <w:rPr>
          <w:rFonts w:ascii="Arial" w:cs="Arial" w:eastAsia="Arial" w:hAnsi="Arial"/>
          <w:sz w:val="12"/>
          <w:szCs w:val="12"/>
          <w:color w:val="auto"/>
        </w:rPr>
        <w:t>10</w:t>
      </w:r>
    </w:p>
    <w:p>
      <w:pPr>
        <w:spacing w:after="0" w:line="112" w:lineRule="exact"/>
        <w:rPr>
          <w:sz w:val="24"/>
          <w:szCs w:val="24"/>
          <w:color w:val="auto"/>
        </w:rPr>
      </w:pPr>
    </w:p>
    <w:p>
      <w:pPr>
        <w:ind w:left="780"/>
        <w:spacing w:after="0"/>
        <w:tabs>
          <w:tab w:leader="none" w:pos="1460" w:val="left"/>
        </w:tabs>
        <w:rPr>
          <w:sz w:val="20"/>
          <w:szCs w:val="20"/>
          <w:color w:val="auto"/>
        </w:rPr>
      </w:pPr>
      <w:r>
        <w:rPr>
          <w:rFonts w:ascii="Arial" w:cs="Arial" w:eastAsia="Arial" w:hAnsi="Arial"/>
          <w:sz w:val="25"/>
          <w:szCs w:val="25"/>
          <w:color w:val="auto"/>
          <w:vertAlign w:val="superscript"/>
        </w:rPr>
        <w:t>Item 2.</w:t>
      </w:r>
      <w:r>
        <w:rPr>
          <w:sz w:val="20"/>
          <w:szCs w:val="20"/>
          <w:color w:val="auto"/>
        </w:rPr>
        <w:tab/>
      </w:r>
      <w:r>
        <w:rPr>
          <w:rFonts w:ascii="Arial" w:cs="Arial" w:eastAsia="Arial" w:hAnsi="Arial"/>
          <w:sz w:val="12"/>
          <w:szCs w:val="12"/>
          <w:color w:val="auto"/>
        </w:rPr>
        <w:t>MANAGEMENT’S DISCUSSION AND ANALYSIS OF FINANCIAL CONDITION AND RESULTS OF</w:t>
      </w:r>
    </w:p>
    <w:p>
      <w:pPr>
        <w:ind w:left="1480"/>
        <w:spacing w:after="0"/>
        <w:tabs>
          <w:tab w:leader="dot" w:pos="7980" w:val="left"/>
        </w:tabs>
        <w:rPr>
          <w:sz w:val="20"/>
          <w:szCs w:val="20"/>
          <w:color w:val="auto"/>
        </w:rPr>
      </w:pPr>
      <w:r>
        <w:rPr>
          <w:rFonts w:ascii="Arial" w:cs="Arial" w:eastAsia="Arial" w:hAnsi="Arial"/>
          <w:sz w:val="13"/>
          <w:szCs w:val="13"/>
          <w:color w:val="auto"/>
        </w:rPr>
        <w:t>OPERATIONS</w:t>
      </w:r>
      <w:r>
        <w:rPr>
          <w:sz w:val="20"/>
          <w:szCs w:val="20"/>
          <w:color w:val="auto"/>
        </w:rPr>
        <w:tab/>
      </w:r>
      <w:r>
        <w:rPr>
          <w:rFonts w:ascii="Arial" w:cs="Arial" w:eastAsia="Arial" w:hAnsi="Arial"/>
          <w:sz w:val="12"/>
          <w:szCs w:val="12"/>
          <w:color w:val="auto"/>
        </w:rPr>
        <w:t>42</w:t>
      </w:r>
    </w:p>
    <w:p>
      <w:pPr>
        <w:sectPr>
          <w:pgSz w:w="11900" w:h="16838" w:orient="portrait"/>
          <w:cols w:equalWidth="0" w:num="1">
            <w:col w:w="9019"/>
          </w:cols>
          <w:pgMar w:left="1440" w:top="1004" w:right="1440" w:bottom="0" w:gutter="0" w:footer="0" w:header="0"/>
        </w:sectPr>
      </w:pPr>
    </w:p>
    <w:bookmarkStart w:id="1" w:name="page2"/>
    <w:bookmarkEnd w:id="1"/>
    <w:p>
      <w:pPr>
        <w:ind w:left="780"/>
        <w:spacing w:after="0"/>
        <w:tabs>
          <w:tab w:leader="none" w:pos="1460" w:val="left"/>
          <w:tab w:leader="dot" w:pos="7940" w:val="left"/>
        </w:tabs>
        <w:rPr>
          <w:sz w:val="20"/>
          <w:szCs w:val="20"/>
          <w:color w:val="auto"/>
        </w:rPr>
      </w:pPr>
      <w:r>
        <w:rPr>
          <w:rFonts w:ascii="Arial" w:cs="Arial" w:eastAsia="Arial" w:hAnsi="Arial"/>
          <w:sz w:val="13"/>
          <w:szCs w:val="13"/>
          <w:color w:val="auto"/>
        </w:rPr>
        <w:t>Item 3.</w:t>
      </w:r>
      <w:r>
        <w:rPr>
          <w:sz w:val="20"/>
          <w:szCs w:val="20"/>
          <w:color w:val="auto"/>
        </w:rPr>
        <w:tab/>
      </w:r>
      <w:r>
        <w:rPr>
          <w:rFonts w:ascii="Arial" w:cs="Arial" w:eastAsia="Arial" w:hAnsi="Arial"/>
          <w:sz w:val="13"/>
          <w:szCs w:val="13"/>
          <w:color w:val="auto"/>
        </w:rPr>
        <w:t>QUANTITATIVE AND QUALITATIVE DISCLOSURES ABOUT MARKET RISK</w:t>
      </w:r>
      <w:r>
        <w:rPr>
          <w:sz w:val="20"/>
          <w:szCs w:val="20"/>
          <w:color w:val="auto"/>
        </w:rPr>
        <w:tab/>
      </w:r>
      <w:r>
        <w:rPr>
          <w:rFonts w:ascii="Arial" w:cs="Arial" w:eastAsia="Arial" w:hAnsi="Arial"/>
          <w:sz w:val="13"/>
          <w:szCs w:val="13"/>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-80010</wp:posOffset>
            </wp:positionV>
            <wp:extent cx="5584190" cy="40468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84190" cy="4046855"/>
                    </a:xfrm>
                    <a:prstGeom prst="rect">
                      <a:avLst/>
                    </a:prstGeom>
                    <a:noFill/>
                  </pic:spPr>
                </pic:pic>
              </a:graphicData>
            </a:graphic>
          </wp:anchor>
        </w:drawing>
      </w:r>
    </w:p>
    <w:p>
      <w:pPr>
        <w:spacing w:after="0" w:line="78" w:lineRule="exact"/>
        <w:rPr>
          <w:sz w:val="20"/>
          <w:szCs w:val="20"/>
          <w:color w:val="auto"/>
        </w:rPr>
      </w:pPr>
    </w:p>
    <w:p>
      <w:pPr>
        <w:ind w:left="780"/>
        <w:spacing w:after="0"/>
        <w:tabs>
          <w:tab w:leader="none" w:pos="1460" w:val="left"/>
          <w:tab w:leader="dot" w:pos="7960" w:val="left"/>
        </w:tabs>
        <w:rPr>
          <w:sz w:val="20"/>
          <w:szCs w:val="20"/>
          <w:color w:val="auto"/>
        </w:rPr>
      </w:pPr>
      <w:r>
        <w:rPr>
          <w:rFonts w:ascii="Arial" w:cs="Arial" w:eastAsia="Arial" w:hAnsi="Arial"/>
          <w:sz w:val="13"/>
          <w:szCs w:val="13"/>
          <w:color w:val="auto"/>
        </w:rPr>
        <w:t>Item 4.</w:t>
      </w:r>
      <w:r>
        <w:rPr>
          <w:sz w:val="20"/>
          <w:szCs w:val="20"/>
          <w:color w:val="auto"/>
        </w:rPr>
        <w:tab/>
      </w:r>
      <w:r>
        <w:rPr>
          <w:rFonts w:ascii="Arial" w:cs="Arial" w:eastAsia="Arial" w:hAnsi="Arial"/>
          <w:sz w:val="13"/>
          <w:szCs w:val="13"/>
          <w:color w:val="auto"/>
        </w:rPr>
        <w:t>CONTROLS AND PROCEDURES</w:t>
      </w:r>
      <w:r>
        <w:rPr>
          <w:sz w:val="20"/>
          <w:szCs w:val="20"/>
          <w:color w:val="auto"/>
        </w:rPr>
        <w:tab/>
      </w:r>
      <w:r>
        <w:rPr>
          <w:rFonts w:ascii="Arial" w:cs="Arial" w:eastAsia="Arial" w:hAnsi="Arial"/>
          <w:sz w:val="10"/>
          <w:szCs w:val="10"/>
          <w:color w:val="auto"/>
        </w:rPr>
        <w:t>111</w:t>
      </w:r>
    </w:p>
    <w:p>
      <w:pPr>
        <w:spacing w:after="0" w:line="194" w:lineRule="exact"/>
        <w:rPr>
          <w:sz w:val="20"/>
          <w:szCs w:val="20"/>
          <w:color w:val="auto"/>
        </w:rPr>
      </w:pPr>
    </w:p>
    <w:p>
      <w:pPr>
        <w:ind w:left="680"/>
        <w:spacing w:after="0"/>
        <w:rPr>
          <w:sz w:val="20"/>
          <w:szCs w:val="20"/>
          <w:color w:val="auto"/>
        </w:rPr>
      </w:pPr>
      <w:r>
        <w:rPr>
          <w:rFonts w:ascii="Arial" w:cs="Arial" w:eastAsia="Arial" w:hAnsi="Arial"/>
          <w:sz w:val="13"/>
          <w:szCs w:val="13"/>
          <w:color w:val="auto"/>
        </w:rPr>
        <w:t>PART II – OTHER INFORMATION</w:t>
      </w:r>
    </w:p>
    <w:p>
      <w:pPr>
        <w:spacing w:after="0" w:line="194" w:lineRule="exact"/>
        <w:rPr>
          <w:sz w:val="20"/>
          <w:szCs w:val="20"/>
          <w:color w:val="auto"/>
        </w:rPr>
      </w:pPr>
    </w:p>
    <w:p>
      <w:pPr>
        <w:ind w:left="780"/>
        <w:spacing w:after="0"/>
        <w:tabs>
          <w:tab w:leader="none" w:pos="1460" w:val="left"/>
          <w:tab w:leader="dot" w:pos="7940" w:val="left"/>
        </w:tabs>
        <w:rPr>
          <w:sz w:val="20"/>
          <w:szCs w:val="20"/>
          <w:color w:val="auto"/>
        </w:rPr>
      </w:pPr>
      <w:r>
        <w:rPr>
          <w:rFonts w:ascii="Arial" w:cs="Arial" w:eastAsia="Arial" w:hAnsi="Arial"/>
          <w:sz w:val="13"/>
          <w:szCs w:val="13"/>
          <w:color w:val="auto"/>
        </w:rPr>
        <w:t>Item 1A.</w:t>
      </w:r>
      <w:r>
        <w:rPr>
          <w:sz w:val="20"/>
          <w:szCs w:val="20"/>
          <w:color w:val="auto"/>
        </w:rPr>
        <w:tab/>
      </w:r>
      <w:r>
        <w:rPr>
          <w:rFonts w:ascii="Arial" w:cs="Arial" w:eastAsia="Arial" w:hAnsi="Arial"/>
          <w:sz w:val="13"/>
          <w:szCs w:val="13"/>
          <w:color w:val="auto"/>
        </w:rPr>
        <w:t>RISK FACTORS</w:t>
      </w:r>
      <w:r>
        <w:rPr>
          <w:sz w:val="20"/>
          <w:szCs w:val="20"/>
          <w:color w:val="auto"/>
        </w:rPr>
        <w:tab/>
      </w:r>
      <w:r>
        <w:rPr>
          <w:rFonts w:ascii="Arial" w:cs="Arial" w:eastAsia="Arial" w:hAnsi="Arial"/>
          <w:sz w:val="13"/>
          <w:szCs w:val="13"/>
          <w:color w:val="auto"/>
        </w:rPr>
        <w:t>112</w:t>
      </w:r>
    </w:p>
    <w:p>
      <w:pPr>
        <w:spacing w:after="0" w:line="194" w:lineRule="exact"/>
        <w:rPr>
          <w:sz w:val="20"/>
          <w:szCs w:val="20"/>
          <w:color w:val="auto"/>
        </w:rPr>
      </w:pPr>
    </w:p>
    <w:p>
      <w:pPr>
        <w:ind w:left="780"/>
        <w:spacing w:after="0"/>
        <w:tabs>
          <w:tab w:leader="none" w:pos="1460" w:val="left"/>
          <w:tab w:leader="dot" w:pos="7940" w:val="left"/>
        </w:tabs>
        <w:rPr>
          <w:sz w:val="20"/>
          <w:szCs w:val="20"/>
          <w:color w:val="auto"/>
        </w:rPr>
      </w:pPr>
      <w:r>
        <w:rPr>
          <w:rFonts w:ascii="Arial" w:cs="Arial" w:eastAsia="Arial" w:hAnsi="Arial"/>
          <w:sz w:val="13"/>
          <w:szCs w:val="13"/>
          <w:color w:val="auto"/>
        </w:rPr>
        <w:t>Item 5.</w:t>
      </w:r>
      <w:r>
        <w:rPr>
          <w:sz w:val="20"/>
          <w:szCs w:val="20"/>
          <w:color w:val="auto"/>
        </w:rPr>
        <w:tab/>
      </w:r>
      <w:r>
        <w:rPr>
          <w:rFonts w:ascii="Arial" w:cs="Arial" w:eastAsia="Arial" w:hAnsi="Arial"/>
          <w:sz w:val="13"/>
          <w:szCs w:val="13"/>
          <w:color w:val="auto"/>
        </w:rPr>
        <w:t>OTHER INFORMATION</w:t>
      </w:r>
      <w:r>
        <w:rPr>
          <w:sz w:val="20"/>
          <w:szCs w:val="20"/>
          <w:color w:val="auto"/>
        </w:rPr>
        <w:tab/>
      </w:r>
      <w:r>
        <w:rPr>
          <w:rFonts w:ascii="Arial" w:cs="Arial" w:eastAsia="Arial" w:hAnsi="Arial"/>
          <w:sz w:val="13"/>
          <w:szCs w:val="13"/>
          <w:color w:val="auto"/>
        </w:rPr>
        <w:t>113</w:t>
      </w:r>
    </w:p>
    <w:p>
      <w:pPr>
        <w:spacing w:after="0" w:line="194" w:lineRule="exact"/>
        <w:rPr>
          <w:sz w:val="20"/>
          <w:szCs w:val="20"/>
          <w:color w:val="auto"/>
        </w:rPr>
      </w:pPr>
    </w:p>
    <w:p>
      <w:pPr>
        <w:ind w:left="780"/>
        <w:spacing w:after="0"/>
        <w:tabs>
          <w:tab w:leader="none" w:pos="1460" w:val="left"/>
          <w:tab w:leader="dot" w:pos="7940" w:val="left"/>
        </w:tabs>
        <w:rPr>
          <w:sz w:val="20"/>
          <w:szCs w:val="20"/>
          <w:color w:val="auto"/>
        </w:rPr>
      </w:pPr>
      <w:r>
        <w:rPr>
          <w:rFonts w:ascii="Arial" w:cs="Arial" w:eastAsia="Arial" w:hAnsi="Arial"/>
          <w:sz w:val="13"/>
          <w:szCs w:val="13"/>
          <w:color w:val="auto"/>
        </w:rPr>
        <w:t>Item 6.</w:t>
      </w:r>
      <w:r>
        <w:rPr>
          <w:sz w:val="20"/>
          <w:szCs w:val="20"/>
          <w:color w:val="auto"/>
        </w:rPr>
        <w:tab/>
      </w:r>
      <w:r>
        <w:rPr>
          <w:rFonts w:ascii="Arial" w:cs="Arial" w:eastAsia="Arial" w:hAnsi="Arial"/>
          <w:sz w:val="13"/>
          <w:szCs w:val="13"/>
          <w:color w:val="auto"/>
        </w:rPr>
        <w:t>EXHIBITS</w:t>
      </w:r>
      <w:r>
        <w:rPr>
          <w:sz w:val="20"/>
          <w:szCs w:val="20"/>
          <w:color w:val="auto"/>
        </w:rPr>
        <w:tab/>
      </w:r>
      <w:r>
        <w:rPr>
          <w:rFonts w:ascii="Arial" w:cs="Arial" w:eastAsia="Arial" w:hAnsi="Arial"/>
          <w:sz w:val="13"/>
          <w:szCs w:val="13"/>
          <w:color w:val="auto"/>
        </w:rPr>
        <w:t>114</w:t>
      </w:r>
    </w:p>
    <w:p>
      <w:pPr>
        <w:spacing w:after="0" w:line="194" w:lineRule="exact"/>
        <w:rPr>
          <w:sz w:val="20"/>
          <w:szCs w:val="20"/>
          <w:color w:val="auto"/>
        </w:rPr>
      </w:pPr>
    </w:p>
    <w:p>
      <w:pPr>
        <w:ind w:left="680"/>
        <w:spacing w:after="0"/>
        <w:tabs>
          <w:tab w:leader="dot" w:pos="7940" w:val="left"/>
        </w:tabs>
        <w:rPr>
          <w:sz w:val="20"/>
          <w:szCs w:val="20"/>
          <w:color w:val="auto"/>
        </w:rPr>
      </w:pPr>
      <w:r>
        <w:rPr>
          <w:rFonts w:ascii="Arial" w:cs="Arial" w:eastAsia="Arial" w:hAnsi="Arial"/>
          <w:sz w:val="13"/>
          <w:szCs w:val="13"/>
          <w:color w:val="auto"/>
        </w:rPr>
        <w:t>SIGNATURES</w:t>
      </w:r>
      <w:r>
        <w:rPr>
          <w:sz w:val="20"/>
          <w:szCs w:val="20"/>
          <w:color w:val="auto"/>
        </w:rPr>
        <w:tab/>
      </w:r>
      <w:r>
        <w:rPr>
          <w:rFonts w:ascii="Arial" w:cs="Arial" w:eastAsia="Arial" w:hAnsi="Arial"/>
          <w:sz w:val="13"/>
          <w:szCs w:val="13"/>
          <w:color w:val="auto"/>
        </w:rPr>
        <w:t>115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188595</wp:posOffset>
            </wp:positionV>
            <wp:extent cx="5584190" cy="6406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84190" cy="6406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GLOSSARY</w:t>
      </w:r>
    </w:p>
    <w:p>
      <w:pPr>
        <w:spacing w:after="0" w:line="162" w:lineRule="exact"/>
        <w:rPr>
          <w:sz w:val="20"/>
          <w:szCs w:val="20"/>
          <w:color w:val="auto"/>
        </w:rPr>
      </w:pPr>
    </w:p>
    <w:p>
      <w:pPr>
        <w:ind w:left="2060" w:right="2139" w:firstLine="516"/>
        <w:spacing w:after="0" w:line="272" w:lineRule="auto"/>
        <w:rPr>
          <w:sz w:val="20"/>
          <w:szCs w:val="20"/>
          <w:color w:val="auto"/>
        </w:rPr>
      </w:pPr>
      <w:r>
        <w:rPr>
          <w:rFonts w:ascii="Arial" w:cs="Arial" w:eastAsia="Arial" w:hAnsi="Arial"/>
          <w:sz w:val="13"/>
          <w:szCs w:val="13"/>
          <w:color w:val="auto"/>
        </w:rPr>
        <w:t>The following abbreviations or acronyms that may be used in this document shall have the adjacent meanings set forth below:</w:t>
      </w:r>
    </w:p>
    <w:p>
      <w:pPr>
        <w:sectPr>
          <w:pgSz w:w="11900" w:h="16838" w:orient="portrait"/>
          <w:cols w:equalWidth="0" w:num="1">
            <w:col w:w="9019"/>
          </w:cols>
          <w:pgMar w:left="1440" w:top="118" w:right="1440" w:bottom="1440" w:gutter="0" w:footer="0" w:header="0"/>
        </w:sectPr>
      </w:pPr>
    </w:p>
    <w:p>
      <w:pPr>
        <w:spacing w:after="0" w:line="166" w:lineRule="exact"/>
        <w:rPr>
          <w:sz w:val="20"/>
          <w:szCs w:val="20"/>
          <w:color w:val="auto"/>
        </w:rPr>
      </w:pPr>
    </w:p>
    <w:p>
      <w:pPr>
        <w:ind w:left="2100"/>
        <w:spacing w:after="0"/>
        <w:rPr>
          <w:sz w:val="20"/>
          <w:szCs w:val="20"/>
          <w:color w:val="auto"/>
        </w:rPr>
      </w:pPr>
      <w:r>
        <w:rPr>
          <w:rFonts w:ascii="Arial" w:cs="Arial" w:eastAsia="Arial" w:hAnsi="Arial"/>
          <w:sz w:val="13"/>
          <w:szCs w:val="13"/>
          <w:color w:val="auto"/>
        </w:rPr>
        <w:t>ASU</w:t>
      </w:r>
    </w:p>
    <w:p>
      <w:pPr>
        <w:spacing w:after="0" w:line="119" w:lineRule="exact"/>
        <w:rPr>
          <w:sz w:val="20"/>
          <w:szCs w:val="20"/>
          <w:color w:val="auto"/>
        </w:rPr>
      </w:pPr>
    </w:p>
    <w:p>
      <w:pPr>
        <w:ind w:left="2100"/>
        <w:spacing w:after="0"/>
        <w:rPr>
          <w:sz w:val="20"/>
          <w:szCs w:val="20"/>
          <w:color w:val="auto"/>
        </w:rPr>
      </w:pPr>
      <w:r>
        <w:rPr>
          <w:rFonts w:ascii="Arial" w:cs="Arial" w:eastAsia="Arial" w:hAnsi="Arial"/>
          <w:sz w:val="13"/>
          <w:szCs w:val="13"/>
          <w:color w:val="auto"/>
        </w:rPr>
        <w:t>ATM</w:t>
      </w:r>
    </w:p>
    <w:p>
      <w:pPr>
        <w:spacing w:after="0" w:line="119" w:lineRule="exact"/>
        <w:rPr>
          <w:sz w:val="20"/>
          <w:szCs w:val="20"/>
          <w:color w:val="auto"/>
        </w:rPr>
      </w:pPr>
    </w:p>
    <w:p>
      <w:pPr>
        <w:ind w:left="2100"/>
        <w:spacing w:after="0"/>
        <w:rPr>
          <w:sz w:val="20"/>
          <w:szCs w:val="20"/>
          <w:color w:val="auto"/>
        </w:rPr>
      </w:pPr>
      <w:r>
        <w:rPr>
          <w:rFonts w:ascii="Arial" w:cs="Arial" w:eastAsia="Arial" w:hAnsi="Arial"/>
          <w:sz w:val="13"/>
          <w:szCs w:val="13"/>
          <w:color w:val="auto"/>
        </w:rPr>
        <w:t>CIP</w:t>
      </w:r>
    </w:p>
    <w:p>
      <w:pPr>
        <w:spacing w:after="0" w:line="119" w:lineRule="exact"/>
        <w:rPr>
          <w:sz w:val="20"/>
          <w:szCs w:val="20"/>
          <w:color w:val="auto"/>
        </w:rPr>
      </w:pPr>
    </w:p>
    <w:p>
      <w:pPr>
        <w:ind w:left="2100"/>
        <w:spacing w:after="0"/>
        <w:rPr>
          <w:sz w:val="20"/>
          <w:szCs w:val="20"/>
          <w:color w:val="auto"/>
        </w:rPr>
      </w:pPr>
      <w:r>
        <w:rPr>
          <w:rFonts w:ascii="Arial" w:cs="Arial" w:eastAsia="Arial" w:hAnsi="Arial"/>
          <w:sz w:val="13"/>
          <w:szCs w:val="13"/>
          <w:color w:val="auto"/>
        </w:rPr>
        <w:t>EPS</w:t>
      </w:r>
    </w:p>
    <w:p>
      <w:pPr>
        <w:spacing w:after="0" w:line="140" w:lineRule="exact"/>
        <w:rPr>
          <w:sz w:val="20"/>
          <w:szCs w:val="20"/>
          <w:color w:val="auto"/>
        </w:rPr>
      </w:pPr>
    </w:p>
    <w:p>
      <w:pPr>
        <w:ind w:left="2100"/>
        <w:spacing w:after="0"/>
        <w:rPr>
          <w:sz w:val="20"/>
          <w:szCs w:val="20"/>
          <w:color w:val="auto"/>
        </w:rPr>
      </w:pPr>
      <w:r>
        <w:rPr>
          <w:rFonts w:ascii="Arial" w:cs="Arial" w:eastAsia="Arial" w:hAnsi="Arial"/>
          <w:sz w:val="13"/>
          <w:szCs w:val="13"/>
          <w:color w:val="auto"/>
        </w:rPr>
        <w:t>FASB</w:t>
      </w:r>
    </w:p>
    <w:p>
      <w:pPr>
        <w:spacing w:after="0" w:line="140" w:lineRule="exact"/>
        <w:rPr>
          <w:sz w:val="20"/>
          <w:szCs w:val="20"/>
          <w:color w:val="auto"/>
        </w:rPr>
      </w:pPr>
    </w:p>
    <w:p>
      <w:pPr>
        <w:ind w:left="2100"/>
        <w:spacing w:after="0"/>
        <w:rPr>
          <w:sz w:val="20"/>
          <w:szCs w:val="20"/>
          <w:color w:val="auto"/>
        </w:rPr>
      </w:pPr>
      <w:r>
        <w:rPr>
          <w:rFonts w:ascii="Arial" w:cs="Arial" w:eastAsia="Arial" w:hAnsi="Arial"/>
          <w:sz w:val="13"/>
          <w:szCs w:val="13"/>
          <w:color w:val="auto"/>
        </w:rPr>
        <w:t>FDIC</w:t>
      </w:r>
    </w:p>
    <w:p>
      <w:pPr>
        <w:spacing w:after="0" w:line="140" w:lineRule="exact"/>
        <w:rPr>
          <w:sz w:val="20"/>
          <w:szCs w:val="20"/>
          <w:color w:val="auto"/>
        </w:rPr>
      </w:pPr>
    </w:p>
    <w:p>
      <w:pPr>
        <w:ind w:left="2100"/>
        <w:spacing w:after="0"/>
        <w:rPr>
          <w:sz w:val="20"/>
          <w:szCs w:val="20"/>
          <w:color w:val="auto"/>
        </w:rPr>
      </w:pPr>
      <w:r>
        <w:rPr>
          <w:rFonts w:ascii="Arial" w:cs="Arial" w:eastAsia="Arial" w:hAnsi="Arial"/>
          <w:sz w:val="13"/>
          <w:szCs w:val="13"/>
          <w:color w:val="auto"/>
        </w:rPr>
        <w:t>FFO</w:t>
      </w:r>
    </w:p>
    <w:p>
      <w:pPr>
        <w:spacing w:after="0" w:line="140" w:lineRule="exact"/>
        <w:rPr>
          <w:sz w:val="20"/>
          <w:szCs w:val="20"/>
          <w:color w:val="auto"/>
        </w:rPr>
      </w:pPr>
    </w:p>
    <w:p>
      <w:pPr>
        <w:ind w:left="2100"/>
        <w:spacing w:after="0"/>
        <w:rPr>
          <w:sz w:val="20"/>
          <w:szCs w:val="20"/>
          <w:color w:val="auto"/>
        </w:rPr>
      </w:pPr>
      <w:r>
        <w:rPr>
          <w:rFonts w:ascii="Arial" w:cs="Arial" w:eastAsia="Arial" w:hAnsi="Arial"/>
          <w:sz w:val="12"/>
          <w:szCs w:val="12"/>
          <w:color w:val="auto"/>
        </w:rPr>
        <w:t>GAAP</w:t>
      </w:r>
    </w:p>
    <w:p>
      <w:pPr>
        <w:spacing w:after="0" w:line="152" w:lineRule="exact"/>
        <w:rPr>
          <w:sz w:val="20"/>
          <w:szCs w:val="20"/>
          <w:color w:val="auto"/>
        </w:rPr>
      </w:pPr>
    </w:p>
    <w:p>
      <w:pPr>
        <w:ind w:left="2100"/>
        <w:spacing w:after="0"/>
        <w:rPr>
          <w:sz w:val="20"/>
          <w:szCs w:val="20"/>
          <w:color w:val="auto"/>
        </w:rPr>
      </w:pPr>
      <w:r>
        <w:rPr>
          <w:rFonts w:ascii="Arial" w:cs="Arial" w:eastAsia="Arial" w:hAnsi="Arial"/>
          <w:sz w:val="13"/>
          <w:szCs w:val="13"/>
          <w:color w:val="auto"/>
        </w:rPr>
        <w:t>IRS</w:t>
      </w:r>
    </w:p>
    <w:p>
      <w:pPr>
        <w:spacing w:after="0" w:line="140" w:lineRule="exact"/>
        <w:rPr>
          <w:sz w:val="20"/>
          <w:szCs w:val="20"/>
          <w:color w:val="auto"/>
        </w:rPr>
      </w:pPr>
    </w:p>
    <w:p>
      <w:pPr>
        <w:ind w:left="2100"/>
        <w:spacing w:after="0"/>
        <w:rPr>
          <w:sz w:val="20"/>
          <w:szCs w:val="20"/>
          <w:color w:val="auto"/>
        </w:rPr>
      </w:pPr>
      <w:r>
        <w:rPr>
          <w:rFonts w:ascii="Arial" w:cs="Arial" w:eastAsia="Arial" w:hAnsi="Arial"/>
          <w:sz w:val="13"/>
          <w:szCs w:val="13"/>
          <w:color w:val="auto"/>
        </w:rPr>
        <w:t>JV</w:t>
      </w:r>
    </w:p>
    <w:p>
      <w:pPr>
        <w:spacing w:after="0" w:line="140" w:lineRule="exact"/>
        <w:rPr>
          <w:sz w:val="20"/>
          <w:szCs w:val="20"/>
          <w:color w:val="auto"/>
        </w:rPr>
      </w:pPr>
    </w:p>
    <w:p>
      <w:pPr>
        <w:ind w:left="2100"/>
        <w:spacing w:after="0"/>
        <w:rPr>
          <w:sz w:val="20"/>
          <w:szCs w:val="20"/>
          <w:color w:val="auto"/>
        </w:rPr>
      </w:pPr>
      <w:r>
        <w:rPr>
          <w:rFonts w:ascii="Arial" w:cs="Arial" w:eastAsia="Arial" w:hAnsi="Arial"/>
          <w:sz w:val="13"/>
          <w:szCs w:val="13"/>
          <w:color w:val="auto"/>
        </w:rPr>
        <w:t>Nareit</w:t>
      </w:r>
    </w:p>
    <w:p>
      <w:pPr>
        <w:spacing w:after="0" w:line="140" w:lineRule="exact"/>
        <w:rPr>
          <w:sz w:val="20"/>
          <w:szCs w:val="20"/>
          <w:color w:val="auto"/>
        </w:rPr>
      </w:pPr>
    </w:p>
    <w:p>
      <w:pPr>
        <w:ind w:left="2100"/>
        <w:spacing w:after="0"/>
        <w:rPr>
          <w:sz w:val="20"/>
          <w:szCs w:val="20"/>
          <w:color w:val="auto"/>
        </w:rPr>
      </w:pPr>
      <w:r>
        <w:rPr>
          <w:rFonts w:ascii="Arial" w:cs="Arial" w:eastAsia="Arial" w:hAnsi="Arial"/>
          <w:sz w:val="13"/>
          <w:szCs w:val="13"/>
          <w:color w:val="auto"/>
        </w:rPr>
        <w:t>NAV</w:t>
      </w:r>
    </w:p>
    <w:p>
      <w:pPr>
        <w:spacing w:after="0" w:line="140" w:lineRule="exact"/>
        <w:rPr>
          <w:sz w:val="20"/>
          <w:szCs w:val="20"/>
          <w:color w:val="auto"/>
        </w:rPr>
      </w:pPr>
    </w:p>
    <w:p>
      <w:pPr>
        <w:ind w:left="2100"/>
        <w:spacing w:after="0"/>
        <w:rPr>
          <w:sz w:val="20"/>
          <w:szCs w:val="20"/>
          <w:color w:val="auto"/>
        </w:rPr>
      </w:pPr>
      <w:r>
        <w:rPr>
          <w:rFonts w:ascii="Arial" w:cs="Arial" w:eastAsia="Arial" w:hAnsi="Arial"/>
          <w:sz w:val="13"/>
          <w:szCs w:val="13"/>
          <w:color w:val="auto"/>
        </w:rPr>
        <w:t>NYSE</w:t>
      </w:r>
    </w:p>
    <w:p>
      <w:pPr>
        <w:spacing w:after="0" w:line="140" w:lineRule="exact"/>
        <w:rPr>
          <w:sz w:val="20"/>
          <w:szCs w:val="20"/>
          <w:color w:val="auto"/>
        </w:rPr>
      </w:pPr>
    </w:p>
    <w:p>
      <w:pPr>
        <w:ind w:left="2100"/>
        <w:spacing w:after="0"/>
        <w:rPr>
          <w:sz w:val="20"/>
          <w:szCs w:val="20"/>
          <w:color w:val="auto"/>
        </w:rPr>
      </w:pPr>
      <w:r>
        <w:rPr>
          <w:rFonts w:ascii="Arial" w:cs="Arial" w:eastAsia="Arial" w:hAnsi="Arial"/>
          <w:sz w:val="13"/>
          <w:szCs w:val="13"/>
          <w:color w:val="auto"/>
        </w:rPr>
        <w:t>REIT</w:t>
      </w:r>
    </w:p>
    <w:p>
      <w:pPr>
        <w:spacing w:after="0" w:line="140" w:lineRule="exact"/>
        <w:rPr>
          <w:sz w:val="20"/>
          <w:szCs w:val="20"/>
          <w:color w:val="auto"/>
        </w:rPr>
      </w:pPr>
    </w:p>
    <w:p>
      <w:pPr>
        <w:ind w:left="2100"/>
        <w:spacing w:after="0"/>
        <w:rPr>
          <w:sz w:val="20"/>
          <w:szCs w:val="20"/>
          <w:color w:val="auto"/>
        </w:rPr>
      </w:pPr>
      <w:r>
        <w:rPr>
          <w:rFonts w:ascii="Arial" w:cs="Arial" w:eastAsia="Arial" w:hAnsi="Arial"/>
          <w:sz w:val="13"/>
          <w:szCs w:val="13"/>
          <w:color w:val="auto"/>
        </w:rPr>
        <w:t>RSF</w:t>
      </w:r>
    </w:p>
    <w:p>
      <w:pPr>
        <w:spacing w:after="0" w:line="140" w:lineRule="exact"/>
        <w:rPr>
          <w:sz w:val="20"/>
          <w:szCs w:val="20"/>
          <w:color w:val="auto"/>
        </w:rPr>
      </w:pPr>
    </w:p>
    <w:p>
      <w:pPr>
        <w:ind w:left="2100"/>
        <w:spacing w:after="0"/>
        <w:rPr>
          <w:sz w:val="20"/>
          <w:szCs w:val="20"/>
          <w:color w:val="auto"/>
        </w:rPr>
      </w:pPr>
      <w:r>
        <w:rPr>
          <w:rFonts w:ascii="Arial" w:cs="Arial" w:eastAsia="Arial" w:hAnsi="Arial"/>
          <w:sz w:val="13"/>
          <w:szCs w:val="13"/>
          <w:color w:val="auto"/>
        </w:rPr>
        <w:t>SEC</w:t>
      </w:r>
    </w:p>
    <w:p>
      <w:pPr>
        <w:spacing w:after="0" w:line="140" w:lineRule="exact"/>
        <w:rPr>
          <w:sz w:val="20"/>
          <w:szCs w:val="20"/>
          <w:color w:val="auto"/>
        </w:rPr>
      </w:pPr>
    </w:p>
    <w:p>
      <w:pPr>
        <w:ind w:left="2100"/>
        <w:spacing w:after="0"/>
        <w:rPr>
          <w:sz w:val="20"/>
          <w:szCs w:val="20"/>
          <w:color w:val="auto"/>
        </w:rPr>
      </w:pPr>
      <w:r>
        <w:rPr>
          <w:rFonts w:ascii="Arial" w:cs="Arial" w:eastAsia="Arial" w:hAnsi="Arial"/>
          <w:sz w:val="13"/>
          <w:szCs w:val="13"/>
          <w:color w:val="auto"/>
        </w:rPr>
        <w:t>SF</w:t>
      </w:r>
    </w:p>
    <w:p>
      <w:pPr>
        <w:spacing w:after="0" w:line="140" w:lineRule="exact"/>
        <w:rPr>
          <w:sz w:val="20"/>
          <w:szCs w:val="20"/>
          <w:color w:val="auto"/>
        </w:rPr>
      </w:pPr>
    </w:p>
    <w:p>
      <w:pPr>
        <w:ind w:left="2100"/>
        <w:spacing w:after="0"/>
        <w:rPr>
          <w:sz w:val="20"/>
          <w:szCs w:val="20"/>
          <w:color w:val="auto"/>
        </w:rPr>
      </w:pPr>
      <w:r>
        <w:rPr>
          <w:rFonts w:ascii="Arial" w:cs="Arial" w:eastAsia="Arial" w:hAnsi="Arial"/>
          <w:sz w:val="13"/>
          <w:szCs w:val="13"/>
          <w:color w:val="auto"/>
        </w:rPr>
        <w:t>SoDo</w:t>
      </w:r>
    </w:p>
    <w:p>
      <w:pPr>
        <w:spacing w:after="0" w:line="140" w:lineRule="exact"/>
        <w:rPr>
          <w:sz w:val="20"/>
          <w:szCs w:val="20"/>
          <w:color w:val="auto"/>
        </w:rPr>
      </w:pPr>
    </w:p>
    <w:p>
      <w:pPr>
        <w:ind w:left="2100"/>
        <w:spacing w:after="0"/>
        <w:rPr>
          <w:sz w:val="20"/>
          <w:szCs w:val="20"/>
          <w:color w:val="auto"/>
        </w:rPr>
      </w:pPr>
      <w:r>
        <w:rPr>
          <w:rFonts w:ascii="Arial" w:cs="Arial" w:eastAsia="Arial" w:hAnsi="Arial"/>
          <w:sz w:val="12"/>
          <w:szCs w:val="12"/>
          <w:color w:val="auto"/>
        </w:rPr>
        <w:t>SOFR</w:t>
      </w:r>
    </w:p>
    <w:p>
      <w:pPr>
        <w:spacing w:after="0" w:line="152" w:lineRule="exact"/>
        <w:rPr>
          <w:sz w:val="20"/>
          <w:szCs w:val="20"/>
          <w:color w:val="auto"/>
        </w:rPr>
      </w:pPr>
    </w:p>
    <w:p>
      <w:pPr>
        <w:ind w:left="2100"/>
        <w:spacing w:after="0"/>
        <w:rPr>
          <w:sz w:val="20"/>
          <w:szCs w:val="20"/>
          <w:color w:val="auto"/>
        </w:rPr>
      </w:pPr>
      <w:r>
        <w:rPr>
          <w:rFonts w:ascii="Arial" w:cs="Arial" w:eastAsia="Arial" w:hAnsi="Arial"/>
          <w:sz w:val="13"/>
          <w:szCs w:val="13"/>
          <w:color w:val="auto"/>
        </w:rPr>
        <w:t>SoMa</w:t>
      </w:r>
    </w:p>
    <w:p>
      <w:pPr>
        <w:spacing w:after="0" w:line="140" w:lineRule="exact"/>
        <w:rPr>
          <w:sz w:val="20"/>
          <w:szCs w:val="20"/>
          <w:color w:val="auto"/>
        </w:rPr>
      </w:pPr>
    </w:p>
    <w:p>
      <w:pPr>
        <w:ind w:left="2100"/>
        <w:spacing w:after="0"/>
        <w:rPr>
          <w:sz w:val="20"/>
          <w:szCs w:val="20"/>
          <w:color w:val="auto"/>
        </w:rPr>
      </w:pPr>
      <w:r>
        <w:rPr>
          <w:rFonts w:ascii="Arial" w:cs="Arial" w:eastAsia="Arial" w:hAnsi="Arial"/>
          <w:sz w:val="13"/>
          <w:szCs w:val="13"/>
          <w:color w:val="auto"/>
        </w:rPr>
        <w:t>U.S.</w:t>
      </w:r>
    </w:p>
    <w:p>
      <w:pPr>
        <w:spacing w:after="0" w:line="140" w:lineRule="exact"/>
        <w:rPr>
          <w:sz w:val="20"/>
          <w:szCs w:val="20"/>
          <w:color w:val="auto"/>
        </w:rPr>
      </w:pPr>
    </w:p>
    <w:p>
      <w:pPr>
        <w:ind w:left="2100"/>
        <w:spacing w:after="0"/>
        <w:rPr>
          <w:sz w:val="20"/>
          <w:szCs w:val="20"/>
          <w:color w:val="auto"/>
        </w:rPr>
      </w:pPr>
      <w:r>
        <w:rPr>
          <w:rFonts w:ascii="Arial" w:cs="Arial" w:eastAsia="Arial" w:hAnsi="Arial"/>
          <w:sz w:val="13"/>
          <w:szCs w:val="13"/>
          <w:color w:val="auto"/>
        </w:rPr>
        <w:t>VIE</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Arial" w:cs="Arial" w:eastAsia="Arial" w:hAnsi="Arial"/>
          <w:sz w:val="13"/>
          <w:szCs w:val="13"/>
          <w:color w:val="auto"/>
        </w:rPr>
        <w:t>Accounting Standards Update</w:t>
      </w:r>
    </w:p>
    <w:p>
      <w:pPr>
        <w:spacing w:after="0" w:line="119" w:lineRule="exact"/>
        <w:rPr>
          <w:sz w:val="20"/>
          <w:szCs w:val="20"/>
          <w:color w:val="auto"/>
        </w:rPr>
      </w:pPr>
    </w:p>
    <w:p>
      <w:pPr>
        <w:spacing w:after="0"/>
        <w:rPr>
          <w:sz w:val="20"/>
          <w:szCs w:val="20"/>
          <w:color w:val="auto"/>
        </w:rPr>
      </w:pPr>
      <w:r>
        <w:rPr>
          <w:rFonts w:ascii="Arial" w:cs="Arial" w:eastAsia="Arial" w:hAnsi="Arial"/>
          <w:sz w:val="13"/>
          <w:szCs w:val="13"/>
          <w:color w:val="auto"/>
        </w:rPr>
        <w:t>At the Market</w:t>
      </w:r>
    </w:p>
    <w:p>
      <w:pPr>
        <w:spacing w:after="0" w:line="119" w:lineRule="exact"/>
        <w:rPr>
          <w:sz w:val="20"/>
          <w:szCs w:val="20"/>
          <w:color w:val="auto"/>
        </w:rPr>
      </w:pPr>
    </w:p>
    <w:p>
      <w:pPr>
        <w:spacing w:after="0"/>
        <w:rPr>
          <w:sz w:val="20"/>
          <w:szCs w:val="20"/>
          <w:color w:val="auto"/>
        </w:rPr>
      </w:pPr>
      <w:r>
        <w:rPr>
          <w:rFonts w:ascii="Arial" w:cs="Arial" w:eastAsia="Arial" w:hAnsi="Arial"/>
          <w:sz w:val="13"/>
          <w:szCs w:val="13"/>
          <w:color w:val="auto"/>
        </w:rPr>
        <w:t>Construction in Progress</w:t>
      </w:r>
    </w:p>
    <w:p>
      <w:pPr>
        <w:spacing w:after="0" w:line="119" w:lineRule="exact"/>
        <w:rPr>
          <w:sz w:val="20"/>
          <w:szCs w:val="20"/>
          <w:color w:val="auto"/>
        </w:rPr>
      </w:pPr>
    </w:p>
    <w:p>
      <w:pPr>
        <w:spacing w:after="0"/>
        <w:rPr>
          <w:sz w:val="20"/>
          <w:szCs w:val="20"/>
          <w:color w:val="auto"/>
        </w:rPr>
      </w:pPr>
      <w:r>
        <w:rPr>
          <w:rFonts w:ascii="Arial" w:cs="Arial" w:eastAsia="Arial" w:hAnsi="Arial"/>
          <w:sz w:val="13"/>
          <w:szCs w:val="13"/>
          <w:color w:val="auto"/>
        </w:rPr>
        <w:t>Earnings per Share</w:t>
      </w:r>
    </w:p>
    <w:p>
      <w:pPr>
        <w:spacing w:after="0" w:line="140" w:lineRule="exact"/>
        <w:rPr>
          <w:sz w:val="20"/>
          <w:szCs w:val="20"/>
          <w:color w:val="auto"/>
        </w:rPr>
      </w:pPr>
    </w:p>
    <w:p>
      <w:pPr>
        <w:spacing w:after="0"/>
        <w:rPr>
          <w:sz w:val="20"/>
          <w:szCs w:val="20"/>
          <w:color w:val="auto"/>
        </w:rPr>
      </w:pPr>
      <w:r>
        <w:rPr>
          <w:rFonts w:ascii="Arial" w:cs="Arial" w:eastAsia="Arial" w:hAnsi="Arial"/>
          <w:sz w:val="13"/>
          <w:szCs w:val="13"/>
          <w:color w:val="auto"/>
        </w:rPr>
        <w:t>Financial Accounting Standards Board</w:t>
      </w:r>
    </w:p>
    <w:p>
      <w:pPr>
        <w:spacing w:after="0" w:line="140" w:lineRule="exact"/>
        <w:rPr>
          <w:sz w:val="20"/>
          <w:szCs w:val="20"/>
          <w:color w:val="auto"/>
        </w:rPr>
      </w:pPr>
    </w:p>
    <w:p>
      <w:pPr>
        <w:spacing w:after="0"/>
        <w:rPr>
          <w:sz w:val="20"/>
          <w:szCs w:val="20"/>
          <w:color w:val="auto"/>
        </w:rPr>
      </w:pPr>
      <w:r>
        <w:rPr>
          <w:rFonts w:ascii="Arial" w:cs="Arial" w:eastAsia="Arial" w:hAnsi="Arial"/>
          <w:sz w:val="13"/>
          <w:szCs w:val="13"/>
          <w:color w:val="auto"/>
        </w:rPr>
        <w:t>Federal Deposit Insurance Corporation</w:t>
      </w:r>
    </w:p>
    <w:p>
      <w:pPr>
        <w:spacing w:after="0" w:line="140" w:lineRule="exact"/>
        <w:rPr>
          <w:sz w:val="20"/>
          <w:szCs w:val="20"/>
          <w:color w:val="auto"/>
        </w:rPr>
      </w:pPr>
    </w:p>
    <w:p>
      <w:pPr>
        <w:spacing w:after="0"/>
        <w:rPr>
          <w:sz w:val="20"/>
          <w:szCs w:val="20"/>
          <w:color w:val="auto"/>
        </w:rPr>
      </w:pPr>
      <w:r>
        <w:rPr>
          <w:rFonts w:ascii="Arial" w:cs="Arial" w:eastAsia="Arial" w:hAnsi="Arial"/>
          <w:sz w:val="13"/>
          <w:szCs w:val="13"/>
          <w:color w:val="auto"/>
        </w:rPr>
        <w:t>Funds From Operations</w:t>
      </w:r>
    </w:p>
    <w:p>
      <w:pPr>
        <w:spacing w:after="0" w:line="140" w:lineRule="exact"/>
        <w:rPr>
          <w:sz w:val="20"/>
          <w:szCs w:val="20"/>
          <w:color w:val="auto"/>
        </w:rPr>
      </w:pPr>
    </w:p>
    <w:p>
      <w:pPr>
        <w:spacing w:after="0"/>
        <w:rPr>
          <w:sz w:val="20"/>
          <w:szCs w:val="20"/>
          <w:color w:val="auto"/>
        </w:rPr>
      </w:pPr>
      <w:r>
        <w:rPr>
          <w:rFonts w:ascii="Arial" w:cs="Arial" w:eastAsia="Arial" w:hAnsi="Arial"/>
          <w:sz w:val="13"/>
          <w:szCs w:val="13"/>
          <w:color w:val="auto"/>
        </w:rPr>
        <w:t>U.S. Generally Accepted Accounting Principles</w:t>
      </w:r>
    </w:p>
    <w:p>
      <w:pPr>
        <w:spacing w:after="0" w:line="140" w:lineRule="exact"/>
        <w:rPr>
          <w:sz w:val="20"/>
          <w:szCs w:val="20"/>
          <w:color w:val="auto"/>
        </w:rPr>
      </w:pPr>
    </w:p>
    <w:p>
      <w:pPr>
        <w:spacing w:after="0"/>
        <w:rPr>
          <w:sz w:val="20"/>
          <w:szCs w:val="20"/>
          <w:color w:val="auto"/>
        </w:rPr>
      </w:pPr>
      <w:r>
        <w:rPr>
          <w:rFonts w:ascii="Arial" w:cs="Arial" w:eastAsia="Arial" w:hAnsi="Arial"/>
          <w:sz w:val="13"/>
          <w:szCs w:val="13"/>
          <w:color w:val="auto"/>
        </w:rPr>
        <w:t>Internal Revenue Service</w:t>
      </w:r>
    </w:p>
    <w:p>
      <w:pPr>
        <w:spacing w:after="0" w:line="140" w:lineRule="exact"/>
        <w:rPr>
          <w:sz w:val="20"/>
          <w:szCs w:val="20"/>
          <w:color w:val="auto"/>
        </w:rPr>
      </w:pPr>
    </w:p>
    <w:p>
      <w:pPr>
        <w:spacing w:after="0"/>
        <w:rPr>
          <w:sz w:val="20"/>
          <w:szCs w:val="20"/>
          <w:color w:val="auto"/>
        </w:rPr>
      </w:pPr>
      <w:r>
        <w:rPr>
          <w:rFonts w:ascii="Arial" w:cs="Arial" w:eastAsia="Arial" w:hAnsi="Arial"/>
          <w:sz w:val="13"/>
          <w:szCs w:val="13"/>
          <w:color w:val="auto"/>
        </w:rPr>
        <w:t>Joint Venture</w:t>
      </w:r>
    </w:p>
    <w:p>
      <w:pPr>
        <w:spacing w:after="0" w:line="140" w:lineRule="exact"/>
        <w:rPr>
          <w:sz w:val="20"/>
          <w:szCs w:val="20"/>
          <w:color w:val="auto"/>
        </w:rPr>
      </w:pPr>
    </w:p>
    <w:p>
      <w:pPr>
        <w:spacing w:after="0"/>
        <w:rPr>
          <w:sz w:val="20"/>
          <w:szCs w:val="20"/>
          <w:color w:val="auto"/>
        </w:rPr>
      </w:pPr>
      <w:r>
        <w:rPr>
          <w:rFonts w:ascii="Arial" w:cs="Arial" w:eastAsia="Arial" w:hAnsi="Arial"/>
          <w:sz w:val="13"/>
          <w:szCs w:val="13"/>
          <w:color w:val="auto"/>
        </w:rPr>
        <w:t>National Association of Real Estate Investment Trusts</w:t>
      </w:r>
    </w:p>
    <w:p>
      <w:pPr>
        <w:spacing w:after="0" w:line="140" w:lineRule="exact"/>
        <w:rPr>
          <w:sz w:val="20"/>
          <w:szCs w:val="20"/>
          <w:color w:val="auto"/>
        </w:rPr>
      </w:pPr>
    </w:p>
    <w:p>
      <w:pPr>
        <w:spacing w:after="0"/>
        <w:rPr>
          <w:sz w:val="20"/>
          <w:szCs w:val="20"/>
          <w:color w:val="auto"/>
        </w:rPr>
      </w:pPr>
      <w:r>
        <w:rPr>
          <w:rFonts w:ascii="Arial" w:cs="Arial" w:eastAsia="Arial" w:hAnsi="Arial"/>
          <w:sz w:val="13"/>
          <w:szCs w:val="13"/>
          <w:color w:val="auto"/>
        </w:rPr>
        <w:t>Net Asset Value</w:t>
      </w:r>
    </w:p>
    <w:p>
      <w:pPr>
        <w:spacing w:after="0" w:line="140" w:lineRule="exact"/>
        <w:rPr>
          <w:sz w:val="20"/>
          <w:szCs w:val="20"/>
          <w:color w:val="auto"/>
        </w:rPr>
      </w:pPr>
    </w:p>
    <w:p>
      <w:pPr>
        <w:spacing w:after="0"/>
        <w:rPr>
          <w:sz w:val="20"/>
          <w:szCs w:val="20"/>
          <w:color w:val="auto"/>
        </w:rPr>
      </w:pPr>
      <w:r>
        <w:rPr>
          <w:rFonts w:ascii="Arial" w:cs="Arial" w:eastAsia="Arial" w:hAnsi="Arial"/>
          <w:sz w:val="13"/>
          <w:szCs w:val="13"/>
          <w:color w:val="auto"/>
        </w:rPr>
        <w:t>New York Stock Exchange</w:t>
      </w:r>
    </w:p>
    <w:p>
      <w:pPr>
        <w:spacing w:after="0" w:line="140" w:lineRule="exact"/>
        <w:rPr>
          <w:sz w:val="20"/>
          <w:szCs w:val="20"/>
          <w:color w:val="auto"/>
        </w:rPr>
      </w:pPr>
    </w:p>
    <w:p>
      <w:pPr>
        <w:spacing w:after="0"/>
        <w:rPr>
          <w:sz w:val="20"/>
          <w:szCs w:val="20"/>
          <w:color w:val="auto"/>
        </w:rPr>
      </w:pPr>
      <w:r>
        <w:rPr>
          <w:rFonts w:ascii="Arial" w:cs="Arial" w:eastAsia="Arial" w:hAnsi="Arial"/>
          <w:sz w:val="13"/>
          <w:szCs w:val="13"/>
          <w:color w:val="auto"/>
        </w:rPr>
        <w:t>Real Estate Investment Trust</w:t>
      </w:r>
    </w:p>
    <w:p>
      <w:pPr>
        <w:spacing w:after="0" w:line="140" w:lineRule="exact"/>
        <w:rPr>
          <w:sz w:val="20"/>
          <w:szCs w:val="20"/>
          <w:color w:val="auto"/>
        </w:rPr>
      </w:pPr>
    </w:p>
    <w:p>
      <w:pPr>
        <w:spacing w:after="0"/>
        <w:rPr>
          <w:sz w:val="20"/>
          <w:szCs w:val="20"/>
          <w:color w:val="auto"/>
        </w:rPr>
      </w:pPr>
      <w:r>
        <w:rPr>
          <w:rFonts w:ascii="Arial" w:cs="Arial" w:eastAsia="Arial" w:hAnsi="Arial"/>
          <w:sz w:val="13"/>
          <w:szCs w:val="13"/>
          <w:color w:val="auto"/>
        </w:rPr>
        <w:t>Rentable Square Feet/Foot</w:t>
      </w:r>
    </w:p>
    <w:p>
      <w:pPr>
        <w:spacing w:after="0" w:line="140" w:lineRule="exact"/>
        <w:rPr>
          <w:sz w:val="20"/>
          <w:szCs w:val="20"/>
          <w:color w:val="auto"/>
        </w:rPr>
      </w:pPr>
    </w:p>
    <w:p>
      <w:pPr>
        <w:spacing w:after="0"/>
        <w:rPr>
          <w:sz w:val="20"/>
          <w:szCs w:val="20"/>
          <w:color w:val="auto"/>
        </w:rPr>
      </w:pPr>
      <w:r>
        <w:rPr>
          <w:rFonts w:ascii="Arial" w:cs="Arial" w:eastAsia="Arial" w:hAnsi="Arial"/>
          <w:sz w:val="13"/>
          <w:szCs w:val="13"/>
          <w:color w:val="auto"/>
        </w:rPr>
        <w:t>Securities and Exchange Commission</w:t>
      </w:r>
    </w:p>
    <w:p>
      <w:pPr>
        <w:spacing w:after="0" w:line="140" w:lineRule="exact"/>
        <w:rPr>
          <w:sz w:val="20"/>
          <w:szCs w:val="20"/>
          <w:color w:val="auto"/>
        </w:rPr>
      </w:pPr>
    </w:p>
    <w:p>
      <w:pPr>
        <w:spacing w:after="0"/>
        <w:rPr>
          <w:sz w:val="20"/>
          <w:szCs w:val="20"/>
          <w:color w:val="auto"/>
        </w:rPr>
      </w:pPr>
      <w:r>
        <w:rPr>
          <w:rFonts w:ascii="Arial" w:cs="Arial" w:eastAsia="Arial" w:hAnsi="Arial"/>
          <w:sz w:val="13"/>
          <w:szCs w:val="13"/>
          <w:color w:val="auto"/>
        </w:rPr>
        <w:t>Square Feet/Foot</w:t>
      </w:r>
    </w:p>
    <w:p>
      <w:pPr>
        <w:spacing w:after="0" w:line="140" w:lineRule="exact"/>
        <w:rPr>
          <w:sz w:val="20"/>
          <w:szCs w:val="20"/>
          <w:color w:val="auto"/>
        </w:rPr>
      </w:pPr>
    </w:p>
    <w:p>
      <w:pPr>
        <w:spacing w:after="0"/>
        <w:rPr>
          <w:sz w:val="20"/>
          <w:szCs w:val="20"/>
          <w:color w:val="auto"/>
        </w:rPr>
      </w:pPr>
      <w:r>
        <w:rPr>
          <w:rFonts w:ascii="Arial" w:cs="Arial" w:eastAsia="Arial" w:hAnsi="Arial"/>
          <w:sz w:val="13"/>
          <w:szCs w:val="13"/>
          <w:color w:val="auto"/>
        </w:rPr>
        <w:t>South of Downtown submarket of Seattle</w:t>
      </w:r>
    </w:p>
    <w:p>
      <w:pPr>
        <w:spacing w:after="0" w:line="140" w:lineRule="exact"/>
        <w:rPr>
          <w:sz w:val="20"/>
          <w:szCs w:val="20"/>
          <w:color w:val="auto"/>
        </w:rPr>
      </w:pPr>
    </w:p>
    <w:p>
      <w:pPr>
        <w:spacing w:after="0"/>
        <w:rPr>
          <w:sz w:val="20"/>
          <w:szCs w:val="20"/>
          <w:color w:val="auto"/>
        </w:rPr>
      </w:pPr>
      <w:r>
        <w:rPr>
          <w:rFonts w:ascii="Arial" w:cs="Arial" w:eastAsia="Arial" w:hAnsi="Arial"/>
          <w:sz w:val="13"/>
          <w:szCs w:val="13"/>
          <w:color w:val="auto"/>
        </w:rPr>
        <w:t>Secured Overnight Financing Rate</w:t>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color w:val="auto"/>
        </w:rPr>
        <w:t>South of Market submarket of the San Francisco Bay Area</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color w:val="auto"/>
        </w:rPr>
        <w:t>United States</w:t>
      </w:r>
    </w:p>
    <w:p>
      <w:pPr>
        <w:spacing w:after="0" w:line="140" w:lineRule="exact"/>
        <w:rPr>
          <w:sz w:val="20"/>
          <w:szCs w:val="20"/>
          <w:color w:val="auto"/>
        </w:rPr>
      </w:pPr>
    </w:p>
    <w:p>
      <w:pPr>
        <w:spacing w:after="0"/>
        <w:rPr>
          <w:sz w:val="20"/>
          <w:szCs w:val="20"/>
          <w:color w:val="auto"/>
        </w:rPr>
      </w:pPr>
      <w:r>
        <w:rPr>
          <w:rFonts w:ascii="Arial" w:cs="Arial" w:eastAsia="Arial" w:hAnsi="Arial"/>
          <w:sz w:val="13"/>
          <w:szCs w:val="13"/>
          <w:color w:val="auto"/>
        </w:rPr>
        <w:t>Variable Interest Entity</w:t>
      </w:r>
    </w:p>
    <w:p>
      <w:pPr>
        <w:sectPr>
          <w:pgSz w:w="11900" w:h="16838" w:orient="portrait"/>
          <w:cols w:equalWidth="0" w:num="2">
            <w:col w:w="2460" w:space="320"/>
            <w:col w:w="6239"/>
          </w:cols>
          <w:pgMar w:left="1440" w:top="118" w:right="1440" w:bottom="1440" w:gutter="0" w:footer="0" w:header="0"/>
          <w:type w:val="continuous"/>
        </w:sectPr>
      </w:pPr>
    </w:p>
    <w:bookmarkStart w:id="2" w:name="page3"/>
    <w:bookmarkEnd w:id="2"/>
    <w:p>
      <w:pPr>
        <w:jc w:val="center"/>
        <w:ind w:right="19"/>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982345</wp:posOffset>
            </wp:positionH>
            <wp:positionV relativeFrom="page">
              <wp:posOffset>88900</wp:posOffset>
            </wp:positionV>
            <wp:extent cx="5584190" cy="8077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84190" cy="807720"/>
                    </a:xfrm>
                    <a:prstGeom prst="rect">
                      <a:avLst/>
                    </a:prstGeom>
                    <a:noFill/>
                  </pic:spPr>
                </pic:pic>
              </a:graphicData>
            </a:graphic>
          </wp:anchor>
        </w:drawing>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188595</wp:posOffset>
            </wp:positionV>
            <wp:extent cx="5584190" cy="72205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640" w:type="dxa"/>
        <w:tblCellMar>
          <w:top w:w="0" w:type="dxa"/>
          <w:left w:w="0" w:type="dxa"/>
          <w:bottom w:w="0" w:type="dxa"/>
          <w:right w:w="0" w:type="dxa"/>
        </w:tblCellMar>
      </w:tblPr>
      <w:tr>
        <w:trPr>
          <w:trHeight w:val="177"/>
        </w:trPr>
        <w:tc>
          <w:tcPr>
            <w:tcW w:w="5040" w:type="dxa"/>
            <w:vAlign w:val="bottom"/>
            <w:gridSpan w:val="2"/>
          </w:tcPr>
          <w:p>
            <w:pPr>
              <w:jc w:val="center"/>
              <w:ind w:left="2596"/>
              <w:spacing w:after="0"/>
              <w:rPr>
                <w:sz w:val="20"/>
                <w:szCs w:val="20"/>
                <w:color w:val="auto"/>
              </w:rPr>
            </w:pPr>
            <w:r>
              <w:rPr>
                <w:rFonts w:ascii="Arial" w:cs="Arial" w:eastAsia="Arial" w:hAnsi="Arial"/>
                <w:sz w:val="13"/>
                <w:szCs w:val="13"/>
                <w:b w:val="1"/>
                <w:bCs w:val="1"/>
                <w:color w:val="auto"/>
                <w:w w:val="97"/>
              </w:rPr>
              <w:t>PART I – FINANCIAL INFORMATION</w:t>
            </w: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311"/>
        </w:trPr>
        <w:tc>
          <w:tcPr>
            <w:tcW w:w="4800" w:type="dxa"/>
            <w:vAlign w:val="bottom"/>
          </w:tcPr>
          <w:p>
            <w:pPr>
              <w:spacing w:after="0"/>
              <w:rPr>
                <w:sz w:val="20"/>
                <w:szCs w:val="20"/>
                <w:color w:val="auto"/>
              </w:rPr>
            </w:pPr>
            <w:r>
              <w:rPr>
                <w:rFonts w:ascii="Arial" w:cs="Arial" w:eastAsia="Arial" w:hAnsi="Arial"/>
                <w:sz w:val="13"/>
                <w:szCs w:val="13"/>
                <w:b w:val="1"/>
                <w:bCs w:val="1"/>
                <w:color w:val="auto"/>
              </w:rPr>
              <w:t>ITEM 1. FINANCIAL STATEMENTS (UNAUDITED)</w:t>
            </w: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85"/>
        </w:trPr>
        <w:tc>
          <w:tcPr>
            <w:tcW w:w="5040" w:type="dxa"/>
            <w:vAlign w:val="bottom"/>
            <w:gridSpan w:val="2"/>
          </w:tcPr>
          <w:p>
            <w:pPr>
              <w:jc w:val="center"/>
              <w:ind w:left="2636"/>
              <w:spacing w:after="0"/>
              <w:rPr>
                <w:sz w:val="20"/>
                <w:szCs w:val="20"/>
                <w:color w:val="auto"/>
              </w:rPr>
            </w:pPr>
            <w:r>
              <w:rPr>
                <w:rFonts w:ascii="Arial" w:cs="Arial" w:eastAsia="Arial" w:hAnsi="Arial"/>
                <w:sz w:val="13"/>
                <w:szCs w:val="13"/>
                <w:b w:val="1"/>
                <w:bCs w:val="1"/>
                <w:color w:val="auto"/>
                <w:w w:val="99"/>
              </w:rPr>
              <w:t>Alexandria Real Estate Equities, Inc.</w:t>
            </w: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52"/>
        </w:trPr>
        <w:tc>
          <w:tcPr>
            <w:tcW w:w="4800" w:type="dxa"/>
            <w:vAlign w:val="bottom"/>
          </w:tcPr>
          <w:p>
            <w:pPr>
              <w:jc w:val="center"/>
              <w:ind w:left="2856"/>
              <w:spacing w:after="0"/>
              <w:rPr>
                <w:sz w:val="20"/>
                <w:szCs w:val="20"/>
                <w:color w:val="auto"/>
              </w:rPr>
            </w:pPr>
            <w:r>
              <w:rPr>
                <w:rFonts w:ascii="Arial" w:cs="Arial" w:eastAsia="Arial" w:hAnsi="Arial"/>
                <w:sz w:val="13"/>
                <w:szCs w:val="13"/>
                <w:b w:val="1"/>
                <w:bCs w:val="1"/>
                <w:color w:val="auto"/>
                <w:w w:val="98"/>
              </w:rPr>
              <w:t>Consolidated Balance Sheets</w:t>
            </w:r>
          </w:p>
        </w:tc>
        <w:tc>
          <w:tcPr>
            <w:tcW w:w="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r>
      <w:tr>
        <w:trPr>
          <w:trHeight w:val="167"/>
        </w:trPr>
        <w:tc>
          <w:tcPr>
            <w:tcW w:w="4800" w:type="dxa"/>
            <w:vAlign w:val="bottom"/>
          </w:tcPr>
          <w:p>
            <w:pPr>
              <w:jc w:val="center"/>
              <w:ind w:left="2876"/>
              <w:spacing w:after="0"/>
              <w:rPr>
                <w:sz w:val="20"/>
                <w:szCs w:val="20"/>
                <w:color w:val="auto"/>
              </w:rPr>
            </w:pPr>
            <w:r>
              <w:rPr>
                <w:rFonts w:ascii="Arial" w:cs="Arial" w:eastAsia="Arial" w:hAnsi="Arial"/>
                <w:sz w:val="13"/>
                <w:szCs w:val="13"/>
                <w:i w:val="1"/>
                <w:iCs w:val="1"/>
                <w:color w:val="auto"/>
                <w:w w:val="98"/>
              </w:rPr>
              <w:t>(In thousands)</w:t>
            </w: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370"/>
        </w:trPr>
        <w:tc>
          <w:tcPr>
            <w:tcW w:w="4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3"/>
                <w:szCs w:val="13"/>
                <w:color w:val="auto"/>
                <w:w w:val="99"/>
              </w:rPr>
              <w:t>June 30, 2024</w:t>
            </w:r>
          </w:p>
        </w:tc>
        <w:tc>
          <w:tcPr>
            <w:tcW w:w="120" w:type="dxa"/>
            <w:vAlign w:val="bottom"/>
          </w:tcPr>
          <w:p>
            <w:pPr>
              <w:spacing w:after="0"/>
              <w:rPr>
                <w:sz w:val="24"/>
                <w:szCs w:val="24"/>
                <w:color w:val="auto"/>
              </w:rPr>
            </w:pPr>
          </w:p>
        </w:tc>
        <w:tc>
          <w:tcPr>
            <w:tcW w:w="1300" w:type="dxa"/>
            <w:vAlign w:val="bottom"/>
          </w:tcPr>
          <w:p>
            <w:pPr>
              <w:jc w:val="right"/>
              <w:ind w:right="76"/>
              <w:spacing w:after="0"/>
              <w:rPr>
                <w:sz w:val="20"/>
                <w:szCs w:val="20"/>
                <w:color w:val="auto"/>
              </w:rPr>
            </w:pPr>
            <w:r>
              <w:rPr>
                <w:rFonts w:ascii="Arial" w:cs="Arial" w:eastAsia="Arial" w:hAnsi="Arial"/>
                <w:sz w:val="13"/>
                <w:szCs w:val="13"/>
                <w:color w:val="auto"/>
                <w:w w:val="99"/>
              </w:rPr>
              <w:t>December 31, 2023</w:t>
            </w:r>
          </w:p>
        </w:tc>
      </w:tr>
      <w:tr>
        <w:trPr>
          <w:trHeight w:val="159"/>
        </w:trPr>
        <w:tc>
          <w:tcPr>
            <w:tcW w:w="4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3"/>
                <w:szCs w:val="13"/>
                <w:i w:val="1"/>
                <w:iCs w:val="1"/>
                <w:color w:val="auto"/>
                <w:w w:val="97"/>
              </w:rPr>
              <w:t>(Unaudited)</w:t>
            </w: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r>
      <w:tr>
        <w:trPr>
          <w:trHeight w:val="184"/>
        </w:trPr>
        <w:tc>
          <w:tcPr>
            <w:tcW w:w="4800" w:type="dxa"/>
            <w:vAlign w:val="bottom"/>
            <w:tcBorders>
              <w:top w:val="single" w:sz="8" w:color="CCEEFF"/>
            </w:tcBorders>
            <w:shd w:val="clear" w:color="auto" w:fill="CCEEFF"/>
          </w:tcPr>
          <w:p>
            <w:pPr>
              <w:ind w:left="2220"/>
              <w:spacing w:after="0"/>
              <w:rPr>
                <w:sz w:val="20"/>
                <w:szCs w:val="20"/>
                <w:color w:val="auto"/>
              </w:rPr>
            </w:pPr>
            <w:r>
              <w:rPr>
                <w:rFonts w:ascii="Arial" w:cs="Arial" w:eastAsia="Arial" w:hAnsi="Arial"/>
                <w:sz w:val="13"/>
                <w:szCs w:val="13"/>
                <w:color w:val="auto"/>
              </w:rPr>
              <w:t>Assets</w:t>
            </w:r>
          </w:p>
        </w:tc>
        <w:tc>
          <w:tcPr>
            <w:tcW w:w="24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r>
      <w:tr>
        <w:trPr>
          <w:trHeight w:val="204"/>
        </w:trPr>
        <w:tc>
          <w:tcPr>
            <w:tcW w:w="4800" w:type="dxa"/>
            <w:vAlign w:val="bottom"/>
          </w:tcPr>
          <w:p>
            <w:pPr>
              <w:ind w:left="40"/>
              <w:spacing w:after="0"/>
              <w:rPr>
                <w:sz w:val="20"/>
                <w:szCs w:val="20"/>
                <w:color w:val="auto"/>
              </w:rPr>
            </w:pPr>
            <w:r>
              <w:rPr>
                <w:rFonts w:ascii="Arial" w:cs="Arial" w:eastAsia="Arial" w:hAnsi="Arial"/>
                <w:sz w:val="13"/>
                <w:szCs w:val="13"/>
                <w:color w:val="auto"/>
              </w:rPr>
              <w:t>Investments in real estate</w:t>
            </w:r>
          </w:p>
        </w:tc>
        <w:tc>
          <w:tcPr>
            <w:tcW w:w="24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32,673,839</w:t>
            </w:r>
          </w:p>
        </w:tc>
        <w:tc>
          <w:tcPr>
            <w:tcW w:w="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300" w:type="dxa"/>
            <w:vAlign w:val="bottom"/>
          </w:tcPr>
          <w:p>
            <w:pPr>
              <w:jc w:val="right"/>
              <w:spacing w:after="0"/>
              <w:rPr>
                <w:sz w:val="20"/>
                <w:szCs w:val="20"/>
                <w:color w:val="auto"/>
              </w:rPr>
            </w:pPr>
            <w:r>
              <w:rPr>
                <w:rFonts w:ascii="Arial" w:cs="Arial" w:eastAsia="Arial" w:hAnsi="Arial"/>
                <w:sz w:val="13"/>
                <w:szCs w:val="13"/>
                <w:color w:val="auto"/>
              </w:rPr>
              <w:t>31,633,511</w:t>
            </w:r>
          </w:p>
        </w:tc>
      </w:tr>
      <w:tr>
        <w:trPr>
          <w:trHeight w:val="204"/>
        </w:trPr>
        <w:tc>
          <w:tcPr>
            <w:tcW w:w="4800" w:type="dxa"/>
            <w:vAlign w:val="bottom"/>
            <w:shd w:val="clear" w:color="auto" w:fill="CCEEFF"/>
          </w:tcPr>
          <w:p>
            <w:pPr>
              <w:ind w:left="40"/>
              <w:spacing w:after="0"/>
              <w:rPr>
                <w:sz w:val="20"/>
                <w:szCs w:val="20"/>
                <w:color w:val="auto"/>
              </w:rPr>
            </w:pPr>
            <w:r>
              <w:rPr>
                <w:rFonts w:ascii="Arial" w:cs="Arial" w:eastAsia="Arial" w:hAnsi="Arial"/>
                <w:sz w:val="13"/>
                <w:szCs w:val="13"/>
                <w:color w:val="auto"/>
              </w:rPr>
              <w:t>Investments in unconsolidated real estate joint ventures</w:t>
            </w: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40,535</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37,780</w:t>
            </w:r>
          </w:p>
        </w:tc>
      </w:tr>
      <w:tr>
        <w:trPr>
          <w:trHeight w:val="204"/>
        </w:trPr>
        <w:tc>
          <w:tcPr>
            <w:tcW w:w="4800" w:type="dxa"/>
            <w:vAlign w:val="bottom"/>
          </w:tcPr>
          <w:p>
            <w:pPr>
              <w:ind w:left="40"/>
              <w:spacing w:after="0"/>
              <w:rPr>
                <w:sz w:val="20"/>
                <w:szCs w:val="20"/>
                <w:color w:val="auto"/>
              </w:rPr>
            </w:pPr>
            <w:r>
              <w:rPr>
                <w:rFonts w:ascii="Arial" w:cs="Arial" w:eastAsia="Arial" w:hAnsi="Arial"/>
                <w:sz w:val="13"/>
                <w:szCs w:val="13"/>
                <w:color w:val="auto"/>
              </w:rPr>
              <w:t>Cash and cash equivalents</w:t>
            </w: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561,021</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618,190</w:t>
            </w:r>
          </w:p>
        </w:tc>
      </w:tr>
      <w:tr>
        <w:trPr>
          <w:trHeight w:val="204"/>
        </w:trPr>
        <w:tc>
          <w:tcPr>
            <w:tcW w:w="4800" w:type="dxa"/>
            <w:vAlign w:val="bottom"/>
            <w:shd w:val="clear" w:color="auto" w:fill="CCEEFF"/>
          </w:tcPr>
          <w:p>
            <w:pPr>
              <w:ind w:left="40"/>
              <w:spacing w:after="0"/>
              <w:rPr>
                <w:sz w:val="20"/>
                <w:szCs w:val="20"/>
                <w:color w:val="auto"/>
              </w:rPr>
            </w:pPr>
            <w:r>
              <w:rPr>
                <w:rFonts w:ascii="Arial" w:cs="Arial" w:eastAsia="Arial" w:hAnsi="Arial"/>
                <w:sz w:val="13"/>
                <w:szCs w:val="13"/>
                <w:color w:val="auto"/>
              </w:rPr>
              <w:t>Restricted cash</w:t>
            </w: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4,832</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42,581</w:t>
            </w:r>
          </w:p>
        </w:tc>
      </w:tr>
      <w:tr>
        <w:trPr>
          <w:trHeight w:val="204"/>
        </w:trPr>
        <w:tc>
          <w:tcPr>
            <w:tcW w:w="4800" w:type="dxa"/>
            <w:vAlign w:val="bottom"/>
          </w:tcPr>
          <w:p>
            <w:pPr>
              <w:ind w:left="40"/>
              <w:spacing w:after="0"/>
              <w:rPr>
                <w:sz w:val="20"/>
                <w:szCs w:val="20"/>
                <w:color w:val="auto"/>
              </w:rPr>
            </w:pPr>
            <w:r>
              <w:rPr>
                <w:rFonts w:ascii="Arial" w:cs="Arial" w:eastAsia="Arial" w:hAnsi="Arial"/>
                <w:sz w:val="13"/>
                <w:szCs w:val="13"/>
                <w:color w:val="auto"/>
              </w:rPr>
              <w:t>Tenant receivables</w:t>
            </w: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6,822</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8,211</w:t>
            </w:r>
          </w:p>
        </w:tc>
      </w:tr>
      <w:tr>
        <w:trPr>
          <w:trHeight w:val="204"/>
        </w:trPr>
        <w:tc>
          <w:tcPr>
            <w:tcW w:w="4800" w:type="dxa"/>
            <w:vAlign w:val="bottom"/>
            <w:shd w:val="clear" w:color="auto" w:fill="CCEEFF"/>
          </w:tcPr>
          <w:p>
            <w:pPr>
              <w:ind w:left="40"/>
              <w:spacing w:after="0"/>
              <w:rPr>
                <w:sz w:val="20"/>
                <w:szCs w:val="20"/>
                <w:color w:val="auto"/>
              </w:rPr>
            </w:pPr>
            <w:r>
              <w:rPr>
                <w:rFonts w:ascii="Arial" w:cs="Arial" w:eastAsia="Arial" w:hAnsi="Arial"/>
                <w:sz w:val="13"/>
                <w:szCs w:val="13"/>
                <w:color w:val="auto"/>
              </w:rPr>
              <w:t>Deferred rent</w:t>
            </w: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1,190,336</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1,050,319</w:t>
            </w:r>
          </w:p>
        </w:tc>
      </w:tr>
      <w:tr>
        <w:trPr>
          <w:trHeight w:val="204"/>
        </w:trPr>
        <w:tc>
          <w:tcPr>
            <w:tcW w:w="4800" w:type="dxa"/>
            <w:vAlign w:val="bottom"/>
          </w:tcPr>
          <w:p>
            <w:pPr>
              <w:ind w:left="40"/>
              <w:spacing w:after="0"/>
              <w:rPr>
                <w:sz w:val="20"/>
                <w:szCs w:val="20"/>
                <w:color w:val="auto"/>
              </w:rPr>
            </w:pPr>
            <w:r>
              <w:rPr>
                <w:rFonts w:ascii="Arial" w:cs="Arial" w:eastAsia="Arial" w:hAnsi="Arial"/>
                <w:sz w:val="13"/>
                <w:szCs w:val="13"/>
                <w:color w:val="auto"/>
              </w:rPr>
              <w:t>Deferred leasing costs</w:t>
            </w: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519,629</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509,398</w:t>
            </w:r>
          </w:p>
        </w:tc>
      </w:tr>
      <w:tr>
        <w:trPr>
          <w:trHeight w:val="204"/>
        </w:trPr>
        <w:tc>
          <w:tcPr>
            <w:tcW w:w="4800" w:type="dxa"/>
            <w:vAlign w:val="bottom"/>
            <w:shd w:val="clear" w:color="auto" w:fill="CCEEFF"/>
          </w:tcPr>
          <w:p>
            <w:pPr>
              <w:ind w:left="40"/>
              <w:spacing w:after="0"/>
              <w:rPr>
                <w:sz w:val="20"/>
                <w:szCs w:val="20"/>
                <w:color w:val="auto"/>
              </w:rPr>
            </w:pPr>
            <w:r>
              <w:rPr>
                <w:rFonts w:ascii="Arial" w:cs="Arial" w:eastAsia="Arial" w:hAnsi="Arial"/>
                <w:sz w:val="13"/>
                <w:szCs w:val="13"/>
                <w:color w:val="auto"/>
              </w:rPr>
              <w:t>Investments</w:t>
            </w: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1,494,348</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1,449,518</w:t>
            </w:r>
          </w:p>
        </w:tc>
      </w:tr>
      <w:tr>
        <w:trPr>
          <w:trHeight w:val="204"/>
        </w:trPr>
        <w:tc>
          <w:tcPr>
            <w:tcW w:w="480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Other assets</w:t>
            </w: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1,356,503</w:t>
            </w:r>
          </w:p>
        </w:tc>
        <w:tc>
          <w:tcPr>
            <w:tcW w:w="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1,421,894</w:t>
            </w:r>
          </w:p>
        </w:tc>
      </w:tr>
      <w:tr>
        <w:trPr>
          <w:trHeight w:val="188"/>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Total assets</w:t>
            </w:r>
          </w:p>
        </w:tc>
        <w:tc>
          <w:tcPr>
            <w:tcW w:w="2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37,847,865</w:t>
            </w:r>
          </w:p>
        </w:tc>
        <w:tc>
          <w:tcPr>
            <w:tcW w:w="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36,771,402</w:t>
            </w: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124"/>
        </w:trPr>
        <w:tc>
          <w:tcPr>
            <w:tcW w:w="4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tcPr>
          <w:p>
            <w:pPr>
              <w:spacing w:after="0"/>
              <w:rPr>
                <w:sz w:val="10"/>
                <w:szCs w:val="10"/>
                <w:color w:val="auto"/>
              </w:rPr>
            </w:pPr>
          </w:p>
        </w:tc>
      </w:tr>
      <w:tr>
        <w:trPr>
          <w:trHeight w:val="204"/>
        </w:trPr>
        <w:tc>
          <w:tcPr>
            <w:tcW w:w="4800" w:type="dxa"/>
            <w:vAlign w:val="bottom"/>
            <w:shd w:val="clear" w:color="auto" w:fill="CCEEFF"/>
          </w:tcPr>
          <w:p>
            <w:pPr>
              <w:ind w:left="1100"/>
              <w:spacing w:after="0"/>
              <w:rPr>
                <w:sz w:val="20"/>
                <w:szCs w:val="20"/>
                <w:color w:val="auto"/>
              </w:rPr>
            </w:pPr>
            <w:r>
              <w:rPr>
                <w:rFonts w:ascii="Arial" w:cs="Arial" w:eastAsia="Arial" w:hAnsi="Arial"/>
                <w:sz w:val="13"/>
                <w:szCs w:val="13"/>
                <w:color w:val="auto"/>
              </w:rPr>
              <w:t>Liabilities, Noncontrolling Interests, and Equity</w:t>
            </w: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04"/>
        </w:trPr>
        <w:tc>
          <w:tcPr>
            <w:tcW w:w="4800" w:type="dxa"/>
            <w:vAlign w:val="bottom"/>
          </w:tcPr>
          <w:p>
            <w:pPr>
              <w:ind w:left="40"/>
              <w:spacing w:after="0"/>
              <w:rPr>
                <w:sz w:val="20"/>
                <w:szCs w:val="20"/>
                <w:color w:val="auto"/>
              </w:rPr>
            </w:pPr>
            <w:r>
              <w:rPr>
                <w:rFonts w:ascii="Arial" w:cs="Arial" w:eastAsia="Arial" w:hAnsi="Arial"/>
                <w:sz w:val="13"/>
                <w:szCs w:val="13"/>
                <w:color w:val="auto"/>
              </w:rPr>
              <w:t>Secured notes payable</w:t>
            </w:r>
          </w:p>
        </w:tc>
        <w:tc>
          <w:tcPr>
            <w:tcW w:w="24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134,942</w:t>
            </w:r>
          </w:p>
        </w:tc>
        <w:tc>
          <w:tcPr>
            <w:tcW w:w="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300" w:type="dxa"/>
            <w:vAlign w:val="bottom"/>
          </w:tcPr>
          <w:p>
            <w:pPr>
              <w:jc w:val="right"/>
              <w:spacing w:after="0"/>
              <w:rPr>
                <w:sz w:val="20"/>
                <w:szCs w:val="20"/>
                <w:color w:val="auto"/>
              </w:rPr>
            </w:pPr>
            <w:r>
              <w:rPr>
                <w:rFonts w:ascii="Arial" w:cs="Arial" w:eastAsia="Arial" w:hAnsi="Arial"/>
                <w:sz w:val="13"/>
                <w:szCs w:val="13"/>
                <w:color w:val="auto"/>
              </w:rPr>
              <w:t>119,662</w:t>
            </w:r>
          </w:p>
        </w:tc>
      </w:tr>
      <w:tr>
        <w:trPr>
          <w:trHeight w:val="204"/>
        </w:trPr>
        <w:tc>
          <w:tcPr>
            <w:tcW w:w="4800" w:type="dxa"/>
            <w:vAlign w:val="bottom"/>
            <w:shd w:val="clear" w:color="auto" w:fill="CCEEFF"/>
          </w:tcPr>
          <w:p>
            <w:pPr>
              <w:ind w:left="40"/>
              <w:spacing w:after="0"/>
              <w:rPr>
                <w:sz w:val="20"/>
                <w:szCs w:val="20"/>
                <w:color w:val="auto"/>
              </w:rPr>
            </w:pPr>
            <w:r>
              <w:rPr>
                <w:rFonts w:ascii="Arial" w:cs="Arial" w:eastAsia="Arial" w:hAnsi="Arial"/>
                <w:sz w:val="13"/>
                <w:szCs w:val="13"/>
                <w:color w:val="auto"/>
              </w:rPr>
              <w:t>Unsecured senior notes payable</w:t>
            </w: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12,089,561</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11,096,028</w:t>
            </w:r>
          </w:p>
        </w:tc>
      </w:tr>
      <w:tr>
        <w:trPr>
          <w:trHeight w:val="204"/>
        </w:trPr>
        <w:tc>
          <w:tcPr>
            <w:tcW w:w="4800" w:type="dxa"/>
            <w:vAlign w:val="bottom"/>
          </w:tcPr>
          <w:p>
            <w:pPr>
              <w:ind w:left="40"/>
              <w:spacing w:after="0"/>
              <w:rPr>
                <w:sz w:val="20"/>
                <w:szCs w:val="20"/>
                <w:color w:val="auto"/>
              </w:rPr>
            </w:pPr>
            <w:r>
              <w:rPr>
                <w:rFonts w:ascii="Arial" w:cs="Arial" w:eastAsia="Arial" w:hAnsi="Arial"/>
                <w:sz w:val="13"/>
                <w:szCs w:val="13"/>
                <w:color w:val="auto"/>
              </w:rPr>
              <w:t>Unsecured senior line of credit and commercial paper</w:t>
            </w: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199,552</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99,952</w:t>
            </w:r>
          </w:p>
        </w:tc>
      </w:tr>
      <w:tr>
        <w:trPr>
          <w:trHeight w:val="204"/>
        </w:trPr>
        <w:tc>
          <w:tcPr>
            <w:tcW w:w="4800" w:type="dxa"/>
            <w:vAlign w:val="bottom"/>
            <w:shd w:val="clear" w:color="auto" w:fill="CCEEFF"/>
          </w:tcPr>
          <w:p>
            <w:pPr>
              <w:ind w:left="40"/>
              <w:spacing w:after="0"/>
              <w:rPr>
                <w:sz w:val="20"/>
                <w:szCs w:val="20"/>
                <w:color w:val="auto"/>
              </w:rPr>
            </w:pPr>
            <w:r>
              <w:rPr>
                <w:rFonts w:ascii="Arial" w:cs="Arial" w:eastAsia="Arial" w:hAnsi="Arial"/>
                <w:sz w:val="13"/>
                <w:szCs w:val="13"/>
                <w:color w:val="auto"/>
              </w:rPr>
              <w:t>Accounts payable, accrued expenses, and other liabilities</w:t>
            </w: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2,529,535</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2,610,943</w:t>
            </w:r>
          </w:p>
        </w:tc>
      </w:tr>
      <w:tr>
        <w:trPr>
          <w:trHeight w:val="204"/>
        </w:trPr>
        <w:tc>
          <w:tcPr>
            <w:tcW w:w="480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Dividends payable</w:t>
            </w: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227,408</w:t>
            </w:r>
          </w:p>
        </w:tc>
        <w:tc>
          <w:tcPr>
            <w:tcW w:w="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221,824</w:t>
            </w:r>
          </w:p>
        </w:tc>
      </w:tr>
      <w:tr>
        <w:trPr>
          <w:trHeight w:val="184"/>
        </w:trPr>
        <w:tc>
          <w:tcPr>
            <w:tcW w:w="4800" w:type="dxa"/>
            <w:vAlign w:val="bottom"/>
            <w:shd w:val="clear" w:color="auto" w:fill="CCEEFF"/>
          </w:tcPr>
          <w:p>
            <w:pPr>
              <w:ind w:left="40"/>
              <w:spacing w:after="0"/>
              <w:rPr>
                <w:sz w:val="20"/>
                <w:szCs w:val="20"/>
                <w:color w:val="auto"/>
              </w:rPr>
            </w:pPr>
            <w:r>
              <w:rPr>
                <w:rFonts w:ascii="Arial" w:cs="Arial" w:eastAsia="Arial" w:hAnsi="Arial"/>
                <w:sz w:val="13"/>
                <w:szCs w:val="13"/>
                <w:color w:val="auto"/>
              </w:rPr>
              <w:t>Total liabilities</w:t>
            </w: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15,180,998</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14,148,409</w:t>
            </w:r>
          </w:p>
        </w:tc>
      </w:tr>
      <w:tr>
        <w:trPr>
          <w:trHeight w:val="183"/>
        </w:trPr>
        <w:tc>
          <w:tcPr>
            <w:tcW w:w="4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204"/>
        </w:trPr>
        <w:tc>
          <w:tcPr>
            <w:tcW w:w="4800" w:type="dxa"/>
            <w:vAlign w:val="bottom"/>
            <w:shd w:val="clear" w:color="auto" w:fill="CCEEFF"/>
          </w:tcPr>
          <w:p>
            <w:pPr>
              <w:ind w:left="40"/>
              <w:spacing w:after="0"/>
              <w:rPr>
                <w:sz w:val="20"/>
                <w:szCs w:val="20"/>
                <w:color w:val="auto"/>
              </w:rPr>
            </w:pPr>
            <w:r>
              <w:rPr>
                <w:rFonts w:ascii="Arial" w:cs="Arial" w:eastAsia="Arial" w:hAnsi="Arial"/>
                <w:sz w:val="13"/>
                <w:szCs w:val="13"/>
                <w:color w:val="auto"/>
              </w:rPr>
              <w:t>Commitments and contingencies</w:t>
            </w: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183"/>
        </w:trPr>
        <w:tc>
          <w:tcPr>
            <w:tcW w:w="4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204"/>
        </w:trPr>
        <w:tc>
          <w:tcPr>
            <w:tcW w:w="4800" w:type="dxa"/>
            <w:vAlign w:val="bottom"/>
            <w:shd w:val="clear" w:color="auto" w:fill="CCEEFF"/>
          </w:tcPr>
          <w:p>
            <w:pPr>
              <w:ind w:left="40"/>
              <w:spacing w:after="0"/>
              <w:rPr>
                <w:sz w:val="20"/>
                <w:szCs w:val="20"/>
                <w:color w:val="auto"/>
              </w:rPr>
            </w:pPr>
            <w:r>
              <w:rPr>
                <w:rFonts w:ascii="Arial" w:cs="Arial" w:eastAsia="Arial" w:hAnsi="Arial"/>
                <w:sz w:val="13"/>
                <w:szCs w:val="13"/>
                <w:color w:val="auto"/>
              </w:rPr>
              <w:t>Redeemable noncontrolling interests</w:t>
            </w: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16,440</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16,480</w:t>
            </w:r>
          </w:p>
        </w:tc>
      </w:tr>
      <w:tr>
        <w:trPr>
          <w:trHeight w:val="183"/>
        </w:trPr>
        <w:tc>
          <w:tcPr>
            <w:tcW w:w="4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204"/>
        </w:trPr>
        <w:tc>
          <w:tcPr>
            <w:tcW w:w="4800" w:type="dxa"/>
            <w:vAlign w:val="bottom"/>
            <w:shd w:val="clear" w:color="auto" w:fill="CCEEFF"/>
          </w:tcPr>
          <w:p>
            <w:pPr>
              <w:ind w:left="40"/>
              <w:spacing w:after="0"/>
              <w:rPr>
                <w:sz w:val="20"/>
                <w:szCs w:val="20"/>
                <w:color w:val="auto"/>
              </w:rPr>
            </w:pPr>
            <w:r>
              <w:rPr>
                <w:rFonts w:ascii="Arial" w:cs="Arial" w:eastAsia="Arial" w:hAnsi="Arial"/>
                <w:sz w:val="13"/>
                <w:szCs w:val="13"/>
                <w:color w:val="auto"/>
              </w:rPr>
              <w:t>Alexandria Real Estate Equities, Inc.’s stockholders’ equity:</w:t>
            </w: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04"/>
        </w:trPr>
        <w:tc>
          <w:tcPr>
            <w:tcW w:w="4800" w:type="dxa"/>
            <w:vAlign w:val="bottom"/>
          </w:tcPr>
          <w:p>
            <w:pPr>
              <w:ind w:left="140"/>
              <w:spacing w:after="0"/>
              <w:rPr>
                <w:sz w:val="20"/>
                <w:szCs w:val="20"/>
                <w:color w:val="auto"/>
              </w:rPr>
            </w:pPr>
            <w:r>
              <w:rPr>
                <w:rFonts w:ascii="Arial" w:cs="Arial" w:eastAsia="Arial" w:hAnsi="Arial"/>
                <w:sz w:val="13"/>
                <w:szCs w:val="13"/>
                <w:color w:val="auto"/>
              </w:rPr>
              <w:t>Common stock</w:t>
            </w: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1,720</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1,719</w:t>
            </w:r>
          </w:p>
        </w:tc>
      </w:tr>
      <w:tr>
        <w:trPr>
          <w:trHeight w:val="204"/>
        </w:trPr>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Additional paid-in capital</w:t>
            </w: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18,284,611</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18,485,352</w:t>
            </w:r>
          </w:p>
        </w:tc>
      </w:tr>
      <w:tr>
        <w:trPr>
          <w:trHeight w:val="204"/>
        </w:trPr>
        <w:tc>
          <w:tcPr>
            <w:tcW w:w="480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Accumulated other comprehensive loss</w:t>
            </w: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(27,710)</w:t>
            </w:r>
          </w:p>
        </w:tc>
        <w:tc>
          <w:tcPr>
            <w:tcW w:w="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(15,896)</w:t>
            </w:r>
          </w:p>
        </w:tc>
      </w:tr>
      <w:tr>
        <w:trPr>
          <w:trHeight w:val="184"/>
        </w:trPr>
        <w:tc>
          <w:tcPr>
            <w:tcW w:w="4800" w:type="dxa"/>
            <w:vAlign w:val="bottom"/>
            <w:shd w:val="clear" w:color="auto" w:fill="CCEEFF"/>
          </w:tcPr>
          <w:p>
            <w:pPr>
              <w:ind w:left="40"/>
              <w:spacing w:after="0"/>
              <w:rPr>
                <w:sz w:val="20"/>
                <w:szCs w:val="20"/>
                <w:color w:val="auto"/>
              </w:rPr>
            </w:pPr>
            <w:r>
              <w:rPr>
                <w:rFonts w:ascii="Arial" w:cs="Arial" w:eastAsia="Arial" w:hAnsi="Arial"/>
                <w:sz w:val="13"/>
                <w:szCs w:val="13"/>
                <w:color w:val="auto"/>
              </w:rPr>
              <w:t>Alexandria Real Estate Equities, Inc.’s stockholders’ equity</w:t>
            </w: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18,258,621</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18,471,175</w:t>
            </w:r>
          </w:p>
        </w:tc>
      </w:tr>
      <w:tr>
        <w:trPr>
          <w:trHeight w:val="204"/>
        </w:trPr>
        <w:tc>
          <w:tcPr>
            <w:tcW w:w="480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Noncontrolling interests</w:t>
            </w: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4,391,806</w:t>
            </w:r>
          </w:p>
        </w:tc>
        <w:tc>
          <w:tcPr>
            <w:tcW w:w="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4,135,338</w:t>
            </w:r>
          </w:p>
        </w:tc>
      </w:tr>
      <w:tr>
        <w:trPr>
          <w:trHeight w:val="184"/>
        </w:trPr>
        <w:tc>
          <w:tcPr>
            <w:tcW w:w="4800" w:type="dxa"/>
            <w:vAlign w:val="bottom"/>
            <w:shd w:val="clear" w:color="auto" w:fill="CCEEFF"/>
          </w:tcPr>
          <w:p>
            <w:pPr>
              <w:ind w:left="40"/>
              <w:spacing w:after="0"/>
              <w:rPr>
                <w:sz w:val="20"/>
                <w:szCs w:val="20"/>
                <w:color w:val="auto"/>
              </w:rPr>
            </w:pPr>
            <w:r>
              <w:rPr>
                <w:rFonts w:ascii="Arial" w:cs="Arial" w:eastAsia="Arial" w:hAnsi="Arial"/>
                <w:sz w:val="13"/>
                <w:szCs w:val="13"/>
                <w:color w:val="auto"/>
              </w:rPr>
              <w:t>Total equity</w:t>
            </w:r>
          </w:p>
        </w:tc>
        <w:tc>
          <w:tcPr>
            <w:tcW w:w="24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22,650,427</w:t>
            </w:r>
          </w:p>
        </w:tc>
        <w:tc>
          <w:tcPr>
            <w:tcW w:w="6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22,606,513</w:t>
            </w:r>
          </w:p>
        </w:tc>
      </w:tr>
      <w:tr>
        <w:trPr>
          <w:trHeight w:val="163"/>
        </w:trPr>
        <w:tc>
          <w:tcPr>
            <w:tcW w:w="4800" w:type="dxa"/>
            <w:vAlign w:val="bottom"/>
          </w:tcPr>
          <w:p>
            <w:pPr>
              <w:ind w:left="40"/>
              <w:spacing w:after="0"/>
              <w:rPr>
                <w:sz w:val="20"/>
                <w:szCs w:val="20"/>
                <w:color w:val="auto"/>
              </w:rPr>
            </w:pPr>
            <w:r>
              <w:rPr>
                <w:rFonts w:ascii="Arial" w:cs="Arial" w:eastAsia="Arial" w:hAnsi="Arial"/>
                <w:sz w:val="13"/>
                <w:szCs w:val="13"/>
                <w:color w:val="auto"/>
              </w:rPr>
              <w:t>Total liabilities, noncontrolling interests, and equity</w:t>
            </w:r>
          </w:p>
        </w:tc>
        <w:tc>
          <w:tcPr>
            <w:tcW w:w="24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37,847,865</w:t>
            </w:r>
          </w:p>
        </w:tc>
        <w:tc>
          <w:tcPr>
            <w:tcW w:w="6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36,771,402</w:t>
            </w:r>
          </w:p>
        </w:tc>
      </w:tr>
      <w:tr>
        <w:trPr>
          <w:trHeight w:val="20"/>
        </w:trPr>
        <w:tc>
          <w:tcPr>
            <w:tcW w:w="4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8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188595</wp:posOffset>
            </wp:positionV>
            <wp:extent cx="5584190" cy="23628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584190" cy="2362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39"/>
        <w:spacing w:after="0"/>
        <w:rPr>
          <w:sz w:val="20"/>
          <w:szCs w:val="20"/>
          <w:color w:val="auto"/>
        </w:rPr>
      </w:pPr>
      <w:r>
        <w:rPr>
          <w:rFonts w:ascii="Arial" w:cs="Arial" w:eastAsia="Arial" w:hAnsi="Arial"/>
          <w:sz w:val="13"/>
          <w:szCs w:val="13"/>
          <w:b w:val="1"/>
          <w:bCs w:val="1"/>
          <w:color w:val="auto"/>
        </w:rPr>
        <w:t>Alexandria Real Estate Equities, Inc.</w:t>
      </w:r>
    </w:p>
    <w:p>
      <w:pPr>
        <w:spacing w:after="0" w:line="13" w:lineRule="exact"/>
        <w:rPr>
          <w:sz w:val="20"/>
          <w:szCs w:val="20"/>
          <w:color w:val="auto"/>
        </w:rPr>
      </w:pPr>
    </w:p>
    <w:p>
      <w:pPr>
        <w:jc w:val="center"/>
        <w:ind w:right="139"/>
        <w:spacing w:after="0"/>
        <w:rPr>
          <w:sz w:val="20"/>
          <w:szCs w:val="20"/>
          <w:color w:val="auto"/>
        </w:rPr>
      </w:pPr>
      <w:r>
        <w:rPr>
          <w:rFonts w:ascii="Arial" w:cs="Arial" w:eastAsia="Arial" w:hAnsi="Arial"/>
          <w:sz w:val="13"/>
          <w:szCs w:val="13"/>
          <w:b w:val="1"/>
          <w:bCs w:val="1"/>
          <w:color w:val="auto"/>
        </w:rPr>
        <w:t>Consolidated Statements of Operations</w:t>
      </w:r>
    </w:p>
    <w:p>
      <w:pPr>
        <w:spacing w:after="0" w:line="12" w:lineRule="exact"/>
        <w:rPr>
          <w:sz w:val="20"/>
          <w:szCs w:val="20"/>
          <w:color w:val="auto"/>
        </w:rPr>
      </w:pPr>
    </w:p>
    <w:p>
      <w:pPr>
        <w:jc w:val="center"/>
        <w:ind w:right="139"/>
        <w:spacing w:after="0"/>
        <w:rPr>
          <w:sz w:val="20"/>
          <w:szCs w:val="20"/>
          <w:color w:val="auto"/>
        </w:rPr>
      </w:pPr>
      <w:r>
        <w:rPr>
          <w:rFonts w:ascii="Arial" w:cs="Arial" w:eastAsia="Arial" w:hAnsi="Arial"/>
          <w:sz w:val="13"/>
          <w:szCs w:val="13"/>
          <w:i w:val="1"/>
          <w:iCs w:val="1"/>
          <w:color w:val="auto"/>
        </w:rPr>
        <w:t>(In thousands, except per share amounts)</w:t>
      </w:r>
    </w:p>
    <w:p>
      <w:pPr>
        <w:spacing w:after="0" w:line="1" w:lineRule="exact"/>
        <w:rPr>
          <w:sz w:val="20"/>
          <w:szCs w:val="20"/>
          <w:color w:val="auto"/>
        </w:rPr>
      </w:pPr>
    </w:p>
    <w:p>
      <w:pPr>
        <w:jc w:val="center"/>
        <w:ind w:right="139"/>
        <w:spacing w:after="0"/>
        <w:rPr>
          <w:sz w:val="20"/>
          <w:szCs w:val="20"/>
          <w:color w:val="auto"/>
        </w:rPr>
      </w:pPr>
      <w:r>
        <w:rPr>
          <w:rFonts w:ascii="Arial" w:cs="Arial" w:eastAsia="Arial" w:hAnsi="Arial"/>
          <w:sz w:val="13"/>
          <w:szCs w:val="13"/>
          <w:i w:val="1"/>
          <w:iCs w:val="1"/>
          <w:color w:val="auto"/>
        </w:rPr>
        <w:t>(Unaudited)</w:t>
      </w:r>
    </w:p>
    <w:p>
      <w:pPr>
        <w:spacing w:after="0" w:line="214" w:lineRule="exact"/>
        <w:rPr>
          <w:sz w:val="20"/>
          <w:szCs w:val="20"/>
          <w:color w:val="auto"/>
        </w:rPr>
      </w:pPr>
    </w:p>
    <w:tbl>
      <w:tblPr>
        <w:tblLayout w:type="fixed"/>
        <w:tblInd w:w="560" w:type="dxa"/>
        <w:tblCellMar>
          <w:top w:w="0" w:type="dxa"/>
          <w:left w:w="0" w:type="dxa"/>
          <w:bottom w:w="0" w:type="dxa"/>
          <w:right w:w="0" w:type="dxa"/>
        </w:tblCellMar>
      </w:tblPr>
      <w:tr>
        <w:trPr>
          <w:trHeight w:val="169"/>
        </w:trPr>
        <w:tc>
          <w:tcPr>
            <w:tcW w:w="26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40" w:type="dxa"/>
            <w:vAlign w:val="bottom"/>
            <w:gridSpan w:val="3"/>
          </w:tcPr>
          <w:p>
            <w:pPr>
              <w:jc w:val="right"/>
              <w:ind w:right="196"/>
              <w:spacing w:after="0"/>
              <w:rPr>
                <w:sz w:val="20"/>
                <w:szCs w:val="20"/>
                <w:color w:val="auto"/>
              </w:rPr>
            </w:pPr>
            <w:r>
              <w:rPr>
                <w:rFonts w:ascii="Arial" w:cs="Arial" w:eastAsia="Arial" w:hAnsi="Arial"/>
                <w:sz w:val="13"/>
                <w:szCs w:val="13"/>
                <w:color w:val="auto"/>
              </w:rPr>
              <w:t>Three Months Ended June 30,</w:t>
            </w:r>
          </w:p>
        </w:tc>
        <w:tc>
          <w:tcPr>
            <w:tcW w:w="180" w:type="dxa"/>
            <w:vAlign w:val="bottom"/>
          </w:tcPr>
          <w:p>
            <w:pPr>
              <w:spacing w:after="0"/>
              <w:rPr>
                <w:sz w:val="14"/>
                <w:szCs w:val="14"/>
                <w:color w:val="auto"/>
              </w:rPr>
            </w:pPr>
          </w:p>
        </w:tc>
        <w:tc>
          <w:tcPr>
            <w:tcW w:w="1800" w:type="dxa"/>
            <w:vAlign w:val="bottom"/>
            <w:gridSpan w:val="3"/>
          </w:tcPr>
          <w:p>
            <w:pPr>
              <w:jc w:val="right"/>
              <w:ind w:right="96"/>
              <w:spacing w:after="0"/>
              <w:rPr>
                <w:sz w:val="20"/>
                <w:szCs w:val="20"/>
                <w:color w:val="auto"/>
              </w:rPr>
            </w:pPr>
            <w:r>
              <w:rPr>
                <w:rFonts w:ascii="Arial" w:cs="Arial" w:eastAsia="Arial" w:hAnsi="Arial"/>
                <w:sz w:val="13"/>
                <w:szCs w:val="13"/>
                <w:color w:val="auto"/>
              </w:rPr>
              <w:t>Six Months Ended June 30,</w:t>
            </w:r>
          </w:p>
        </w:tc>
      </w:tr>
      <w:tr>
        <w:trPr>
          <w:trHeight w:val="204"/>
        </w:trPr>
        <w:tc>
          <w:tcPr>
            <w:tcW w:w="26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jc w:val="right"/>
              <w:ind w:right="356"/>
              <w:spacing w:after="0"/>
              <w:rPr>
                <w:sz w:val="20"/>
                <w:szCs w:val="20"/>
                <w:color w:val="auto"/>
              </w:rPr>
            </w:pPr>
            <w:r>
              <w:rPr>
                <w:rFonts w:ascii="Arial" w:cs="Arial" w:eastAsia="Arial" w:hAnsi="Arial"/>
                <w:sz w:val="13"/>
                <w:szCs w:val="13"/>
                <w:color w:val="auto"/>
              </w:rPr>
              <w:t>2024</w:t>
            </w:r>
          </w:p>
        </w:tc>
        <w:tc>
          <w:tcPr>
            <w:tcW w:w="280" w:type="dxa"/>
            <w:vAlign w:val="bottom"/>
          </w:tcPr>
          <w:p>
            <w:pPr>
              <w:spacing w:after="0"/>
              <w:rPr>
                <w:sz w:val="17"/>
                <w:szCs w:val="17"/>
                <w:color w:val="auto"/>
              </w:rPr>
            </w:pPr>
          </w:p>
        </w:tc>
        <w:tc>
          <w:tcPr>
            <w:tcW w:w="840" w:type="dxa"/>
            <w:vAlign w:val="bottom"/>
          </w:tcPr>
          <w:p>
            <w:pPr>
              <w:jc w:val="right"/>
              <w:ind w:right="356"/>
              <w:spacing w:after="0"/>
              <w:rPr>
                <w:sz w:val="20"/>
                <w:szCs w:val="20"/>
                <w:color w:val="auto"/>
              </w:rPr>
            </w:pPr>
            <w:r>
              <w:rPr>
                <w:rFonts w:ascii="Arial" w:cs="Arial" w:eastAsia="Arial" w:hAnsi="Arial"/>
                <w:sz w:val="13"/>
                <w:szCs w:val="13"/>
                <w:color w:val="auto"/>
              </w:rPr>
              <w:t>2023</w:t>
            </w:r>
          </w:p>
        </w:tc>
        <w:tc>
          <w:tcPr>
            <w:tcW w:w="180" w:type="dxa"/>
            <w:vAlign w:val="bottom"/>
          </w:tcPr>
          <w:p>
            <w:pPr>
              <w:spacing w:after="0"/>
              <w:rPr>
                <w:sz w:val="17"/>
                <w:szCs w:val="17"/>
                <w:color w:val="auto"/>
              </w:rPr>
            </w:pPr>
          </w:p>
        </w:tc>
        <w:tc>
          <w:tcPr>
            <w:tcW w:w="840" w:type="dxa"/>
            <w:vAlign w:val="bottom"/>
          </w:tcPr>
          <w:p>
            <w:pPr>
              <w:jc w:val="right"/>
              <w:ind w:right="296"/>
              <w:spacing w:after="0"/>
              <w:rPr>
                <w:sz w:val="20"/>
                <w:szCs w:val="20"/>
                <w:color w:val="auto"/>
              </w:rPr>
            </w:pPr>
            <w:r>
              <w:rPr>
                <w:rFonts w:ascii="Arial" w:cs="Arial" w:eastAsia="Arial" w:hAnsi="Arial"/>
                <w:sz w:val="13"/>
                <w:szCs w:val="13"/>
                <w:color w:val="auto"/>
              </w:rPr>
              <w:t>2024</w:t>
            </w:r>
          </w:p>
        </w:tc>
        <w:tc>
          <w:tcPr>
            <w:tcW w:w="260" w:type="dxa"/>
            <w:vAlign w:val="bottom"/>
          </w:tcPr>
          <w:p>
            <w:pPr>
              <w:spacing w:after="0"/>
              <w:rPr>
                <w:sz w:val="17"/>
                <w:szCs w:val="17"/>
                <w:color w:val="auto"/>
              </w:rPr>
            </w:pPr>
          </w:p>
        </w:tc>
        <w:tc>
          <w:tcPr>
            <w:tcW w:w="700" w:type="dxa"/>
            <w:vAlign w:val="bottom"/>
          </w:tcPr>
          <w:p>
            <w:pPr>
              <w:jc w:val="right"/>
              <w:ind w:right="236"/>
              <w:spacing w:after="0"/>
              <w:rPr>
                <w:sz w:val="20"/>
                <w:szCs w:val="20"/>
                <w:color w:val="auto"/>
              </w:rPr>
            </w:pPr>
            <w:r>
              <w:rPr>
                <w:rFonts w:ascii="Arial" w:cs="Arial" w:eastAsia="Arial" w:hAnsi="Arial"/>
                <w:sz w:val="13"/>
                <w:szCs w:val="13"/>
                <w:color w:val="auto"/>
              </w:rPr>
              <w:t>2023</w:t>
            </w:r>
          </w:p>
        </w:tc>
      </w:tr>
      <w:tr>
        <w:trPr>
          <w:trHeight w:val="204"/>
        </w:trPr>
        <w:tc>
          <w:tcPr>
            <w:tcW w:w="2640" w:type="dxa"/>
            <w:vAlign w:val="bottom"/>
          </w:tcPr>
          <w:p>
            <w:pPr>
              <w:spacing w:after="0"/>
              <w:rPr>
                <w:sz w:val="20"/>
                <w:szCs w:val="20"/>
                <w:color w:val="auto"/>
              </w:rPr>
            </w:pPr>
            <w:r>
              <w:rPr>
                <w:rFonts w:ascii="Arial" w:cs="Arial" w:eastAsia="Arial" w:hAnsi="Arial"/>
                <w:sz w:val="13"/>
                <w:szCs w:val="13"/>
                <w:color w:val="auto"/>
              </w:rPr>
              <w:t>Revenues:</w:t>
            </w: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4"/>
        </w:trPr>
        <w:tc>
          <w:tcPr>
            <w:tcW w:w="2640" w:type="dxa"/>
            <w:vAlign w:val="bottom"/>
          </w:tcPr>
          <w:p>
            <w:pPr>
              <w:ind w:left="140"/>
              <w:spacing w:after="0"/>
              <w:rPr>
                <w:sz w:val="20"/>
                <w:szCs w:val="20"/>
                <w:color w:val="auto"/>
              </w:rPr>
            </w:pPr>
            <w:r>
              <w:rPr>
                <w:rFonts w:ascii="Arial" w:cs="Arial" w:eastAsia="Arial" w:hAnsi="Arial"/>
                <w:sz w:val="13"/>
                <w:szCs w:val="13"/>
                <w:color w:val="auto"/>
              </w:rPr>
              <w:t>Income from rentals</w:t>
            </w:r>
          </w:p>
        </w:tc>
        <w:tc>
          <w:tcPr>
            <w:tcW w:w="108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16"/>
              <w:spacing w:after="0"/>
              <w:rPr>
                <w:sz w:val="20"/>
                <w:szCs w:val="20"/>
                <w:color w:val="auto"/>
              </w:rPr>
            </w:pPr>
            <w:r>
              <w:rPr>
                <w:rFonts w:ascii="Arial" w:cs="Arial" w:eastAsia="Arial" w:hAnsi="Arial"/>
                <w:sz w:val="13"/>
                <w:szCs w:val="13"/>
                <w:color w:val="auto"/>
              </w:rPr>
              <w:t>755,162</w:t>
            </w:r>
          </w:p>
        </w:tc>
        <w:tc>
          <w:tcPr>
            <w:tcW w:w="28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704,339</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1,510,713</w:t>
            </w:r>
          </w:p>
        </w:tc>
        <w:tc>
          <w:tcPr>
            <w:tcW w:w="26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1,392,288</w:t>
            </w:r>
          </w:p>
        </w:tc>
      </w:tr>
      <w:tr>
        <w:trPr>
          <w:trHeight w:val="204"/>
        </w:trPr>
        <w:tc>
          <w:tcPr>
            <w:tcW w:w="2640" w:type="dxa"/>
            <w:vAlign w:val="bottom"/>
          </w:tcPr>
          <w:p>
            <w:pPr>
              <w:ind w:left="140"/>
              <w:spacing w:after="0"/>
              <w:rPr>
                <w:sz w:val="20"/>
                <w:szCs w:val="20"/>
                <w:color w:val="auto"/>
              </w:rPr>
            </w:pPr>
            <w:r>
              <w:rPr>
                <w:rFonts w:ascii="Arial" w:cs="Arial" w:eastAsia="Arial" w:hAnsi="Arial"/>
                <w:sz w:val="13"/>
                <w:szCs w:val="13"/>
                <w:color w:val="auto"/>
              </w:rPr>
              <w:t>Other income</w:t>
            </w:r>
          </w:p>
        </w:tc>
        <w:tc>
          <w:tcPr>
            <w:tcW w:w="1080" w:type="dxa"/>
            <w:vAlign w:val="bottom"/>
          </w:tcPr>
          <w:p>
            <w:pPr>
              <w:spacing w:after="0"/>
              <w:rPr>
                <w:sz w:val="17"/>
                <w:szCs w:val="17"/>
                <w:color w:val="auto"/>
              </w:rPr>
            </w:pPr>
          </w:p>
        </w:tc>
        <w:tc>
          <w:tcPr>
            <w:tcW w:w="920" w:type="dxa"/>
            <w:vAlign w:val="bottom"/>
          </w:tcPr>
          <w:p>
            <w:pPr>
              <w:jc w:val="right"/>
              <w:ind w:right="16"/>
              <w:spacing w:after="0"/>
              <w:rPr>
                <w:sz w:val="20"/>
                <w:szCs w:val="20"/>
                <w:color w:val="auto"/>
              </w:rPr>
            </w:pPr>
            <w:r>
              <w:rPr>
                <w:rFonts w:ascii="Arial" w:cs="Arial" w:eastAsia="Arial" w:hAnsi="Arial"/>
                <w:sz w:val="13"/>
                <w:szCs w:val="13"/>
                <w:color w:val="auto"/>
              </w:rPr>
              <w:t>11,572</w:t>
            </w:r>
          </w:p>
        </w:tc>
        <w:tc>
          <w:tcPr>
            <w:tcW w:w="280" w:type="dxa"/>
            <w:vAlign w:val="bottom"/>
          </w:tcPr>
          <w:p>
            <w:pPr>
              <w:spacing w:after="0"/>
              <w:rPr>
                <w:sz w:val="17"/>
                <w:szCs w:val="17"/>
                <w:color w:val="auto"/>
              </w:rPr>
            </w:pP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9,561</w:t>
            </w:r>
          </w:p>
        </w:tc>
        <w:tc>
          <w:tcPr>
            <w:tcW w:w="180" w:type="dxa"/>
            <w:vAlign w:val="bottom"/>
          </w:tcPr>
          <w:p>
            <w:pPr>
              <w:spacing w:after="0"/>
              <w:rPr>
                <w:sz w:val="17"/>
                <w:szCs w:val="17"/>
                <w:color w:val="auto"/>
              </w:rPr>
            </w:pP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25,129</w:t>
            </w:r>
          </w:p>
        </w:tc>
        <w:tc>
          <w:tcPr>
            <w:tcW w:w="2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22,407</w:t>
            </w:r>
          </w:p>
        </w:tc>
      </w:tr>
      <w:tr>
        <w:trPr>
          <w:trHeight w:val="204"/>
        </w:trPr>
        <w:tc>
          <w:tcPr>
            <w:tcW w:w="2640" w:type="dxa"/>
            <w:vAlign w:val="bottom"/>
          </w:tcPr>
          <w:p>
            <w:pPr>
              <w:spacing w:after="0"/>
              <w:rPr>
                <w:sz w:val="20"/>
                <w:szCs w:val="20"/>
                <w:color w:val="auto"/>
              </w:rPr>
            </w:pPr>
            <w:r>
              <w:rPr>
                <w:rFonts w:ascii="Arial" w:cs="Arial" w:eastAsia="Arial" w:hAnsi="Arial"/>
                <w:sz w:val="13"/>
                <w:szCs w:val="13"/>
                <w:color w:val="auto"/>
              </w:rPr>
              <w:t>Total revenues</w:t>
            </w:r>
          </w:p>
        </w:tc>
        <w:tc>
          <w:tcPr>
            <w:tcW w:w="1080" w:type="dxa"/>
            <w:vAlign w:val="bottom"/>
          </w:tcPr>
          <w:p>
            <w:pPr>
              <w:spacing w:after="0"/>
              <w:rPr>
                <w:sz w:val="17"/>
                <w:szCs w:val="17"/>
                <w:color w:val="auto"/>
              </w:rPr>
            </w:pPr>
          </w:p>
        </w:tc>
        <w:tc>
          <w:tcPr>
            <w:tcW w:w="920" w:type="dxa"/>
            <w:vAlign w:val="bottom"/>
          </w:tcPr>
          <w:p>
            <w:pPr>
              <w:jc w:val="right"/>
              <w:ind w:right="16"/>
              <w:spacing w:after="0"/>
              <w:rPr>
                <w:sz w:val="20"/>
                <w:szCs w:val="20"/>
                <w:color w:val="auto"/>
              </w:rPr>
            </w:pPr>
            <w:r>
              <w:rPr>
                <w:rFonts w:ascii="Arial" w:cs="Arial" w:eastAsia="Arial" w:hAnsi="Arial"/>
                <w:sz w:val="13"/>
                <w:szCs w:val="13"/>
                <w:color w:val="auto"/>
              </w:rPr>
              <w:t>766,734</w:t>
            </w:r>
          </w:p>
        </w:tc>
        <w:tc>
          <w:tcPr>
            <w:tcW w:w="280" w:type="dxa"/>
            <w:vAlign w:val="bottom"/>
          </w:tcPr>
          <w:p>
            <w:pPr>
              <w:spacing w:after="0"/>
              <w:rPr>
                <w:sz w:val="17"/>
                <w:szCs w:val="17"/>
                <w:color w:val="auto"/>
              </w:rPr>
            </w:pP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713,900</w:t>
            </w:r>
          </w:p>
        </w:tc>
        <w:tc>
          <w:tcPr>
            <w:tcW w:w="180" w:type="dxa"/>
            <w:vAlign w:val="bottom"/>
          </w:tcPr>
          <w:p>
            <w:pPr>
              <w:spacing w:after="0"/>
              <w:rPr>
                <w:sz w:val="17"/>
                <w:szCs w:val="17"/>
                <w:color w:val="auto"/>
              </w:rPr>
            </w:pP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1,535,842</w:t>
            </w:r>
          </w:p>
        </w:tc>
        <w:tc>
          <w:tcPr>
            <w:tcW w:w="2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1,414,695</w:t>
            </w:r>
          </w:p>
        </w:tc>
      </w:tr>
      <w:tr>
        <w:trPr>
          <w:trHeight w:val="419"/>
        </w:trPr>
        <w:tc>
          <w:tcPr>
            <w:tcW w:w="2640" w:type="dxa"/>
            <w:vAlign w:val="bottom"/>
          </w:tcPr>
          <w:p>
            <w:pPr>
              <w:spacing w:after="0"/>
              <w:rPr>
                <w:sz w:val="20"/>
                <w:szCs w:val="20"/>
                <w:color w:val="auto"/>
              </w:rPr>
            </w:pPr>
            <w:r>
              <w:rPr>
                <w:rFonts w:ascii="Arial" w:cs="Arial" w:eastAsia="Arial" w:hAnsi="Arial"/>
                <w:sz w:val="13"/>
                <w:szCs w:val="13"/>
                <w:color w:val="auto"/>
              </w:rPr>
              <w:t>Expenses:</w:t>
            </w:r>
          </w:p>
        </w:tc>
        <w:tc>
          <w:tcPr>
            <w:tcW w:w="10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04"/>
        </w:trPr>
        <w:tc>
          <w:tcPr>
            <w:tcW w:w="2640" w:type="dxa"/>
            <w:vAlign w:val="bottom"/>
          </w:tcPr>
          <w:p>
            <w:pPr>
              <w:ind w:left="140"/>
              <w:spacing w:after="0"/>
              <w:rPr>
                <w:sz w:val="20"/>
                <w:szCs w:val="20"/>
                <w:color w:val="auto"/>
              </w:rPr>
            </w:pPr>
            <w:r>
              <w:rPr>
                <w:rFonts w:ascii="Arial" w:cs="Arial" w:eastAsia="Arial" w:hAnsi="Arial"/>
                <w:sz w:val="13"/>
                <w:szCs w:val="13"/>
                <w:color w:val="auto"/>
              </w:rPr>
              <w:t>Rental operations</w:t>
            </w:r>
          </w:p>
        </w:tc>
        <w:tc>
          <w:tcPr>
            <w:tcW w:w="1080" w:type="dxa"/>
            <w:vAlign w:val="bottom"/>
          </w:tcPr>
          <w:p>
            <w:pPr>
              <w:spacing w:after="0"/>
              <w:rPr>
                <w:sz w:val="17"/>
                <w:szCs w:val="17"/>
                <w:color w:val="auto"/>
              </w:rPr>
            </w:pPr>
          </w:p>
        </w:tc>
        <w:tc>
          <w:tcPr>
            <w:tcW w:w="920" w:type="dxa"/>
            <w:vAlign w:val="bottom"/>
          </w:tcPr>
          <w:p>
            <w:pPr>
              <w:jc w:val="right"/>
              <w:ind w:right="16"/>
              <w:spacing w:after="0"/>
              <w:rPr>
                <w:sz w:val="20"/>
                <w:szCs w:val="20"/>
                <w:color w:val="auto"/>
              </w:rPr>
            </w:pPr>
            <w:r>
              <w:rPr>
                <w:rFonts w:ascii="Arial" w:cs="Arial" w:eastAsia="Arial" w:hAnsi="Arial"/>
                <w:sz w:val="13"/>
                <w:szCs w:val="13"/>
                <w:color w:val="auto"/>
              </w:rPr>
              <w:t>217,254</w:t>
            </w:r>
          </w:p>
        </w:tc>
        <w:tc>
          <w:tcPr>
            <w:tcW w:w="280" w:type="dxa"/>
            <w:vAlign w:val="bottom"/>
          </w:tcPr>
          <w:p>
            <w:pPr>
              <w:spacing w:after="0"/>
              <w:rPr>
                <w:sz w:val="17"/>
                <w:szCs w:val="17"/>
                <w:color w:val="auto"/>
              </w:rPr>
            </w:pPr>
          </w:p>
        </w:tc>
        <w:tc>
          <w:tcPr>
            <w:tcW w:w="840" w:type="dxa"/>
            <w:vAlign w:val="bottom"/>
          </w:tcPr>
          <w:p>
            <w:pPr>
              <w:jc w:val="right"/>
              <w:ind w:right="36"/>
              <w:spacing w:after="0"/>
              <w:rPr>
                <w:sz w:val="20"/>
                <w:szCs w:val="20"/>
                <w:color w:val="auto"/>
              </w:rPr>
            </w:pPr>
            <w:r>
              <w:rPr>
                <w:rFonts w:ascii="Arial" w:cs="Arial" w:eastAsia="Arial" w:hAnsi="Arial"/>
                <w:sz w:val="13"/>
                <w:szCs w:val="13"/>
                <w:color w:val="auto"/>
              </w:rPr>
              <w:t>211,834</w:t>
            </w:r>
          </w:p>
        </w:tc>
        <w:tc>
          <w:tcPr>
            <w:tcW w:w="180" w:type="dxa"/>
            <w:vAlign w:val="bottom"/>
          </w:tcPr>
          <w:p>
            <w:pPr>
              <w:spacing w:after="0"/>
              <w:rPr>
                <w:sz w:val="17"/>
                <w:szCs w:val="17"/>
                <w:color w:val="auto"/>
              </w:rPr>
            </w:pP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435,568</w:t>
            </w:r>
          </w:p>
        </w:tc>
        <w:tc>
          <w:tcPr>
            <w:tcW w:w="2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418,767</w:t>
            </w:r>
          </w:p>
        </w:tc>
      </w:tr>
      <w:tr>
        <w:trPr>
          <w:trHeight w:val="204"/>
        </w:trPr>
        <w:tc>
          <w:tcPr>
            <w:tcW w:w="2640" w:type="dxa"/>
            <w:vAlign w:val="bottom"/>
          </w:tcPr>
          <w:p>
            <w:pPr>
              <w:ind w:left="140"/>
              <w:spacing w:after="0"/>
              <w:rPr>
                <w:sz w:val="20"/>
                <w:szCs w:val="20"/>
                <w:color w:val="auto"/>
              </w:rPr>
            </w:pPr>
            <w:r>
              <w:rPr>
                <w:rFonts w:ascii="Arial" w:cs="Arial" w:eastAsia="Arial" w:hAnsi="Arial"/>
                <w:sz w:val="13"/>
                <w:szCs w:val="13"/>
                <w:color w:val="auto"/>
              </w:rPr>
              <w:t>General and administrative</w:t>
            </w:r>
          </w:p>
        </w:tc>
        <w:tc>
          <w:tcPr>
            <w:tcW w:w="1080" w:type="dxa"/>
            <w:vAlign w:val="bottom"/>
          </w:tcPr>
          <w:p>
            <w:pPr>
              <w:spacing w:after="0"/>
              <w:rPr>
                <w:sz w:val="17"/>
                <w:szCs w:val="17"/>
                <w:color w:val="auto"/>
              </w:rPr>
            </w:pPr>
          </w:p>
        </w:tc>
        <w:tc>
          <w:tcPr>
            <w:tcW w:w="920" w:type="dxa"/>
            <w:vAlign w:val="bottom"/>
          </w:tcPr>
          <w:p>
            <w:pPr>
              <w:jc w:val="right"/>
              <w:ind w:right="16"/>
              <w:spacing w:after="0"/>
              <w:rPr>
                <w:sz w:val="20"/>
                <w:szCs w:val="20"/>
                <w:color w:val="auto"/>
              </w:rPr>
            </w:pPr>
            <w:r>
              <w:rPr>
                <w:rFonts w:ascii="Arial" w:cs="Arial" w:eastAsia="Arial" w:hAnsi="Arial"/>
                <w:sz w:val="13"/>
                <w:szCs w:val="13"/>
                <w:color w:val="auto"/>
              </w:rPr>
              <w:t>44,629</w:t>
            </w:r>
          </w:p>
        </w:tc>
        <w:tc>
          <w:tcPr>
            <w:tcW w:w="280" w:type="dxa"/>
            <w:vAlign w:val="bottom"/>
          </w:tcPr>
          <w:p>
            <w:pPr>
              <w:spacing w:after="0"/>
              <w:rPr>
                <w:sz w:val="17"/>
                <w:szCs w:val="17"/>
                <w:color w:val="auto"/>
              </w:rPr>
            </w:pP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45,882</w:t>
            </w:r>
          </w:p>
        </w:tc>
        <w:tc>
          <w:tcPr>
            <w:tcW w:w="180" w:type="dxa"/>
            <w:vAlign w:val="bottom"/>
          </w:tcPr>
          <w:p>
            <w:pPr>
              <w:spacing w:after="0"/>
              <w:rPr>
                <w:sz w:val="17"/>
                <w:szCs w:val="17"/>
                <w:color w:val="auto"/>
              </w:rPr>
            </w:pP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91,684</w:t>
            </w:r>
          </w:p>
        </w:tc>
        <w:tc>
          <w:tcPr>
            <w:tcW w:w="2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94,078</w:t>
            </w:r>
          </w:p>
        </w:tc>
      </w:tr>
    </w:tbl>
    <w:p>
      <w:pPr>
        <w:sectPr>
          <w:pgSz w:w="11900" w:h="16838" w:orient="portrait"/>
          <w:cols w:equalWidth="0" w:num="1">
            <w:col w:w="9019"/>
          </w:cols>
          <w:pgMar w:left="1440" w:top="1063" w:right="1440" w:bottom="0" w:gutter="0" w:footer="0" w:header="0"/>
        </w:sectPr>
      </w:pPr>
    </w:p>
    <w:bookmarkStart w:id="3" w:name="page4"/>
    <w:bookmarkEnd w:id="3"/>
    <w:p>
      <w:pPr>
        <w:spacing w:after="0" w:line="1" w:lineRule="exact"/>
        <w:rPr>
          <w:sz w:val="20"/>
          <w:szCs w:val="20"/>
          <w:color w:val="auto"/>
        </w:rPr>
      </w:pPr>
    </w:p>
    <w:tbl>
      <w:tblPr>
        <w:tblLayout w:type="fixed"/>
        <w:tblInd w:w="520" w:type="dxa"/>
        <w:tblCellMar>
          <w:top w:w="0" w:type="dxa"/>
          <w:left w:w="0" w:type="dxa"/>
          <w:bottom w:w="0" w:type="dxa"/>
          <w:right w:w="0" w:type="dxa"/>
        </w:tblCellMar>
      </w:tblPr>
      <w:tr>
        <w:trPr>
          <w:trHeight w:val="151"/>
        </w:trPr>
        <w:tc>
          <w:tcPr>
            <w:tcW w:w="3580" w:type="dxa"/>
            <w:vAlign w:val="bottom"/>
          </w:tcPr>
          <w:p>
            <w:pPr>
              <w:ind w:left="180"/>
              <w:spacing w:after="0"/>
              <w:rPr>
                <w:sz w:val="20"/>
                <w:szCs w:val="20"/>
                <w:color w:val="auto"/>
              </w:rPr>
            </w:pPr>
            <w:r>
              <w:rPr>
                <w:rFonts w:ascii="Arial" w:cs="Arial" w:eastAsia="Arial" w:hAnsi="Arial"/>
                <w:sz w:val="13"/>
                <w:szCs w:val="13"/>
                <w:color w:val="auto"/>
              </w:rPr>
              <w:t>Interest</w:t>
            </w:r>
          </w:p>
        </w:tc>
        <w:tc>
          <w:tcPr>
            <w:tcW w:w="3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45,789</w:t>
            </w: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17,072</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86,629</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30,826</w:t>
            </w:r>
          </w:p>
        </w:tc>
        <w:tc>
          <w:tcPr>
            <w:tcW w:w="0" w:type="dxa"/>
            <w:vAlign w:val="bottom"/>
          </w:tcPr>
          <w:p>
            <w:pPr>
              <w:spacing w:after="0"/>
              <w:rPr>
                <w:sz w:val="1"/>
                <w:szCs w:val="1"/>
                <w:color w:val="auto"/>
              </w:rPr>
            </w:pPr>
          </w:p>
        </w:tc>
      </w:tr>
      <w:tr>
        <w:trPr>
          <w:trHeight w:val="169"/>
        </w:trPr>
        <w:tc>
          <w:tcPr>
            <w:tcW w:w="3580" w:type="dxa"/>
            <w:vAlign w:val="bottom"/>
          </w:tcPr>
          <w:p>
            <w:pPr>
              <w:ind w:left="180"/>
              <w:spacing w:after="0"/>
              <w:rPr>
                <w:sz w:val="20"/>
                <w:szCs w:val="20"/>
                <w:color w:val="auto"/>
              </w:rPr>
            </w:pPr>
            <w:r>
              <w:rPr>
                <w:rFonts w:ascii="Arial" w:cs="Arial" w:eastAsia="Arial" w:hAnsi="Arial"/>
                <w:sz w:val="13"/>
                <w:szCs w:val="13"/>
                <w:color w:val="auto"/>
              </w:rPr>
              <w:t>Depreciation and amortization</w:t>
            </w:r>
          </w:p>
        </w:tc>
        <w:tc>
          <w:tcPr>
            <w:tcW w:w="3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290,720</w:t>
            </w: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273,555</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578,274</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538,857</w:t>
            </w:r>
          </w:p>
        </w:tc>
        <w:tc>
          <w:tcPr>
            <w:tcW w:w="0" w:type="dxa"/>
            <w:vAlign w:val="bottom"/>
          </w:tcPr>
          <w:p>
            <w:pPr>
              <w:spacing w:after="0"/>
              <w:rPr>
                <w:sz w:val="1"/>
                <w:szCs w:val="1"/>
                <w:color w:val="auto"/>
              </w:rPr>
            </w:pPr>
          </w:p>
        </w:tc>
      </w:tr>
      <w:tr>
        <w:trPr>
          <w:trHeight w:val="204"/>
        </w:trPr>
        <w:tc>
          <w:tcPr>
            <w:tcW w:w="3580" w:type="dxa"/>
            <w:vAlign w:val="bottom"/>
          </w:tcPr>
          <w:p>
            <w:pPr>
              <w:ind w:left="180"/>
              <w:spacing w:after="0"/>
              <w:rPr>
                <w:sz w:val="20"/>
                <w:szCs w:val="20"/>
                <w:color w:val="auto"/>
              </w:rPr>
            </w:pPr>
            <w:r>
              <w:rPr>
                <w:rFonts w:ascii="Arial" w:cs="Arial" w:eastAsia="Arial" w:hAnsi="Arial"/>
                <w:sz w:val="13"/>
                <w:szCs w:val="13"/>
                <w:color w:val="auto"/>
              </w:rPr>
              <w:t>Impairment of real estate</w:t>
            </w:r>
          </w:p>
        </w:tc>
        <w:tc>
          <w:tcPr>
            <w:tcW w:w="3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30,763</w:t>
            </w: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168,575</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30,763</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168,575</w:t>
            </w:r>
          </w:p>
        </w:tc>
        <w:tc>
          <w:tcPr>
            <w:tcW w:w="0" w:type="dxa"/>
            <w:vAlign w:val="bottom"/>
          </w:tcPr>
          <w:p>
            <w:pPr>
              <w:spacing w:after="0"/>
              <w:rPr>
                <w:sz w:val="1"/>
                <w:szCs w:val="1"/>
                <w:color w:val="auto"/>
              </w:rPr>
            </w:pPr>
          </w:p>
        </w:tc>
      </w:tr>
      <w:tr>
        <w:trPr>
          <w:trHeight w:val="204"/>
        </w:trPr>
        <w:tc>
          <w:tcPr>
            <w:tcW w:w="3580" w:type="dxa"/>
            <w:vAlign w:val="bottom"/>
          </w:tcPr>
          <w:p>
            <w:pPr>
              <w:ind w:left="40"/>
              <w:spacing w:after="0"/>
              <w:rPr>
                <w:sz w:val="20"/>
                <w:szCs w:val="20"/>
                <w:color w:val="auto"/>
              </w:rPr>
            </w:pPr>
            <w:r>
              <w:rPr>
                <w:rFonts w:ascii="Arial" w:cs="Arial" w:eastAsia="Arial" w:hAnsi="Arial"/>
                <w:sz w:val="13"/>
                <w:szCs w:val="13"/>
                <w:color w:val="auto"/>
              </w:rPr>
              <w:t>Total expenses</w:t>
            </w:r>
          </w:p>
        </w:tc>
        <w:tc>
          <w:tcPr>
            <w:tcW w:w="3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629,155</w:t>
            </w: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716,918</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1,222,918</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1,251,103</w:t>
            </w:r>
          </w:p>
        </w:tc>
        <w:tc>
          <w:tcPr>
            <w:tcW w:w="0" w:type="dxa"/>
            <w:vAlign w:val="bottom"/>
          </w:tcPr>
          <w:p>
            <w:pPr>
              <w:spacing w:after="0"/>
              <w:rPr>
                <w:sz w:val="1"/>
                <w:szCs w:val="1"/>
                <w:color w:val="auto"/>
              </w:rPr>
            </w:pPr>
          </w:p>
        </w:tc>
      </w:tr>
      <w:tr>
        <w:trPr>
          <w:trHeight w:val="419"/>
        </w:trPr>
        <w:tc>
          <w:tcPr>
            <w:tcW w:w="3580" w:type="dxa"/>
            <w:vAlign w:val="bottom"/>
          </w:tcPr>
          <w:p>
            <w:pPr>
              <w:ind w:left="40"/>
              <w:spacing w:after="0"/>
              <w:rPr>
                <w:sz w:val="20"/>
                <w:szCs w:val="20"/>
                <w:color w:val="auto"/>
              </w:rPr>
            </w:pPr>
            <w:r>
              <w:rPr>
                <w:rFonts w:ascii="Arial" w:cs="Arial" w:eastAsia="Arial" w:hAnsi="Arial"/>
                <w:sz w:val="13"/>
                <w:szCs w:val="13"/>
                <w:color w:val="auto"/>
                <w:w w:val="99"/>
              </w:rPr>
              <w:t>Equity in earnings of unconsolidated real estate joint ventures</w:t>
            </w:r>
          </w:p>
        </w:tc>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130</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181</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285</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375</w:t>
            </w:r>
          </w:p>
        </w:tc>
        <w:tc>
          <w:tcPr>
            <w:tcW w:w="0" w:type="dxa"/>
            <w:vAlign w:val="bottom"/>
          </w:tcPr>
          <w:p>
            <w:pPr>
              <w:spacing w:after="0"/>
              <w:rPr>
                <w:sz w:val="1"/>
                <w:szCs w:val="1"/>
                <w:color w:val="auto"/>
              </w:rPr>
            </w:pPr>
          </w:p>
        </w:tc>
      </w:tr>
      <w:tr>
        <w:trPr>
          <w:trHeight w:val="204"/>
        </w:trPr>
        <w:tc>
          <w:tcPr>
            <w:tcW w:w="3580" w:type="dxa"/>
            <w:vAlign w:val="bottom"/>
          </w:tcPr>
          <w:p>
            <w:pPr>
              <w:ind w:left="40"/>
              <w:spacing w:after="0"/>
              <w:rPr>
                <w:sz w:val="20"/>
                <w:szCs w:val="20"/>
                <w:color w:val="auto"/>
              </w:rPr>
            </w:pPr>
            <w:r>
              <w:rPr>
                <w:rFonts w:ascii="Arial" w:cs="Arial" w:eastAsia="Arial" w:hAnsi="Arial"/>
                <w:sz w:val="13"/>
                <w:szCs w:val="13"/>
                <w:color w:val="auto"/>
              </w:rPr>
              <w:t>Investment loss</w:t>
            </w:r>
          </w:p>
        </w:tc>
        <w:tc>
          <w:tcPr>
            <w:tcW w:w="3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(43,660)</w:t>
            </w: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(78,268)</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(376)</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(123,379)</w:t>
            </w:r>
          </w:p>
        </w:tc>
        <w:tc>
          <w:tcPr>
            <w:tcW w:w="0" w:type="dxa"/>
            <w:vAlign w:val="bottom"/>
          </w:tcPr>
          <w:p>
            <w:pPr>
              <w:spacing w:after="0"/>
              <w:rPr>
                <w:sz w:val="1"/>
                <w:szCs w:val="1"/>
                <w:color w:val="auto"/>
              </w:rPr>
            </w:pPr>
          </w:p>
        </w:tc>
      </w:tr>
      <w:tr>
        <w:trPr>
          <w:trHeight w:val="204"/>
        </w:trPr>
        <w:tc>
          <w:tcPr>
            <w:tcW w:w="3580" w:type="dxa"/>
            <w:vAlign w:val="bottom"/>
          </w:tcPr>
          <w:p>
            <w:pPr>
              <w:ind w:left="40"/>
              <w:spacing w:after="0"/>
              <w:rPr>
                <w:sz w:val="20"/>
                <w:szCs w:val="20"/>
                <w:color w:val="auto"/>
              </w:rPr>
            </w:pPr>
            <w:r>
              <w:rPr>
                <w:rFonts w:ascii="Arial" w:cs="Arial" w:eastAsia="Arial" w:hAnsi="Arial"/>
                <w:sz w:val="13"/>
                <w:szCs w:val="13"/>
                <w:color w:val="auto"/>
              </w:rPr>
              <w:t>Gain on sales of real estate</w:t>
            </w:r>
          </w:p>
        </w:tc>
        <w:tc>
          <w:tcPr>
            <w:tcW w:w="34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214,810</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392</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214,810</w:t>
            </w:r>
          </w:p>
        </w:tc>
        <w:tc>
          <w:tcPr>
            <w:tcW w:w="0" w:type="dxa"/>
            <w:vAlign w:val="bottom"/>
          </w:tcPr>
          <w:p>
            <w:pPr>
              <w:spacing w:after="0"/>
              <w:rPr>
                <w:sz w:val="1"/>
                <w:szCs w:val="1"/>
                <w:color w:val="auto"/>
              </w:rPr>
            </w:pPr>
          </w:p>
        </w:tc>
      </w:tr>
      <w:tr>
        <w:trPr>
          <w:trHeight w:val="204"/>
        </w:trPr>
        <w:tc>
          <w:tcPr>
            <w:tcW w:w="3580" w:type="dxa"/>
            <w:vAlign w:val="bottom"/>
          </w:tcPr>
          <w:p>
            <w:pPr>
              <w:ind w:left="40"/>
              <w:spacing w:after="0"/>
              <w:rPr>
                <w:sz w:val="20"/>
                <w:szCs w:val="20"/>
                <w:color w:val="auto"/>
              </w:rPr>
            </w:pPr>
            <w:r>
              <w:rPr>
                <w:rFonts w:ascii="Arial" w:cs="Arial" w:eastAsia="Arial" w:hAnsi="Arial"/>
                <w:sz w:val="13"/>
                <w:szCs w:val="13"/>
                <w:color w:val="auto"/>
              </w:rPr>
              <w:t>Net income</w:t>
            </w:r>
          </w:p>
        </w:tc>
        <w:tc>
          <w:tcPr>
            <w:tcW w:w="3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94,049</w:t>
            </w: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133,705</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313,225</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255,398</w:t>
            </w:r>
          </w:p>
        </w:tc>
        <w:tc>
          <w:tcPr>
            <w:tcW w:w="0" w:type="dxa"/>
            <w:vAlign w:val="bottom"/>
          </w:tcPr>
          <w:p>
            <w:pPr>
              <w:spacing w:after="0"/>
              <w:rPr>
                <w:sz w:val="1"/>
                <w:szCs w:val="1"/>
                <w:color w:val="auto"/>
              </w:rPr>
            </w:pPr>
          </w:p>
        </w:tc>
      </w:tr>
      <w:tr>
        <w:trPr>
          <w:trHeight w:val="204"/>
        </w:trPr>
        <w:tc>
          <w:tcPr>
            <w:tcW w:w="3580" w:type="dxa"/>
            <w:vAlign w:val="bottom"/>
          </w:tcPr>
          <w:p>
            <w:pPr>
              <w:ind w:left="40"/>
              <w:spacing w:after="0"/>
              <w:rPr>
                <w:sz w:val="20"/>
                <w:szCs w:val="20"/>
                <w:color w:val="auto"/>
              </w:rPr>
            </w:pPr>
            <w:r>
              <w:rPr>
                <w:rFonts w:ascii="Arial" w:cs="Arial" w:eastAsia="Arial" w:hAnsi="Arial"/>
                <w:sz w:val="13"/>
                <w:szCs w:val="13"/>
                <w:color w:val="auto"/>
              </w:rPr>
              <w:t>Net income attributable to noncontrolling interests</w:t>
            </w:r>
          </w:p>
        </w:tc>
        <w:tc>
          <w:tcPr>
            <w:tcW w:w="3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(47,347)</w:t>
            </w: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(43,768)</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(95,978)</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(87,599)</w:t>
            </w:r>
          </w:p>
        </w:tc>
        <w:tc>
          <w:tcPr>
            <w:tcW w:w="0" w:type="dxa"/>
            <w:vAlign w:val="bottom"/>
          </w:tcPr>
          <w:p>
            <w:pPr>
              <w:spacing w:after="0"/>
              <w:rPr>
                <w:sz w:val="1"/>
                <w:szCs w:val="1"/>
                <w:color w:val="auto"/>
              </w:rPr>
            </w:pPr>
          </w:p>
        </w:tc>
      </w:tr>
      <w:tr>
        <w:trPr>
          <w:trHeight w:val="164"/>
        </w:trPr>
        <w:tc>
          <w:tcPr>
            <w:tcW w:w="3580" w:type="dxa"/>
            <w:vAlign w:val="bottom"/>
          </w:tcPr>
          <w:p>
            <w:pPr>
              <w:ind w:left="40"/>
              <w:spacing w:after="0"/>
              <w:rPr>
                <w:sz w:val="20"/>
                <w:szCs w:val="20"/>
                <w:color w:val="auto"/>
              </w:rPr>
            </w:pPr>
            <w:r>
              <w:rPr>
                <w:rFonts w:ascii="Arial" w:cs="Arial" w:eastAsia="Arial" w:hAnsi="Arial"/>
                <w:sz w:val="13"/>
                <w:szCs w:val="13"/>
                <w:color w:val="auto"/>
              </w:rPr>
              <w:t>Net income attributable to Alexandria Real Estate Equities,</w:t>
            </w:r>
          </w:p>
        </w:tc>
        <w:tc>
          <w:tcPr>
            <w:tcW w:w="34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46,702</w:t>
            </w: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89,937</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217,247</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167,799</w:t>
            </w:r>
          </w:p>
        </w:tc>
        <w:tc>
          <w:tcPr>
            <w:tcW w:w="0" w:type="dxa"/>
            <w:vAlign w:val="bottom"/>
          </w:tcPr>
          <w:p>
            <w:pPr>
              <w:spacing w:after="0"/>
              <w:rPr>
                <w:sz w:val="1"/>
                <w:szCs w:val="1"/>
                <w:color w:val="auto"/>
              </w:rPr>
            </w:pPr>
          </w:p>
        </w:tc>
      </w:tr>
      <w:tr>
        <w:trPr>
          <w:trHeight w:val="150"/>
        </w:trPr>
        <w:tc>
          <w:tcPr>
            <w:tcW w:w="3580" w:type="dxa"/>
            <w:vAlign w:val="bottom"/>
          </w:tcPr>
          <w:p>
            <w:pPr>
              <w:ind w:left="180"/>
              <w:spacing w:after="0"/>
              <w:rPr>
                <w:sz w:val="20"/>
                <w:szCs w:val="20"/>
                <w:color w:val="auto"/>
              </w:rPr>
            </w:pPr>
            <w:r>
              <w:rPr>
                <w:rFonts w:ascii="Arial" w:cs="Arial" w:eastAsia="Arial" w:hAnsi="Arial"/>
                <w:sz w:val="13"/>
                <w:szCs w:val="13"/>
                <w:color w:val="auto"/>
              </w:rPr>
              <w:t>Inc.’s stockholders</w:t>
            </w:r>
          </w:p>
        </w:tc>
        <w:tc>
          <w:tcPr>
            <w:tcW w:w="34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3580" w:type="dxa"/>
            <w:vAlign w:val="bottom"/>
          </w:tcPr>
          <w:p>
            <w:pPr>
              <w:ind w:left="40"/>
              <w:spacing w:after="0"/>
              <w:rPr>
                <w:sz w:val="20"/>
                <w:szCs w:val="20"/>
                <w:color w:val="auto"/>
              </w:rPr>
            </w:pPr>
            <w:r>
              <w:rPr>
                <w:rFonts w:ascii="Arial" w:cs="Arial" w:eastAsia="Arial" w:hAnsi="Arial"/>
                <w:sz w:val="13"/>
                <w:szCs w:val="13"/>
                <w:color w:val="auto"/>
              </w:rPr>
              <w:t>Net income attributable to unvested restricted stock awards</w:t>
            </w:r>
          </w:p>
        </w:tc>
        <w:tc>
          <w:tcPr>
            <w:tcW w:w="3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(3,785)</w:t>
            </w: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(2,677)</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(7,444)</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(5,283)</w:t>
            </w:r>
          </w:p>
        </w:tc>
        <w:tc>
          <w:tcPr>
            <w:tcW w:w="0" w:type="dxa"/>
            <w:vAlign w:val="bottom"/>
          </w:tcPr>
          <w:p>
            <w:pPr>
              <w:spacing w:after="0"/>
              <w:rPr>
                <w:sz w:val="1"/>
                <w:szCs w:val="1"/>
                <w:color w:val="auto"/>
              </w:rPr>
            </w:pPr>
          </w:p>
        </w:tc>
      </w:tr>
      <w:tr>
        <w:trPr>
          <w:trHeight w:val="204"/>
        </w:trPr>
        <w:tc>
          <w:tcPr>
            <w:tcW w:w="358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income attributable to Alexandria Real Estate Equities,</w:t>
            </w:r>
          </w:p>
        </w:tc>
        <w:tc>
          <w:tcPr>
            <w:tcW w:w="3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9"/>
        </w:trPr>
        <w:tc>
          <w:tcPr>
            <w:tcW w:w="3580" w:type="dxa"/>
            <w:vAlign w:val="bottom"/>
          </w:tcPr>
          <w:p>
            <w:pPr>
              <w:ind w:left="180"/>
              <w:spacing w:after="0"/>
              <w:rPr>
                <w:sz w:val="20"/>
                <w:szCs w:val="20"/>
                <w:color w:val="auto"/>
              </w:rPr>
            </w:pPr>
            <w:r>
              <w:rPr>
                <w:rFonts w:ascii="Arial" w:cs="Arial" w:eastAsia="Arial" w:hAnsi="Arial"/>
                <w:sz w:val="13"/>
                <w:szCs w:val="13"/>
                <w:color w:val="auto"/>
              </w:rPr>
              <w:t>Inc.’s common stockholders</w:t>
            </w:r>
          </w:p>
        </w:tc>
        <w:tc>
          <w:tcPr>
            <w:tcW w:w="340" w:type="dxa"/>
            <w:vAlign w:val="bottom"/>
          </w:tcPr>
          <w:p>
            <w:pPr>
              <w:jc w:val="right"/>
              <w:ind w:right="156"/>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42,917</w:t>
            </w:r>
          </w:p>
        </w:tc>
        <w:tc>
          <w:tcPr>
            <w:tcW w:w="60" w:type="dxa"/>
            <w:vAlign w:val="bottom"/>
          </w:tcPr>
          <w:p>
            <w:pPr>
              <w:spacing w:after="0"/>
              <w:rPr>
                <w:sz w:val="13"/>
                <w:szCs w:val="13"/>
                <w:color w:val="auto"/>
              </w:rPr>
            </w:pPr>
          </w:p>
        </w:tc>
        <w:tc>
          <w:tcPr>
            <w:tcW w:w="340" w:type="dxa"/>
            <w:vAlign w:val="bottom"/>
          </w:tcPr>
          <w:p>
            <w:pPr>
              <w:jc w:val="right"/>
              <w:ind w:right="156"/>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87,260</w:t>
            </w:r>
          </w:p>
        </w:tc>
        <w:tc>
          <w:tcPr>
            <w:tcW w:w="60" w:type="dxa"/>
            <w:vAlign w:val="bottom"/>
          </w:tcPr>
          <w:p>
            <w:pPr>
              <w:spacing w:after="0"/>
              <w:rPr>
                <w:sz w:val="13"/>
                <w:szCs w:val="13"/>
                <w:color w:val="auto"/>
              </w:rPr>
            </w:pPr>
          </w:p>
        </w:tc>
        <w:tc>
          <w:tcPr>
            <w:tcW w:w="24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209,803</w:t>
            </w:r>
          </w:p>
        </w:tc>
        <w:tc>
          <w:tcPr>
            <w:tcW w:w="60" w:type="dxa"/>
            <w:vAlign w:val="bottom"/>
          </w:tcPr>
          <w:p>
            <w:pPr>
              <w:spacing w:after="0"/>
              <w:rPr>
                <w:sz w:val="13"/>
                <w:szCs w:val="13"/>
                <w:color w:val="auto"/>
              </w:rPr>
            </w:pPr>
          </w:p>
        </w:tc>
        <w:tc>
          <w:tcPr>
            <w:tcW w:w="22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162,516</w:t>
            </w:r>
          </w:p>
        </w:tc>
        <w:tc>
          <w:tcPr>
            <w:tcW w:w="0" w:type="dxa"/>
            <w:vAlign w:val="bottom"/>
          </w:tcPr>
          <w:p>
            <w:pPr>
              <w:spacing w:after="0"/>
              <w:rPr>
                <w:sz w:val="1"/>
                <w:szCs w:val="1"/>
                <w:color w:val="auto"/>
              </w:rPr>
            </w:pPr>
          </w:p>
        </w:tc>
      </w:tr>
      <w:tr>
        <w:trPr>
          <w:trHeight w:val="25"/>
        </w:trPr>
        <w:tc>
          <w:tcPr>
            <w:tcW w:w="3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3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3580" w:type="dxa"/>
            <w:vAlign w:val="bottom"/>
          </w:tcPr>
          <w:p>
            <w:pPr>
              <w:ind w:left="40"/>
              <w:spacing w:after="0" w:line="108" w:lineRule="exact"/>
              <w:rPr>
                <w:sz w:val="20"/>
                <w:szCs w:val="20"/>
                <w:color w:val="auto"/>
              </w:rPr>
            </w:pPr>
            <w:r>
              <w:rPr>
                <w:rFonts w:ascii="Arial" w:cs="Arial" w:eastAsia="Arial" w:hAnsi="Arial"/>
                <w:sz w:val="12"/>
                <w:szCs w:val="12"/>
                <w:color w:val="auto"/>
              </w:rPr>
              <w:t>Net income per share attributable to Alexandria Real Estate</w:t>
            </w:r>
          </w:p>
        </w:tc>
        <w:tc>
          <w:tcPr>
            <w:tcW w:w="3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3580" w:type="dxa"/>
            <w:vAlign w:val="bottom"/>
          </w:tcPr>
          <w:p>
            <w:pPr>
              <w:ind w:left="180"/>
              <w:spacing w:after="0"/>
              <w:rPr>
                <w:sz w:val="20"/>
                <w:szCs w:val="20"/>
                <w:color w:val="auto"/>
              </w:rPr>
            </w:pPr>
            <w:r>
              <w:rPr>
                <w:rFonts w:ascii="Arial" w:cs="Arial" w:eastAsia="Arial" w:hAnsi="Arial"/>
                <w:sz w:val="13"/>
                <w:szCs w:val="13"/>
                <w:color w:val="auto"/>
              </w:rPr>
              <w:t>Equities, Inc.’s common stockholders:</w:t>
            </w: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3580" w:type="dxa"/>
            <w:vAlign w:val="bottom"/>
          </w:tcPr>
          <w:p>
            <w:pPr>
              <w:ind w:left="200"/>
              <w:spacing w:after="0"/>
              <w:rPr>
                <w:sz w:val="20"/>
                <w:szCs w:val="20"/>
                <w:color w:val="auto"/>
              </w:rPr>
            </w:pPr>
            <w:r>
              <w:rPr>
                <w:rFonts w:ascii="Arial" w:cs="Arial" w:eastAsia="Arial" w:hAnsi="Arial"/>
                <w:sz w:val="13"/>
                <w:szCs w:val="13"/>
                <w:color w:val="auto"/>
              </w:rPr>
              <w:t>Basic</w:t>
            </w:r>
          </w:p>
        </w:tc>
        <w:tc>
          <w:tcPr>
            <w:tcW w:w="340" w:type="dxa"/>
            <w:vAlign w:val="bottom"/>
          </w:tcPr>
          <w:p>
            <w:pPr>
              <w:jc w:val="right"/>
              <w:ind w:right="156"/>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0.25</w:t>
            </w:r>
          </w:p>
        </w:tc>
        <w:tc>
          <w:tcPr>
            <w:tcW w:w="60" w:type="dxa"/>
            <w:vAlign w:val="bottom"/>
          </w:tcPr>
          <w:p>
            <w:pPr>
              <w:spacing w:after="0"/>
              <w:rPr>
                <w:sz w:val="17"/>
                <w:szCs w:val="17"/>
                <w:color w:val="auto"/>
              </w:rPr>
            </w:pPr>
          </w:p>
        </w:tc>
        <w:tc>
          <w:tcPr>
            <w:tcW w:w="340" w:type="dxa"/>
            <w:vAlign w:val="bottom"/>
          </w:tcPr>
          <w:p>
            <w:pPr>
              <w:jc w:val="right"/>
              <w:ind w:right="156"/>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0.51</w:t>
            </w:r>
          </w:p>
        </w:tc>
        <w:tc>
          <w:tcPr>
            <w:tcW w:w="60" w:type="dxa"/>
            <w:vAlign w:val="bottom"/>
          </w:tcPr>
          <w:p>
            <w:pPr>
              <w:spacing w:after="0"/>
              <w:rPr>
                <w:sz w:val="17"/>
                <w:szCs w:val="17"/>
                <w:color w:val="auto"/>
              </w:rPr>
            </w:pPr>
          </w:p>
        </w:tc>
        <w:tc>
          <w:tcPr>
            <w:tcW w:w="24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1.22</w:t>
            </w:r>
          </w:p>
        </w:tc>
        <w:tc>
          <w:tcPr>
            <w:tcW w:w="60" w:type="dxa"/>
            <w:vAlign w:val="bottom"/>
          </w:tcPr>
          <w:p>
            <w:pPr>
              <w:spacing w:after="0"/>
              <w:rPr>
                <w:sz w:val="17"/>
                <w:szCs w:val="17"/>
                <w:color w:val="auto"/>
              </w:rPr>
            </w:pPr>
          </w:p>
        </w:tc>
        <w:tc>
          <w:tcPr>
            <w:tcW w:w="22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0.95</w:t>
            </w:r>
          </w:p>
        </w:tc>
        <w:tc>
          <w:tcPr>
            <w:tcW w:w="0" w:type="dxa"/>
            <w:vAlign w:val="bottom"/>
          </w:tcPr>
          <w:p>
            <w:pPr>
              <w:spacing w:after="0"/>
              <w:rPr>
                <w:sz w:val="1"/>
                <w:szCs w:val="1"/>
                <w:color w:val="auto"/>
              </w:rPr>
            </w:pPr>
          </w:p>
        </w:tc>
      </w:tr>
      <w:tr>
        <w:trPr>
          <w:trHeight w:val="204"/>
        </w:trPr>
        <w:tc>
          <w:tcPr>
            <w:tcW w:w="3580" w:type="dxa"/>
            <w:vAlign w:val="bottom"/>
          </w:tcPr>
          <w:p>
            <w:pPr>
              <w:ind w:left="200"/>
              <w:spacing w:after="0"/>
              <w:rPr>
                <w:sz w:val="20"/>
                <w:szCs w:val="20"/>
                <w:color w:val="auto"/>
              </w:rPr>
            </w:pPr>
            <w:r>
              <w:rPr>
                <w:rFonts w:ascii="Arial" w:cs="Arial" w:eastAsia="Arial" w:hAnsi="Arial"/>
                <w:sz w:val="13"/>
                <w:szCs w:val="13"/>
                <w:color w:val="auto"/>
              </w:rPr>
              <w:t>Diluted</w:t>
            </w:r>
          </w:p>
        </w:tc>
        <w:tc>
          <w:tcPr>
            <w:tcW w:w="340" w:type="dxa"/>
            <w:vAlign w:val="bottom"/>
          </w:tcPr>
          <w:p>
            <w:pPr>
              <w:jc w:val="right"/>
              <w:ind w:right="156"/>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0.25</w:t>
            </w:r>
          </w:p>
        </w:tc>
        <w:tc>
          <w:tcPr>
            <w:tcW w:w="60" w:type="dxa"/>
            <w:vAlign w:val="bottom"/>
          </w:tcPr>
          <w:p>
            <w:pPr>
              <w:spacing w:after="0"/>
              <w:rPr>
                <w:sz w:val="17"/>
                <w:szCs w:val="17"/>
                <w:color w:val="auto"/>
              </w:rPr>
            </w:pPr>
          </w:p>
        </w:tc>
        <w:tc>
          <w:tcPr>
            <w:tcW w:w="340" w:type="dxa"/>
            <w:vAlign w:val="bottom"/>
          </w:tcPr>
          <w:p>
            <w:pPr>
              <w:jc w:val="right"/>
              <w:ind w:right="156"/>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0.51</w:t>
            </w:r>
          </w:p>
        </w:tc>
        <w:tc>
          <w:tcPr>
            <w:tcW w:w="60" w:type="dxa"/>
            <w:vAlign w:val="bottom"/>
          </w:tcPr>
          <w:p>
            <w:pPr>
              <w:spacing w:after="0"/>
              <w:rPr>
                <w:sz w:val="17"/>
                <w:szCs w:val="17"/>
                <w:color w:val="auto"/>
              </w:rPr>
            </w:pPr>
          </w:p>
        </w:tc>
        <w:tc>
          <w:tcPr>
            <w:tcW w:w="24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1.22</w:t>
            </w:r>
          </w:p>
        </w:tc>
        <w:tc>
          <w:tcPr>
            <w:tcW w:w="60" w:type="dxa"/>
            <w:vAlign w:val="bottom"/>
          </w:tcPr>
          <w:p>
            <w:pPr>
              <w:spacing w:after="0"/>
              <w:rPr>
                <w:sz w:val="17"/>
                <w:szCs w:val="17"/>
                <w:color w:val="auto"/>
              </w:rPr>
            </w:pPr>
          </w:p>
        </w:tc>
        <w:tc>
          <w:tcPr>
            <w:tcW w:w="22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0.95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-2391410</wp:posOffset>
            </wp:positionV>
            <wp:extent cx="5584190" cy="4851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584190" cy="4851400"/>
                    </a:xfrm>
                    <a:prstGeom prst="rect">
                      <a:avLst/>
                    </a:prstGeom>
                    <a:noFill/>
                  </pic:spPr>
                </pic:pic>
              </a:graphicData>
            </a:graphic>
          </wp:anchor>
        </w:drawing>
      </w:r>
    </w:p>
    <w:p>
      <w:pPr>
        <w:spacing w:after="0" w:line="177" w:lineRule="exact"/>
        <w:rPr>
          <w:sz w:val="20"/>
          <w:szCs w:val="20"/>
          <w:color w:val="auto"/>
        </w:rPr>
      </w:pPr>
    </w:p>
    <w:p>
      <w:pPr>
        <w:jc w:val="center"/>
        <w:ind w:right="139"/>
        <w:spacing w:after="0"/>
        <w:rPr>
          <w:sz w:val="20"/>
          <w:szCs w:val="20"/>
          <w:color w:val="auto"/>
        </w:rPr>
      </w:pPr>
      <w:r>
        <w:rPr>
          <w:rFonts w:ascii="Arial" w:cs="Arial" w:eastAsia="Arial" w:hAnsi="Arial"/>
          <w:sz w:val="13"/>
          <w:szCs w:val="13"/>
          <w:color w:val="auto"/>
        </w:rPr>
        <w:t>The accompanying notes are an integ</w:t>
      </w:r>
      <w:r>
        <w:rPr>
          <w:rFonts w:ascii="Arial" w:cs="Arial" w:eastAsia="Arial" w:hAnsi="Arial"/>
          <w:sz w:val="13"/>
          <w:szCs w:val="13"/>
          <w:u w:val="single" w:color="auto"/>
          <w:color w:val="auto"/>
        </w:rPr>
        <w:t>ral part of these co</w:t>
      </w:r>
      <w:r>
        <w:rPr>
          <w:rFonts w:ascii="Arial" w:cs="Arial" w:eastAsia="Arial" w:hAnsi="Arial"/>
          <w:sz w:val="13"/>
          <w:szCs w:val="13"/>
          <w:color w:val="auto"/>
        </w:rPr>
        <w:t>n</w:t>
      </w:r>
      <w:r>
        <w:rPr>
          <w:rFonts w:ascii="Arial" w:cs="Arial" w:eastAsia="Arial" w:hAnsi="Arial"/>
          <w:sz w:val="13"/>
          <w:szCs w:val="13"/>
          <w:u w:val="single" w:color="auto"/>
          <w:color w:val="auto"/>
        </w:rPr>
        <w:t>solidated financial</w:t>
      </w:r>
      <w:r>
        <w:rPr>
          <w:rFonts w:ascii="Arial" w:cs="Arial" w:eastAsia="Arial" w:hAnsi="Arial"/>
          <w:sz w:val="13"/>
          <w:szCs w:val="13"/>
          <w:color w:val="auto"/>
        </w:rPr>
        <w:t xml:space="preserv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188595</wp:posOffset>
            </wp:positionV>
            <wp:extent cx="5584190" cy="56019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84190" cy="5601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9"/>
        <w:spacing w:after="0"/>
        <w:rPr>
          <w:sz w:val="20"/>
          <w:szCs w:val="20"/>
          <w:color w:val="auto"/>
        </w:rPr>
      </w:pPr>
      <w:r>
        <w:rPr>
          <w:rFonts w:ascii="Arial" w:cs="Arial" w:eastAsia="Arial" w:hAnsi="Arial"/>
          <w:sz w:val="13"/>
          <w:szCs w:val="13"/>
          <w:b w:val="1"/>
          <w:bCs w:val="1"/>
          <w:color w:val="auto"/>
        </w:rPr>
        <w:t>Alexandria Real Estate Equities, Inc.</w:t>
      </w:r>
    </w:p>
    <w:p>
      <w:pPr>
        <w:spacing w:after="0" w:line="13" w:lineRule="exact"/>
        <w:rPr>
          <w:sz w:val="20"/>
          <w:szCs w:val="20"/>
          <w:color w:val="auto"/>
        </w:rPr>
      </w:pPr>
    </w:p>
    <w:p>
      <w:pPr>
        <w:jc w:val="center"/>
        <w:ind w:right="199"/>
        <w:spacing w:after="0"/>
        <w:rPr>
          <w:sz w:val="20"/>
          <w:szCs w:val="20"/>
          <w:color w:val="auto"/>
        </w:rPr>
      </w:pPr>
      <w:r>
        <w:rPr>
          <w:rFonts w:ascii="Arial" w:cs="Arial" w:eastAsia="Arial" w:hAnsi="Arial"/>
          <w:sz w:val="13"/>
          <w:szCs w:val="13"/>
          <w:b w:val="1"/>
          <w:bCs w:val="1"/>
          <w:color w:val="auto"/>
        </w:rPr>
        <w:t>Consolidated Statements of Comprehensive Income</w:t>
      </w:r>
    </w:p>
    <w:p>
      <w:pPr>
        <w:spacing w:after="0" w:line="12" w:lineRule="exact"/>
        <w:rPr>
          <w:sz w:val="20"/>
          <w:szCs w:val="20"/>
          <w:color w:val="auto"/>
        </w:rPr>
      </w:pPr>
    </w:p>
    <w:p>
      <w:pPr>
        <w:jc w:val="center"/>
        <w:ind w:right="199"/>
        <w:spacing w:after="0"/>
        <w:rPr>
          <w:sz w:val="20"/>
          <w:szCs w:val="20"/>
          <w:color w:val="auto"/>
        </w:rPr>
      </w:pPr>
      <w:r>
        <w:rPr>
          <w:rFonts w:ascii="Arial" w:cs="Arial" w:eastAsia="Arial" w:hAnsi="Arial"/>
          <w:sz w:val="13"/>
          <w:szCs w:val="13"/>
          <w:i w:val="1"/>
          <w:iCs w:val="1"/>
          <w:color w:val="auto"/>
        </w:rPr>
        <w:t>(In thousands)</w:t>
      </w:r>
    </w:p>
    <w:p>
      <w:pPr>
        <w:spacing w:after="0" w:line="1" w:lineRule="exact"/>
        <w:rPr>
          <w:sz w:val="20"/>
          <w:szCs w:val="20"/>
          <w:color w:val="auto"/>
        </w:rPr>
      </w:pPr>
    </w:p>
    <w:p>
      <w:pPr>
        <w:jc w:val="center"/>
        <w:ind w:right="199"/>
        <w:spacing w:after="0"/>
        <w:rPr>
          <w:sz w:val="20"/>
          <w:szCs w:val="20"/>
          <w:color w:val="auto"/>
        </w:rPr>
      </w:pPr>
      <w:r>
        <w:rPr>
          <w:rFonts w:ascii="Arial" w:cs="Arial" w:eastAsia="Arial" w:hAnsi="Arial"/>
          <w:sz w:val="13"/>
          <w:szCs w:val="13"/>
          <w:i w:val="1"/>
          <w:iCs w:val="1"/>
          <w:color w:val="auto"/>
        </w:rPr>
        <w:t>(Unaudited)</w:t>
      </w:r>
    </w:p>
    <w:p>
      <w:pPr>
        <w:spacing w:after="0" w:line="214"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3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40" w:type="dxa"/>
            <w:vAlign w:val="bottom"/>
            <w:gridSpan w:val="5"/>
          </w:tcPr>
          <w:p>
            <w:pPr>
              <w:ind w:left="20"/>
              <w:spacing w:after="0"/>
              <w:rPr>
                <w:sz w:val="20"/>
                <w:szCs w:val="20"/>
                <w:color w:val="auto"/>
              </w:rPr>
            </w:pPr>
            <w:r>
              <w:rPr>
                <w:rFonts w:ascii="Arial" w:cs="Arial" w:eastAsia="Arial" w:hAnsi="Arial"/>
                <w:sz w:val="13"/>
                <w:szCs w:val="13"/>
                <w:color w:val="auto"/>
              </w:rPr>
              <w:t>Three Months Ended June 30,</w:t>
            </w:r>
          </w:p>
        </w:tc>
        <w:tc>
          <w:tcPr>
            <w:tcW w:w="160" w:type="dxa"/>
            <w:vAlign w:val="bottom"/>
          </w:tcPr>
          <w:p>
            <w:pPr>
              <w:spacing w:after="0"/>
              <w:rPr>
                <w:sz w:val="13"/>
                <w:szCs w:val="13"/>
                <w:color w:val="auto"/>
              </w:rPr>
            </w:pPr>
          </w:p>
        </w:tc>
        <w:tc>
          <w:tcPr>
            <w:tcW w:w="1860" w:type="dxa"/>
            <w:vAlign w:val="bottom"/>
            <w:gridSpan w:val="4"/>
          </w:tcPr>
          <w:p>
            <w:pPr>
              <w:jc w:val="right"/>
              <w:ind w:right="156"/>
              <w:spacing w:after="0"/>
              <w:rPr>
                <w:sz w:val="20"/>
                <w:szCs w:val="20"/>
                <w:color w:val="auto"/>
              </w:rPr>
            </w:pPr>
            <w:r>
              <w:rPr>
                <w:rFonts w:ascii="Arial" w:cs="Arial" w:eastAsia="Arial" w:hAnsi="Arial"/>
                <w:sz w:val="13"/>
                <w:szCs w:val="13"/>
                <w:color w:val="auto"/>
              </w:rPr>
              <w:t>Six Months Ended June 30,</w:t>
            </w:r>
          </w:p>
        </w:tc>
        <w:tc>
          <w:tcPr>
            <w:tcW w:w="0" w:type="dxa"/>
            <w:vAlign w:val="bottom"/>
          </w:tcPr>
          <w:p>
            <w:pPr>
              <w:spacing w:after="0"/>
              <w:rPr>
                <w:sz w:val="1"/>
                <w:szCs w:val="1"/>
                <w:color w:val="auto"/>
              </w:rPr>
            </w:pPr>
          </w:p>
        </w:tc>
      </w:tr>
      <w:tr>
        <w:trPr>
          <w:trHeight w:val="184"/>
        </w:trPr>
        <w:tc>
          <w:tcPr>
            <w:tcW w:w="38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276"/>
              <w:spacing w:after="0"/>
              <w:rPr>
                <w:sz w:val="20"/>
                <w:szCs w:val="20"/>
                <w:color w:val="auto"/>
              </w:rPr>
            </w:pPr>
            <w:r>
              <w:rPr>
                <w:rFonts w:ascii="Arial" w:cs="Arial" w:eastAsia="Arial" w:hAnsi="Arial"/>
                <w:sz w:val="13"/>
                <w:szCs w:val="13"/>
                <w:color w:val="auto"/>
              </w:rPr>
              <w:t>2024</w:t>
            </w:r>
          </w:p>
        </w:tc>
        <w:tc>
          <w:tcPr>
            <w:tcW w:w="60" w:type="dxa"/>
            <w:vAlign w:val="bottom"/>
            <w:tcBorders>
              <w:top w:val="single" w:sz="8" w:color="auto"/>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ind w:right="276"/>
              <w:spacing w:after="0"/>
              <w:rPr>
                <w:sz w:val="20"/>
                <w:szCs w:val="20"/>
                <w:color w:val="auto"/>
              </w:rPr>
            </w:pPr>
            <w:r>
              <w:rPr>
                <w:rFonts w:ascii="Arial" w:cs="Arial" w:eastAsia="Arial" w:hAnsi="Arial"/>
                <w:sz w:val="13"/>
                <w:szCs w:val="13"/>
                <w:color w:val="auto"/>
              </w:rPr>
              <w:t>2023</w:t>
            </w:r>
          </w:p>
        </w:tc>
        <w:tc>
          <w:tcPr>
            <w:tcW w:w="6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3"/>
                <w:szCs w:val="13"/>
                <w:color w:val="auto"/>
              </w:rPr>
              <w:t>2024</w:t>
            </w:r>
          </w:p>
        </w:tc>
        <w:tc>
          <w:tcPr>
            <w:tcW w:w="60" w:type="dxa"/>
            <w:vAlign w:val="bottom"/>
            <w:tcBorders>
              <w:top w:val="single" w:sz="8" w:color="auto"/>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ind w:right="296"/>
              <w:spacing w:after="0"/>
              <w:rPr>
                <w:sz w:val="20"/>
                <w:szCs w:val="20"/>
                <w:color w:val="auto"/>
              </w:rPr>
            </w:pPr>
            <w:r>
              <w:rPr>
                <w:rFonts w:ascii="Arial" w:cs="Arial" w:eastAsia="Arial" w:hAnsi="Arial"/>
                <w:sz w:val="13"/>
                <w:szCs w:val="13"/>
                <w:color w:val="auto"/>
              </w:rPr>
              <w:t>2023</w:t>
            </w:r>
          </w:p>
        </w:tc>
        <w:tc>
          <w:tcPr>
            <w:tcW w:w="0" w:type="dxa"/>
            <w:vAlign w:val="bottom"/>
          </w:tcPr>
          <w:p>
            <w:pPr>
              <w:spacing w:after="0"/>
              <w:rPr>
                <w:sz w:val="1"/>
                <w:szCs w:val="1"/>
                <w:color w:val="auto"/>
              </w:rPr>
            </w:pPr>
          </w:p>
        </w:tc>
      </w:tr>
      <w:tr>
        <w:trPr>
          <w:trHeight w:val="184"/>
        </w:trPr>
        <w:tc>
          <w:tcPr>
            <w:tcW w:w="380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94,049</w:t>
            </w: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133,705</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ind w:left="300"/>
              <w:spacing w:after="0"/>
              <w:rPr>
                <w:sz w:val="20"/>
                <w:szCs w:val="20"/>
                <w:color w:val="auto"/>
              </w:rPr>
            </w:pPr>
            <w:r>
              <w:rPr>
                <w:rFonts w:ascii="Arial" w:cs="Arial" w:eastAsia="Arial" w:hAnsi="Arial"/>
                <w:sz w:val="13"/>
                <w:szCs w:val="13"/>
                <w:color w:val="auto"/>
              </w:rPr>
              <w:t>313,225</w:t>
            </w: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255,398</w:t>
            </w:r>
          </w:p>
        </w:tc>
        <w:tc>
          <w:tcPr>
            <w:tcW w:w="0" w:type="dxa"/>
            <w:vAlign w:val="bottom"/>
          </w:tcPr>
          <w:p>
            <w:pPr>
              <w:spacing w:after="0"/>
              <w:rPr>
                <w:sz w:val="1"/>
                <w:szCs w:val="1"/>
                <w:color w:val="auto"/>
              </w:rPr>
            </w:pPr>
          </w:p>
        </w:tc>
      </w:tr>
      <w:tr>
        <w:trPr>
          <w:trHeight w:val="204"/>
        </w:trPr>
        <w:tc>
          <w:tcPr>
            <w:tcW w:w="3800" w:type="dxa"/>
            <w:vAlign w:val="bottom"/>
          </w:tcPr>
          <w:p>
            <w:pPr>
              <w:ind w:left="40"/>
              <w:spacing w:after="0"/>
              <w:rPr>
                <w:sz w:val="20"/>
                <w:szCs w:val="20"/>
                <w:color w:val="auto"/>
              </w:rPr>
            </w:pPr>
            <w:r>
              <w:rPr>
                <w:rFonts w:ascii="Arial" w:cs="Arial" w:eastAsia="Arial" w:hAnsi="Arial"/>
                <w:sz w:val="13"/>
                <w:szCs w:val="13"/>
                <w:color w:val="auto"/>
              </w:rPr>
              <w:t>Other comprehensive (loss) income</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800" w:type="dxa"/>
            <w:vAlign w:val="bottom"/>
            <w:shd w:val="clear" w:color="auto" w:fill="CCEEFF"/>
          </w:tcPr>
          <w:p>
            <w:pPr>
              <w:ind w:left="260"/>
              <w:spacing w:after="0"/>
              <w:rPr>
                <w:sz w:val="20"/>
                <w:szCs w:val="20"/>
                <w:color w:val="auto"/>
              </w:rPr>
            </w:pPr>
            <w:r>
              <w:rPr>
                <w:rFonts w:ascii="Arial" w:cs="Arial" w:eastAsia="Arial" w:hAnsi="Arial"/>
                <w:sz w:val="13"/>
                <w:szCs w:val="13"/>
                <w:color w:val="auto"/>
              </w:rPr>
              <w:t>Unrealized (losses) gains on foreign currency translation:</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3800" w:type="dxa"/>
            <w:vAlign w:val="bottom"/>
          </w:tcPr>
          <w:p>
            <w:pPr>
              <w:ind w:left="400"/>
              <w:spacing w:after="0"/>
              <w:rPr>
                <w:sz w:val="20"/>
                <w:szCs w:val="20"/>
                <w:color w:val="auto"/>
              </w:rPr>
            </w:pPr>
            <w:r>
              <w:rPr>
                <w:rFonts w:ascii="Arial" w:cs="Arial" w:eastAsia="Arial" w:hAnsi="Arial"/>
                <w:sz w:val="13"/>
                <w:szCs w:val="13"/>
                <w:color w:val="auto"/>
              </w:rPr>
              <w:t>Unrealized foreign currency translation (losses) gains</w:t>
            </w:r>
          </w:p>
        </w:tc>
        <w:tc>
          <w:tcPr>
            <w:tcW w:w="12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(3,895)</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3,947</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vMerge w:val="restart"/>
          </w:tcPr>
          <w:p>
            <w:pPr>
              <w:ind w:left="320"/>
              <w:spacing w:after="0"/>
              <w:rPr>
                <w:sz w:val="20"/>
                <w:szCs w:val="20"/>
                <w:color w:val="auto"/>
              </w:rPr>
            </w:pPr>
            <w:r>
              <w:rPr>
                <w:rFonts w:ascii="Arial" w:cs="Arial" w:eastAsia="Arial" w:hAnsi="Arial"/>
                <w:sz w:val="13"/>
                <w:szCs w:val="13"/>
                <w:color w:val="auto"/>
                <w:w w:val="99"/>
              </w:rPr>
              <w:t>(11,814)</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4,223</w:t>
            </w:r>
          </w:p>
        </w:tc>
        <w:tc>
          <w:tcPr>
            <w:tcW w:w="0" w:type="dxa"/>
            <w:vAlign w:val="bottom"/>
          </w:tcPr>
          <w:p>
            <w:pPr>
              <w:spacing w:after="0"/>
              <w:rPr>
                <w:sz w:val="1"/>
                <w:szCs w:val="1"/>
                <w:color w:val="auto"/>
              </w:rPr>
            </w:pPr>
          </w:p>
        </w:tc>
      </w:tr>
      <w:tr>
        <w:trPr>
          <w:trHeight w:val="161"/>
        </w:trPr>
        <w:tc>
          <w:tcPr>
            <w:tcW w:w="3800" w:type="dxa"/>
            <w:vAlign w:val="bottom"/>
            <w:tcBorders>
              <w:bottom w:val="single" w:sz="8" w:color="CCEEFF"/>
            </w:tcBorders>
          </w:tcPr>
          <w:p>
            <w:pPr>
              <w:ind w:left="520"/>
              <w:spacing w:after="0"/>
              <w:rPr>
                <w:sz w:val="20"/>
                <w:szCs w:val="20"/>
                <w:color w:val="auto"/>
              </w:rPr>
            </w:pPr>
            <w:r>
              <w:rPr>
                <w:rFonts w:ascii="Arial" w:cs="Arial" w:eastAsia="Arial" w:hAnsi="Arial"/>
                <w:sz w:val="13"/>
                <w:szCs w:val="13"/>
                <w:color w:val="auto"/>
              </w:rPr>
              <w:t>arising during the period</w:t>
            </w:r>
          </w:p>
        </w:tc>
        <w:tc>
          <w:tcPr>
            <w:tcW w:w="1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vMerge w:val="continue"/>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vMerge w:val="continue"/>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vMerge w:val="continue"/>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3800" w:type="dxa"/>
            <w:vAlign w:val="bottom"/>
            <w:shd w:val="clear" w:color="auto" w:fill="CCEEFF"/>
          </w:tcPr>
          <w:p>
            <w:pPr>
              <w:ind w:left="260"/>
              <w:spacing w:after="0"/>
              <w:rPr>
                <w:sz w:val="20"/>
                <w:szCs w:val="20"/>
                <w:color w:val="auto"/>
              </w:rPr>
            </w:pPr>
            <w:r>
              <w:rPr>
                <w:rFonts w:ascii="Arial" w:cs="Arial" w:eastAsia="Arial" w:hAnsi="Arial"/>
                <w:sz w:val="13"/>
                <w:szCs w:val="13"/>
                <w:color w:val="auto"/>
              </w:rPr>
              <w:t>Unrealized (losses) gains on foreign currency translation, net</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(3,895)</w:t>
            </w: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3,947</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ind w:left="320"/>
              <w:spacing w:after="0"/>
              <w:rPr>
                <w:sz w:val="20"/>
                <w:szCs w:val="20"/>
                <w:color w:val="auto"/>
              </w:rPr>
            </w:pPr>
            <w:r>
              <w:rPr>
                <w:rFonts w:ascii="Arial" w:cs="Arial" w:eastAsia="Arial" w:hAnsi="Arial"/>
                <w:sz w:val="13"/>
                <w:szCs w:val="13"/>
                <w:color w:val="auto"/>
                <w:w w:val="99"/>
              </w:rPr>
              <w:t>(11,814)</w:t>
            </w: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4,223</w:t>
            </w:r>
          </w:p>
        </w:tc>
        <w:tc>
          <w:tcPr>
            <w:tcW w:w="0" w:type="dxa"/>
            <w:vAlign w:val="bottom"/>
          </w:tcPr>
          <w:p>
            <w:pPr>
              <w:spacing w:after="0"/>
              <w:rPr>
                <w:sz w:val="1"/>
                <w:szCs w:val="1"/>
                <w:color w:val="auto"/>
              </w:rPr>
            </w:pPr>
          </w:p>
        </w:tc>
      </w:tr>
      <w:tr>
        <w:trPr>
          <w:trHeight w:val="226"/>
        </w:trPr>
        <w:tc>
          <w:tcPr>
            <w:tcW w:w="38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3800" w:type="dxa"/>
            <w:vAlign w:val="bottom"/>
            <w:shd w:val="clear" w:color="auto" w:fill="CCEEFF"/>
          </w:tcPr>
          <w:p>
            <w:pPr>
              <w:ind w:left="40"/>
              <w:spacing w:after="0"/>
              <w:rPr>
                <w:sz w:val="20"/>
                <w:szCs w:val="20"/>
                <w:color w:val="auto"/>
              </w:rPr>
            </w:pPr>
            <w:r>
              <w:rPr>
                <w:rFonts w:ascii="Arial" w:cs="Arial" w:eastAsia="Arial" w:hAnsi="Arial"/>
                <w:sz w:val="13"/>
                <w:szCs w:val="13"/>
                <w:color w:val="auto"/>
              </w:rPr>
              <w:t>Total other comprehensive (loss) income</w:t>
            </w:r>
          </w:p>
        </w:tc>
        <w:tc>
          <w:tcPr>
            <w:tcW w:w="1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(3,895)</w:t>
            </w:r>
          </w:p>
        </w:tc>
        <w:tc>
          <w:tcPr>
            <w:tcW w:w="6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3,947</w:t>
            </w:r>
          </w:p>
        </w:tc>
        <w:tc>
          <w:tcPr>
            <w:tcW w:w="6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3"/>
                <w:szCs w:val="13"/>
                <w:color w:val="auto"/>
                <w:w w:val="99"/>
              </w:rPr>
              <w:t>(11,814)</w:t>
            </w:r>
          </w:p>
        </w:tc>
        <w:tc>
          <w:tcPr>
            <w:tcW w:w="6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4,223</w:t>
            </w:r>
          </w:p>
        </w:tc>
        <w:tc>
          <w:tcPr>
            <w:tcW w:w="0" w:type="dxa"/>
            <w:vAlign w:val="bottom"/>
          </w:tcPr>
          <w:p>
            <w:pPr>
              <w:spacing w:after="0"/>
              <w:rPr>
                <w:sz w:val="1"/>
                <w:szCs w:val="1"/>
                <w:color w:val="auto"/>
              </w:rPr>
            </w:pPr>
          </w:p>
        </w:tc>
      </w:tr>
      <w:tr>
        <w:trPr>
          <w:trHeight w:val="184"/>
        </w:trPr>
        <w:tc>
          <w:tcPr>
            <w:tcW w:w="3800" w:type="dxa"/>
            <w:vAlign w:val="bottom"/>
          </w:tcPr>
          <w:p>
            <w:pPr>
              <w:ind w:left="40"/>
              <w:spacing w:after="0"/>
              <w:rPr>
                <w:sz w:val="20"/>
                <w:szCs w:val="20"/>
                <w:color w:val="auto"/>
              </w:rPr>
            </w:pPr>
            <w:r>
              <w:rPr>
                <w:rFonts w:ascii="Arial" w:cs="Arial" w:eastAsia="Arial" w:hAnsi="Arial"/>
                <w:sz w:val="13"/>
                <w:szCs w:val="13"/>
                <w:color w:val="auto"/>
              </w:rPr>
              <w:t>Comprehensive income</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90,154</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137,652</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ind w:left="300"/>
              <w:spacing w:after="0"/>
              <w:rPr>
                <w:sz w:val="20"/>
                <w:szCs w:val="20"/>
                <w:color w:val="auto"/>
              </w:rPr>
            </w:pPr>
            <w:r>
              <w:rPr>
                <w:rFonts w:ascii="Arial" w:cs="Arial" w:eastAsia="Arial" w:hAnsi="Arial"/>
                <w:sz w:val="13"/>
                <w:szCs w:val="13"/>
                <w:color w:val="auto"/>
              </w:rPr>
              <w:t>301,411</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259,621</w:t>
            </w:r>
          </w:p>
        </w:tc>
        <w:tc>
          <w:tcPr>
            <w:tcW w:w="0" w:type="dxa"/>
            <w:vAlign w:val="bottom"/>
          </w:tcPr>
          <w:p>
            <w:pPr>
              <w:spacing w:after="0"/>
              <w:rPr>
                <w:sz w:val="1"/>
                <w:szCs w:val="1"/>
                <w:color w:val="auto"/>
              </w:rPr>
            </w:pPr>
          </w:p>
        </w:tc>
      </w:tr>
      <w:tr>
        <w:trPr>
          <w:trHeight w:val="172"/>
        </w:trPr>
        <w:tc>
          <w:tcPr>
            <w:tcW w:w="3800" w:type="dxa"/>
            <w:vAlign w:val="bottom"/>
            <w:shd w:val="clear" w:color="auto" w:fill="CCEEFF"/>
          </w:tcPr>
          <w:p>
            <w:pPr>
              <w:ind w:left="260"/>
              <w:spacing w:after="0"/>
              <w:rPr>
                <w:sz w:val="20"/>
                <w:szCs w:val="20"/>
                <w:color w:val="auto"/>
              </w:rPr>
            </w:pPr>
            <w:r>
              <w:rPr>
                <w:rFonts w:ascii="Arial" w:cs="Arial" w:eastAsia="Arial" w:hAnsi="Arial"/>
                <w:sz w:val="13"/>
                <w:szCs w:val="13"/>
                <w:color w:val="auto"/>
              </w:rPr>
              <w:t>Less: comprehensive income attributable to noncontrolling</w:t>
            </w:r>
          </w:p>
        </w:tc>
        <w:tc>
          <w:tcPr>
            <w:tcW w:w="12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(47,347)</w:t>
            </w: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(43,768)</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ind w:left="320"/>
              <w:spacing w:after="0"/>
              <w:rPr>
                <w:sz w:val="20"/>
                <w:szCs w:val="20"/>
                <w:color w:val="auto"/>
              </w:rPr>
            </w:pPr>
            <w:r>
              <w:rPr>
                <w:rFonts w:ascii="Arial" w:cs="Arial" w:eastAsia="Arial" w:hAnsi="Arial"/>
                <w:sz w:val="13"/>
                <w:szCs w:val="13"/>
                <w:color w:val="auto"/>
                <w:w w:val="99"/>
              </w:rPr>
              <w:t>(95,978)</w:t>
            </w: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(87,599)</w:t>
            </w:r>
          </w:p>
        </w:tc>
        <w:tc>
          <w:tcPr>
            <w:tcW w:w="0" w:type="dxa"/>
            <w:vAlign w:val="bottom"/>
          </w:tcPr>
          <w:p>
            <w:pPr>
              <w:spacing w:after="0"/>
              <w:rPr>
                <w:sz w:val="1"/>
                <w:szCs w:val="1"/>
                <w:color w:val="auto"/>
              </w:rPr>
            </w:pPr>
          </w:p>
        </w:tc>
      </w:tr>
      <w:tr>
        <w:trPr>
          <w:trHeight w:val="161"/>
        </w:trPr>
        <w:tc>
          <w:tcPr>
            <w:tcW w:w="3800" w:type="dxa"/>
            <w:vAlign w:val="bottom"/>
            <w:shd w:val="clear" w:color="auto" w:fill="CCEEFF"/>
          </w:tcPr>
          <w:p>
            <w:pPr>
              <w:ind w:left="400"/>
              <w:spacing w:after="0"/>
              <w:rPr>
                <w:sz w:val="20"/>
                <w:szCs w:val="20"/>
                <w:color w:val="auto"/>
              </w:rPr>
            </w:pPr>
            <w:r>
              <w:rPr>
                <w:rFonts w:ascii="Arial" w:cs="Arial" w:eastAsia="Arial" w:hAnsi="Arial"/>
                <w:sz w:val="13"/>
                <w:szCs w:val="13"/>
                <w:color w:val="auto"/>
              </w:rPr>
              <w:t>interests</w:t>
            </w:r>
          </w:p>
        </w:tc>
        <w:tc>
          <w:tcPr>
            <w:tcW w:w="12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800" w:type="dxa"/>
            <w:vAlign w:val="bottom"/>
          </w:tcPr>
          <w:p>
            <w:pPr>
              <w:ind w:left="40"/>
              <w:spacing w:after="0"/>
              <w:rPr>
                <w:sz w:val="20"/>
                <w:szCs w:val="20"/>
                <w:color w:val="auto"/>
              </w:rPr>
            </w:pPr>
            <w:r>
              <w:rPr>
                <w:rFonts w:ascii="Arial" w:cs="Arial" w:eastAsia="Arial" w:hAnsi="Arial"/>
                <w:sz w:val="13"/>
                <w:szCs w:val="13"/>
                <w:color w:val="auto"/>
              </w:rPr>
              <w:t>Comprehensive income attributable to Alexandria Real Estate</w:t>
            </w: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42,807</w:t>
            </w:r>
          </w:p>
        </w:tc>
        <w:tc>
          <w:tcPr>
            <w:tcW w:w="60" w:type="dxa"/>
            <w:vAlign w:val="bottom"/>
          </w:tcPr>
          <w:p>
            <w:pPr>
              <w:spacing w:after="0"/>
              <w:rPr>
                <w:sz w:val="13"/>
                <w:szCs w:val="13"/>
                <w:color w:val="auto"/>
              </w:rPr>
            </w:pPr>
          </w:p>
        </w:tc>
        <w:tc>
          <w:tcPr>
            <w:tcW w:w="220" w:type="dxa"/>
            <w:vAlign w:val="bottom"/>
            <w:vMerge w:val="restart"/>
          </w:tcPr>
          <w:p>
            <w:pPr>
              <w:jc w:val="right"/>
              <w:ind w:right="56"/>
              <w:spacing w:after="0"/>
              <w:rPr>
                <w:sz w:val="20"/>
                <w:szCs w:val="20"/>
                <w:color w:val="auto"/>
              </w:rPr>
            </w:pPr>
            <w:r>
              <w:rPr>
                <w:rFonts w:ascii="Arial" w:cs="Arial" w:eastAsia="Arial" w:hAnsi="Arial"/>
                <w:sz w:val="13"/>
                <w:szCs w:val="13"/>
                <w:color w:val="auto"/>
              </w:rPr>
              <w:t>$</w:t>
            </w: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93,884</w:t>
            </w:r>
          </w:p>
        </w:tc>
        <w:tc>
          <w:tcPr>
            <w:tcW w:w="6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20" w:type="dxa"/>
            <w:vAlign w:val="bottom"/>
            <w:vMerge w:val="restart"/>
          </w:tcPr>
          <w:p>
            <w:pPr>
              <w:ind w:left="300"/>
              <w:spacing w:after="0"/>
              <w:rPr>
                <w:sz w:val="20"/>
                <w:szCs w:val="20"/>
                <w:color w:val="auto"/>
              </w:rPr>
            </w:pPr>
            <w:r>
              <w:rPr>
                <w:rFonts w:ascii="Arial" w:cs="Arial" w:eastAsia="Arial" w:hAnsi="Arial"/>
                <w:sz w:val="13"/>
                <w:szCs w:val="13"/>
                <w:color w:val="auto"/>
              </w:rPr>
              <w:t>205,433</w:t>
            </w:r>
          </w:p>
        </w:tc>
        <w:tc>
          <w:tcPr>
            <w:tcW w:w="60" w:type="dxa"/>
            <w:vAlign w:val="bottom"/>
          </w:tcPr>
          <w:p>
            <w:pPr>
              <w:spacing w:after="0"/>
              <w:rPr>
                <w:sz w:val="13"/>
                <w:szCs w:val="13"/>
                <w:color w:val="auto"/>
              </w:rPr>
            </w:pPr>
          </w:p>
        </w:tc>
        <w:tc>
          <w:tcPr>
            <w:tcW w:w="220" w:type="dxa"/>
            <w:vAlign w:val="bottom"/>
            <w:vMerge w:val="restart"/>
          </w:tcPr>
          <w:p>
            <w:pPr>
              <w:jc w:val="right"/>
              <w:ind w:right="56"/>
              <w:spacing w:after="0"/>
              <w:rPr>
                <w:sz w:val="20"/>
                <w:szCs w:val="20"/>
                <w:color w:val="auto"/>
              </w:rPr>
            </w:pPr>
            <w:r>
              <w:rPr>
                <w:rFonts w:ascii="Arial" w:cs="Arial" w:eastAsia="Arial" w:hAnsi="Arial"/>
                <w:sz w:val="13"/>
                <w:szCs w:val="13"/>
                <w:color w:val="auto"/>
              </w:rPr>
              <w:t>$</w:t>
            </w: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172,022</w:t>
            </w:r>
          </w:p>
        </w:tc>
        <w:tc>
          <w:tcPr>
            <w:tcW w:w="0" w:type="dxa"/>
            <w:vAlign w:val="bottom"/>
          </w:tcPr>
          <w:p>
            <w:pPr>
              <w:spacing w:after="0"/>
              <w:rPr>
                <w:sz w:val="1"/>
                <w:szCs w:val="1"/>
                <w:color w:val="auto"/>
              </w:rPr>
            </w:pPr>
          </w:p>
        </w:tc>
      </w:tr>
      <w:tr>
        <w:trPr>
          <w:trHeight w:val="144"/>
        </w:trPr>
        <w:tc>
          <w:tcPr>
            <w:tcW w:w="3800" w:type="dxa"/>
            <w:vAlign w:val="bottom"/>
          </w:tcPr>
          <w:p>
            <w:pPr>
              <w:ind w:left="180"/>
              <w:spacing w:after="0" w:line="139" w:lineRule="exact"/>
              <w:rPr>
                <w:sz w:val="20"/>
                <w:szCs w:val="20"/>
                <w:color w:val="auto"/>
              </w:rPr>
            </w:pPr>
            <w:r>
              <w:rPr>
                <w:rFonts w:ascii="Arial" w:cs="Arial" w:eastAsia="Arial" w:hAnsi="Arial"/>
                <w:sz w:val="13"/>
                <w:szCs w:val="13"/>
                <w:color w:val="auto"/>
              </w:rPr>
              <w:t>Equities, Inc.’s stockholders</w:t>
            </w:r>
          </w:p>
        </w:tc>
        <w:tc>
          <w:tcPr>
            <w:tcW w:w="120" w:type="dxa"/>
            <w:vAlign w:val="bottom"/>
            <w:tcBorders>
              <w:bottom w:val="single" w:sz="8" w:color="auto"/>
            </w:tcBorders>
            <w:vMerge w:val="continue"/>
          </w:tcPr>
          <w:p>
            <w:pPr>
              <w:spacing w:after="0"/>
              <w:rPr>
                <w:sz w:val="12"/>
                <w:szCs w:val="12"/>
                <w:color w:val="auto"/>
              </w:rPr>
            </w:pPr>
          </w:p>
        </w:tc>
        <w:tc>
          <w:tcPr>
            <w:tcW w:w="860" w:type="dxa"/>
            <w:vAlign w:val="bottom"/>
            <w:tcBorders>
              <w:bottom w:val="single" w:sz="8" w:color="auto"/>
            </w:tcBorders>
            <w:vMerge w:val="continue"/>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Borders>
              <w:bottom w:val="single" w:sz="8" w:color="auto"/>
            </w:tcBorders>
            <w:vMerge w:val="continue"/>
          </w:tcPr>
          <w:p>
            <w:pPr>
              <w:spacing w:after="0"/>
              <w:rPr>
                <w:sz w:val="12"/>
                <w:szCs w:val="12"/>
                <w:color w:val="auto"/>
              </w:rPr>
            </w:pPr>
          </w:p>
        </w:tc>
        <w:tc>
          <w:tcPr>
            <w:tcW w:w="740" w:type="dxa"/>
            <w:vAlign w:val="bottom"/>
            <w:tcBorders>
              <w:bottom w:val="single" w:sz="8" w:color="auto"/>
            </w:tcBorders>
            <w:vMerge w:val="continue"/>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bottom w:val="single" w:sz="8" w:color="auto"/>
            </w:tcBorders>
            <w:vMerge w:val="continue"/>
          </w:tcPr>
          <w:p>
            <w:pPr>
              <w:spacing w:after="0"/>
              <w:rPr>
                <w:sz w:val="12"/>
                <w:szCs w:val="12"/>
                <w:color w:val="auto"/>
              </w:rPr>
            </w:pPr>
          </w:p>
        </w:tc>
        <w:tc>
          <w:tcPr>
            <w:tcW w:w="820" w:type="dxa"/>
            <w:vAlign w:val="bottom"/>
            <w:tcBorders>
              <w:bottom w:val="single" w:sz="8" w:color="auto"/>
            </w:tcBorders>
            <w:vMerge w:val="continue"/>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Borders>
              <w:bottom w:val="single" w:sz="8" w:color="auto"/>
            </w:tcBorders>
            <w:vMerge w:val="continue"/>
          </w:tcPr>
          <w:p>
            <w:pPr>
              <w:spacing w:after="0"/>
              <w:rPr>
                <w:sz w:val="12"/>
                <w:szCs w:val="12"/>
                <w:color w:val="auto"/>
              </w:rPr>
            </w:pPr>
          </w:p>
        </w:tc>
        <w:tc>
          <w:tcPr>
            <w:tcW w:w="76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3" w:lineRule="exact"/>
        <w:rPr>
          <w:sz w:val="20"/>
          <w:szCs w:val="20"/>
          <w:color w:val="auto"/>
        </w:rPr>
      </w:pPr>
    </w:p>
    <w:p>
      <w:pPr>
        <w:jc w:val="center"/>
        <w:ind w:right="199"/>
        <w:spacing w:after="0"/>
        <w:rPr>
          <w:sz w:val="20"/>
          <w:szCs w:val="20"/>
          <w:color w:val="auto"/>
        </w:rPr>
      </w:pPr>
      <w:r>
        <w:rPr>
          <w:rFonts w:ascii="Arial" w:cs="Arial" w:eastAsia="Arial" w:hAnsi="Arial"/>
          <w:sz w:val="13"/>
          <w:szCs w:val="13"/>
          <w:color w:val="auto"/>
        </w:rPr>
        <w:t>The accompanying notes are an integral part of these consolidated financial statements.</w:t>
      </w:r>
    </w:p>
    <w:p>
      <w:pPr>
        <w:sectPr>
          <w:pgSz w:w="11900" w:h="16838" w:orient="portrait"/>
          <w:cols w:equalWidth="0" w:num="1">
            <w:col w:w="9019"/>
          </w:cols>
          <w:pgMar w:left="1440" w:top="118" w:right="1440"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982345</wp:posOffset>
            </wp:positionH>
            <wp:positionV relativeFrom="page">
              <wp:posOffset>88900</wp:posOffset>
            </wp:positionV>
            <wp:extent cx="5584190" cy="16122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584190" cy="1612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00"/>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-341630</wp:posOffset>
            </wp:positionH>
            <wp:positionV relativeFrom="paragraph">
              <wp:posOffset>188595</wp:posOffset>
            </wp:positionV>
            <wp:extent cx="7212965" cy="55841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2965" cy="5584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4040"/>
        <w:spacing w:after="0"/>
        <w:rPr>
          <w:sz w:val="20"/>
          <w:szCs w:val="20"/>
          <w:color w:val="auto"/>
        </w:rPr>
      </w:pPr>
      <w:r>
        <w:rPr>
          <w:rFonts w:ascii="Arial" w:cs="Arial" w:eastAsia="Arial" w:hAnsi="Arial"/>
          <w:sz w:val="13"/>
          <w:szCs w:val="13"/>
          <w:b w:val="1"/>
          <w:bCs w:val="1"/>
          <w:color w:val="auto"/>
        </w:rPr>
        <w:t>Alexandria Real Estate Equities, Inc.</w:t>
      </w:r>
    </w:p>
    <w:p>
      <w:pPr>
        <w:spacing w:after="0" w:line="24" w:lineRule="exact"/>
        <w:rPr>
          <w:sz w:val="20"/>
          <w:szCs w:val="20"/>
          <w:color w:val="auto"/>
        </w:rPr>
      </w:pPr>
    </w:p>
    <w:p>
      <w:pPr>
        <w:ind w:left="2420"/>
        <w:spacing w:after="0"/>
        <w:rPr>
          <w:sz w:val="20"/>
          <w:szCs w:val="20"/>
          <w:color w:val="auto"/>
        </w:rPr>
      </w:pPr>
      <w:r>
        <w:rPr>
          <w:rFonts w:ascii="Arial" w:cs="Arial" w:eastAsia="Arial" w:hAnsi="Arial"/>
          <w:sz w:val="13"/>
          <w:szCs w:val="13"/>
          <w:b w:val="1"/>
          <w:bCs w:val="1"/>
          <w:color w:val="auto"/>
        </w:rPr>
        <w:t>Consolidated Statement of Changes in Stockholders’ Equity and Noncontrolling Interests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(Dollars in thousands)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3580" w:type="dxa"/>
            <w:vAlign w:val="bottom"/>
          </w:tcPr>
          <w:p>
            <w:pPr>
              <w:spacing w:after="0"/>
              <w:rPr>
                <w:sz w:val="12"/>
                <w:szCs w:val="12"/>
                <w:color w:val="auto"/>
              </w:rPr>
            </w:pPr>
          </w:p>
        </w:tc>
        <w:tc>
          <w:tcPr>
            <w:tcW w:w="4080" w:type="dxa"/>
            <w:vAlign w:val="bottom"/>
            <w:tcBorders>
              <w:bottom w:val="single" w:sz="8" w:color="auto"/>
            </w:tcBorders>
            <w:gridSpan w:val="12"/>
          </w:tcPr>
          <w:p>
            <w:pPr>
              <w:jc w:val="right"/>
              <w:ind w:right="483"/>
              <w:spacing w:after="0"/>
              <w:rPr>
                <w:sz w:val="20"/>
                <w:szCs w:val="20"/>
                <w:color w:val="auto"/>
              </w:rPr>
            </w:pPr>
            <w:r>
              <w:rPr>
                <w:rFonts w:ascii="Arial" w:cs="Arial" w:eastAsia="Arial" w:hAnsi="Arial"/>
                <w:sz w:val="11"/>
                <w:szCs w:val="11"/>
                <w:color w:val="auto"/>
              </w:rPr>
              <w:t>Alexandria Real Estate Equities, Inc.’s Stockholders’ Equity</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580" w:type="dxa"/>
            <w:vAlign w:val="bottom"/>
          </w:tcPr>
          <w:p>
            <w:pPr>
              <w:spacing w:after="0"/>
              <w:rPr>
                <w:sz w:val="13"/>
                <w:szCs w:val="13"/>
                <w:color w:val="auto"/>
              </w:rPr>
            </w:pPr>
          </w:p>
        </w:tc>
        <w:tc>
          <w:tcPr>
            <w:tcW w:w="820" w:type="dxa"/>
            <w:vAlign w:val="bottom"/>
            <w:gridSpan w:val="2"/>
            <w:vMerge w:val="restart"/>
          </w:tcPr>
          <w:p>
            <w:pPr>
              <w:jc w:val="center"/>
              <w:ind w:right="40"/>
              <w:spacing w:after="0"/>
              <w:rPr>
                <w:sz w:val="20"/>
                <w:szCs w:val="20"/>
                <w:color w:val="auto"/>
              </w:rPr>
            </w:pPr>
            <w:r>
              <w:rPr>
                <w:rFonts w:ascii="Arial" w:cs="Arial" w:eastAsia="Arial" w:hAnsi="Arial"/>
                <w:sz w:val="11"/>
                <w:szCs w:val="11"/>
                <w:color w:val="auto"/>
              </w:rPr>
              <w:t>Number of</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2"/>
            <w:vMerge w:val="restart"/>
          </w:tcPr>
          <w:p>
            <w:pPr>
              <w:jc w:val="center"/>
              <w:ind w:right="60"/>
              <w:spacing w:after="0"/>
              <w:rPr>
                <w:sz w:val="20"/>
                <w:szCs w:val="20"/>
                <w:color w:val="auto"/>
              </w:rPr>
            </w:pPr>
            <w:r>
              <w:rPr>
                <w:rFonts w:ascii="Arial" w:cs="Arial" w:eastAsia="Arial" w:hAnsi="Arial"/>
                <w:sz w:val="11"/>
                <w:szCs w:val="11"/>
                <w:color w:val="auto"/>
              </w:rPr>
              <w:t>Additional</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1"/>
                <w:szCs w:val="11"/>
                <w:color w:val="auto"/>
              </w:rPr>
              <w:t>Accumulated</w:t>
            </w: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gridSpan w:val="2"/>
            <w:vMerge w:val="restart"/>
          </w:tcPr>
          <w:p>
            <w:pPr>
              <w:jc w:val="right"/>
              <w:ind w:right="43"/>
              <w:spacing w:after="0"/>
              <w:rPr>
                <w:sz w:val="20"/>
                <w:szCs w:val="20"/>
                <w:color w:val="auto"/>
              </w:rPr>
            </w:pPr>
            <w:r>
              <w:rPr>
                <w:rFonts w:ascii="Arial" w:cs="Arial" w:eastAsia="Arial" w:hAnsi="Arial"/>
                <w:sz w:val="11"/>
                <w:szCs w:val="11"/>
                <w:color w:val="auto"/>
              </w:rPr>
              <w:t>Redeemable</w:t>
            </w:r>
          </w:p>
        </w:tc>
        <w:tc>
          <w:tcPr>
            <w:tcW w:w="0" w:type="dxa"/>
            <w:vAlign w:val="bottom"/>
          </w:tcPr>
          <w:p>
            <w:pPr>
              <w:spacing w:after="0"/>
              <w:rPr>
                <w:sz w:val="1"/>
                <w:szCs w:val="1"/>
                <w:color w:val="auto"/>
              </w:rPr>
            </w:pPr>
          </w:p>
        </w:tc>
      </w:tr>
      <w:tr>
        <w:trPr>
          <w:trHeight w:val="114"/>
        </w:trPr>
        <w:tc>
          <w:tcPr>
            <w:tcW w:w="358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gridSpan w:val="2"/>
            <w:vMerge w:val="restart"/>
          </w:tcPr>
          <w:p>
            <w:pPr>
              <w:ind w:left="20"/>
              <w:spacing w:after="0"/>
              <w:rPr>
                <w:sz w:val="20"/>
                <w:szCs w:val="20"/>
                <w:color w:val="auto"/>
              </w:rPr>
            </w:pPr>
            <w:r>
              <w:rPr>
                <w:rFonts w:ascii="Arial" w:cs="Arial" w:eastAsia="Arial" w:hAnsi="Arial"/>
                <w:sz w:val="11"/>
                <w:szCs w:val="11"/>
                <w:color w:val="auto"/>
              </w:rPr>
              <w:t>Common</w:t>
            </w:r>
          </w:p>
        </w:tc>
        <w:tc>
          <w:tcPr>
            <w:tcW w:w="78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gridSpan w:val="2"/>
            <w:vMerge w:val="restart"/>
          </w:tcPr>
          <w:p>
            <w:pPr>
              <w:ind w:left="20"/>
              <w:spacing w:after="0"/>
              <w:rPr>
                <w:sz w:val="20"/>
                <w:szCs w:val="20"/>
                <w:color w:val="auto"/>
              </w:rPr>
            </w:pPr>
            <w:r>
              <w:rPr>
                <w:rFonts w:ascii="Arial" w:cs="Arial" w:eastAsia="Arial" w:hAnsi="Arial"/>
                <w:sz w:val="11"/>
                <w:szCs w:val="11"/>
                <w:color w:val="auto"/>
              </w:rPr>
              <w:t>Retained</w:t>
            </w:r>
          </w:p>
        </w:tc>
        <w:tc>
          <w:tcPr>
            <w:tcW w:w="120" w:type="dxa"/>
            <w:vAlign w:val="bottom"/>
          </w:tcPr>
          <w:p>
            <w:pPr>
              <w:spacing w:after="0"/>
              <w:rPr>
                <w:sz w:val="9"/>
                <w:szCs w:val="9"/>
                <w:color w:val="auto"/>
              </w:rPr>
            </w:pPr>
          </w:p>
        </w:tc>
        <w:tc>
          <w:tcPr>
            <w:tcW w:w="880" w:type="dxa"/>
            <w:vAlign w:val="bottom"/>
            <w:gridSpan w:val="2"/>
          </w:tcPr>
          <w:p>
            <w:pPr>
              <w:jc w:val="center"/>
              <w:ind w:right="180"/>
              <w:spacing w:after="0" w:line="114" w:lineRule="exact"/>
              <w:rPr>
                <w:sz w:val="20"/>
                <w:szCs w:val="20"/>
                <w:color w:val="auto"/>
              </w:rPr>
            </w:pPr>
            <w:r>
              <w:rPr>
                <w:rFonts w:ascii="Arial" w:cs="Arial" w:eastAsia="Arial" w:hAnsi="Arial"/>
                <w:sz w:val="11"/>
                <w:szCs w:val="11"/>
                <w:color w:val="auto"/>
              </w:rPr>
              <w:t>Other</w:t>
            </w:r>
          </w:p>
        </w:tc>
        <w:tc>
          <w:tcPr>
            <w:tcW w:w="900" w:type="dxa"/>
            <w:vAlign w:val="bottom"/>
            <w:gridSpan w:val="3"/>
            <w:vMerge w:val="restart"/>
          </w:tcPr>
          <w:p>
            <w:pPr>
              <w:ind w:left="60"/>
              <w:spacing w:after="0"/>
              <w:rPr>
                <w:sz w:val="20"/>
                <w:szCs w:val="20"/>
                <w:color w:val="auto"/>
              </w:rPr>
            </w:pPr>
            <w:r>
              <w:rPr>
                <w:rFonts w:ascii="Arial" w:cs="Arial" w:eastAsia="Arial" w:hAnsi="Arial"/>
                <w:sz w:val="11"/>
                <w:szCs w:val="11"/>
                <w:color w:val="auto"/>
              </w:rPr>
              <w:t>Noncontrolling</w:t>
            </w:r>
          </w:p>
        </w:tc>
        <w:tc>
          <w:tcPr>
            <w:tcW w:w="140" w:type="dxa"/>
            <w:vAlign w:val="bottom"/>
          </w:tcPr>
          <w:p>
            <w:pPr>
              <w:spacing w:after="0"/>
              <w:rPr>
                <w:sz w:val="9"/>
                <w:szCs w:val="9"/>
                <w:color w:val="auto"/>
              </w:rPr>
            </w:pPr>
          </w:p>
        </w:tc>
        <w:tc>
          <w:tcPr>
            <w:tcW w:w="700" w:type="dxa"/>
            <w:vAlign w:val="bottom"/>
            <w:gridSpan w:val="2"/>
            <w:vMerge w:val="restart"/>
          </w:tcPr>
          <w:p>
            <w:pPr>
              <w:ind w:left="140"/>
              <w:spacing w:after="0"/>
              <w:rPr>
                <w:sz w:val="20"/>
                <w:szCs w:val="20"/>
                <w:color w:val="auto"/>
              </w:rPr>
            </w:pPr>
            <w:r>
              <w:rPr>
                <w:rFonts w:ascii="Arial" w:cs="Arial" w:eastAsia="Arial" w:hAnsi="Arial"/>
                <w:sz w:val="11"/>
                <w:szCs w:val="11"/>
                <w:color w:val="auto"/>
              </w:rPr>
              <w:t>Total</w:t>
            </w:r>
          </w:p>
        </w:tc>
        <w:tc>
          <w:tcPr>
            <w:tcW w:w="8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3580" w:type="dxa"/>
            <w:vAlign w:val="bottom"/>
          </w:tcPr>
          <w:p>
            <w:pPr>
              <w:spacing w:after="0"/>
              <w:rPr>
                <w:sz w:val="9"/>
                <w:szCs w:val="9"/>
                <w:color w:val="auto"/>
              </w:rPr>
            </w:pPr>
          </w:p>
        </w:tc>
        <w:tc>
          <w:tcPr>
            <w:tcW w:w="820" w:type="dxa"/>
            <w:vAlign w:val="bottom"/>
            <w:gridSpan w:val="2"/>
          </w:tcPr>
          <w:p>
            <w:pPr>
              <w:jc w:val="center"/>
              <w:ind w:right="40"/>
              <w:spacing w:after="0" w:line="112" w:lineRule="exact"/>
              <w:rPr>
                <w:sz w:val="20"/>
                <w:szCs w:val="20"/>
                <w:color w:val="auto"/>
              </w:rPr>
            </w:pPr>
            <w:r>
              <w:rPr>
                <w:rFonts w:ascii="Arial" w:cs="Arial" w:eastAsia="Arial" w:hAnsi="Arial"/>
                <w:sz w:val="11"/>
                <w:szCs w:val="11"/>
                <w:color w:val="auto"/>
              </w:rPr>
              <w:t>Common</w:t>
            </w:r>
          </w:p>
        </w:tc>
        <w:tc>
          <w:tcPr>
            <w:tcW w:w="120" w:type="dxa"/>
            <w:vAlign w:val="bottom"/>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780" w:type="dxa"/>
            <w:vAlign w:val="bottom"/>
            <w:gridSpan w:val="2"/>
          </w:tcPr>
          <w:p>
            <w:pPr>
              <w:jc w:val="center"/>
              <w:ind w:right="60"/>
              <w:spacing w:after="0" w:line="112" w:lineRule="exact"/>
              <w:rPr>
                <w:sz w:val="20"/>
                <w:szCs w:val="20"/>
                <w:color w:val="auto"/>
              </w:rPr>
            </w:pPr>
            <w:r>
              <w:rPr>
                <w:rFonts w:ascii="Arial" w:cs="Arial" w:eastAsia="Arial" w:hAnsi="Arial"/>
                <w:sz w:val="11"/>
                <w:szCs w:val="11"/>
                <w:color w:val="auto"/>
              </w:rPr>
              <w:t>Paid-In</w:t>
            </w:r>
          </w:p>
        </w:tc>
        <w:tc>
          <w:tcPr>
            <w:tcW w:w="100" w:type="dxa"/>
            <w:vAlign w:val="bottom"/>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1000" w:type="dxa"/>
            <w:vAlign w:val="bottom"/>
            <w:gridSpan w:val="3"/>
          </w:tcPr>
          <w:p>
            <w:pPr>
              <w:jc w:val="center"/>
              <w:ind w:right="40"/>
              <w:spacing w:after="0" w:line="112" w:lineRule="exact"/>
              <w:rPr>
                <w:sz w:val="20"/>
                <w:szCs w:val="20"/>
                <w:color w:val="auto"/>
              </w:rPr>
            </w:pPr>
            <w:r>
              <w:rPr>
                <w:rFonts w:ascii="Arial" w:cs="Arial" w:eastAsia="Arial" w:hAnsi="Arial"/>
                <w:sz w:val="11"/>
                <w:szCs w:val="11"/>
                <w:color w:val="auto"/>
              </w:rPr>
              <w:t>Comprehensive</w:t>
            </w:r>
          </w:p>
        </w:tc>
        <w:tc>
          <w:tcPr>
            <w:tcW w:w="90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840" w:type="dxa"/>
            <w:vAlign w:val="bottom"/>
            <w:gridSpan w:val="2"/>
          </w:tcPr>
          <w:p>
            <w:pPr>
              <w:ind w:left="60"/>
              <w:spacing w:after="0" w:line="112" w:lineRule="exact"/>
              <w:rPr>
                <w:sz w:val="20"/>
                <w:szCs w:val="20"/>
                <w:color w:val="auto"/>
              </w:rPr>
            </w:pPr>
            <w:r>
              <w:rPr>
                <w:rFonts w:ascii="Arial" w:cs="Arial" w:eastAsia="Arial" w:hAnsi="Arial"/>
                <w:sz w:val="11"/>
                <w:szCs w:val="11"/>
                <w:color w:val="auto"/>
              </w:rPr>
              <w:t>Noncontrolling</w:t>
            </w:r>
          </w:p>
        </w:tc>
        <w:tc>
          <w:tcPr>
            <w:tcW w:w="0" w:type="dxa"/>
            <w:vAlign w:val="bottom"/>
          </w:tcPr>
          <w:p>
            <w:pPr>
              <w:spacing w:after="0"/>
              <w:rPr>
                <w:sz w:val="1"/>
                <w:szCs w:val="1"/>
                <w:color w:val="auto"/>
              </w:rPr>
            </w:pPr>
          </w:p>
        </w:tc>
      </w:tr>
      <w:tr>
        <w:trPr>
          <w:trHeight w:val="146"/>
        </w:trPr>
        <w:tc>
          <w:tcPr>
            <w:tcW w:w="358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rPr>
              <w:t>Shares</w:t>
            </w:r>
          </w:p>
        </w:tc>
        <w:tc>
          <w:tcPr>
            <w:tcW w:w="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color w:val="auto"/>
              </w:rPr>
              <w:t>Stock</w:t>
            </w:r>
          </w:p>
        </w:tc>
        <w:tc>
          <w:tcPr>
            <w:tcW w:w="60" w:type="dxa"/>
            <w:vAlign w:val="bottom"/>
            <w:tcBorders>
              <w:bottom w:val="single" w:sz="8" w:color="CCEEFF"/>
            </w:tcBorders>
          </w:tcPr>
          <w:p>
            <w:pPr>
              <w:spacing w:after="0"/>
              <w:rPr>
                <w:sz w:val="12"/>
                <w:szCs w:val="12"/>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rPr>
              <w:t>Capital</w:t>
            </w: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Earnings</w:t>
            </w:r>
          </w:p>
        </w:tc>
        <w:tc>
          <w:tcPr>
            <w:tcW w:w="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center"/>
              <w:ind w:right="43"/>
              <w:spacing w:after="0"/>
              <w:rPr>
                <w:sz w:val="20"/>
                <w:szCs w:val="20"/>
                <w:color w:val="auto"/>
              </w:rPr>
            </w:pPr>
            <w:r>
              <w:rPr>
                <w:rFonts w:ascii="Arial" w:cs="Arial" w:eastAsia="Arial" w:hAnsi="Arial"/>
                <w:sz w:val="11"/>
                <w:szCs w:val="11"/>
                <w:color w:val="auto"/>
              </w:rPr>
              <w:t>Loss</w:t>
            </w:r>
          </w:p>
        </w:tc>
        <w:tc>
          <w:tcPr>
            <w:tcW w:w="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color w:val="auto"/>
              </w:rPr>
              <w:t>Interests</w:t>
            </w:r>
          </w:p>
        </w:tc>
        <w:tc>
          <w:tcPr>
            <w:tcW w:w="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83"/>
              <w:spacing w:after="0"/>
              <w:rPr>
                <w:sz w:val="20"/>
                <w:szCs w:val="20"/>
                <w:color w:val="auto"/>
              </w:rPr>
            </w:pPr>
            <w:r>
              <w:rPr>
                <w:rFonts w:ascii="Arial" w:cs="Arial" w:eastAsia="Arial" w:hAnsi="Arial"/>
                <w:sz w:val="11"/>
                <w:szCs w:val="11"/>
                <w:color w:val="auto"/>
              </w:rPr>
              <w:t>Equity</w:t>
            </w:r>
          </w:p>
        </w:tc>
        <w:tc>
          <w:tcPr>
            <w:tcW w:w="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43"/>
              <w:spacing w:after="0"/>
              <w:rPr>
                <w:sz w:val="20"/>
                <w:szCs w:val="20"/>
                <w:color w:val="auto"/>
              </w:rPr>
            </w:pPr>
            <w:r>
              <w:rPr>
                <w:rFonts w:ascii="Arial" w:cs="Arial" w:eastAsia="Arial" w:hAnsi="Arial"/>
                <w:sz w:val="11"/>
                <w:szCs w:val="11"/>
                <w:color w:val="auto"/>
              </w:rPr>
              <w:t>Interests</w:t>
            </w:r>
          </w:p>
        </w:tc>
        <w:tc>
          <w:tcPr>
            <w:tcW w:w="0" w:type="dxa"/>
            <w:vAlign w:val="bottom"/>
          </w:tcPr>
          <w:p>
            <w:pPr>
              <w:spacing w:after="0"/>
              <w:rPr>
                <w:sz w:val="1"/>
                <w:szCs w:val="1"/>
                <w:color w:val="auto"/>
              </w:rPr>
            </w:pPr>
          </w:p>
        </w:tc>
      </w:tr>
      <w:tr>
        <w:trPr>
          <w:trHeight w:val="184"/>
        </w:trPr>
        <w:tc>
          <w:tcPr>
            <w:tcW w:w="3580" w:type="dxa"/>
            <w:vAlign w:val="bottom"/>
            <w:shd w:val="clear" w:color="auto" w:fill="CCEEFF"/>
          </w:tcPr>
          <w:p>
            <w:pPr>
              <w:ind w:left="40"/>
              <w:spacing w:after="0"/>
              <w:rPr>
                <w:sz w:val="20"/>
                <w:szCs w:val="20"/>
                <w:color w:val="auto"/>
              </w:rPr>
            </w:pPr>
            <w:r>
              <w:rPr>
                <w:rFonts w:ascii="Arial" w:cs="Arial" w:eastAsia="Arial" w:hAnsi="Arial"/>
                <w:sz w:val="11"/>
                <w:szCs w:val="11"/>
                <w:color w:val="auto"/>
              </w:rPr>
              <w:t>Balance as of March 31, 2024</w:t>
            </w:r>
          </w:p>
        </w:tc>
        <w:tc>
          <w:tcPr>
            <w:tcW w:w="7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172,007,967</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1,720</w:t>
            </w: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$18,434,690</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(23,815)</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4,326,703</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22,739,298</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ind w:left="4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16,620</w:t>
            </w:r>
          </w:p>
        </w:tc>
        <w:tc>
          <w:tcPr>
            <w:tcW w:w="0" w:type="dxa"/>
            <w:vAlign w:val="bottom"/>
          </w:tcPr>
          <w:p>
            <w:pPr>
              <w:spacing w:after="0"/>
              <w:rPr>
                <w:sz w:val="1"/>
                <w:szCs w:val="1"/>
                <w:color w:val="auto"/>
              </w:rPr>
            </w:pPr>
          </w:p>
        </w:tc>
      </w:tr>
      <w:tr>
        <w:trPr>
          <w:trHeight w:val="204"/>
        </w:trPr>
        <w:tc>
          <w:tcPr>
            <w:tcW w:w="3580" w:type="dxa"/>
            <w:vAlign w:val="bottom"/>
          </w:tcPr>
          <w:p>
            <w:pPr>
              <w:ind w:left="40"/>
              <w:spacing w:after="0"/>
              <w:rPr>
                <w:sz w:val="20"/>
                <w:szCs w:val="20"/>
                <w:color w:val="auto"/>
              </w:rPr>
            </w:pPr>
            <w:r>
              <w:rPr>
                <w:rFonts w:ascii="Arial" w:cs="Arial" w:eastAsia="Arial" w:hAnsi="Arial"/>
                <w:sz w:val="11"/>
                <w:szCs w:val="11"/>
                <w:color w:val="auto"/>
              </w:rPr>
              <w:t>Net income</w:t>
            </w:r>
          </w:p>
        </w:tc>
        <w:tc>
          <w:tcPr>
            <w:tcW w:w="8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7"/>
                <w:szCs w:val="17"/>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7"/>
                <w:szCs w:val="17"/>
                <w:color w:val="auto"/>
              </w:rPr>
            </w:pPr>
          </w:p>
        </w:tc>
        <w:tc>
          <w:tcPr>
            <w:tcW w:w="620" w:type="dxa"/>
            <w:vAlign w:val="bottom"/>
          </w:tcPr>
          <w:p>
            <w:pPr>
              <w:jc w:val="right"/>
              <w:ind w:right="3"/>
              <w:spacing w:after="0"/>
              <w:rPr>
                <w:sz w:val="20"/>
                <w:szCs w:val="20"/>
                <w:color w:val="auto"/>
              </w:rPr>
            </w:pPr>
            <w:r>
              <w:rPr>
                <w:rFonts w:ascii="Arial" w:cs="Arial" w:eastAsia="Arial" w:hAnsi="Arial"/>
                <w:sz w:val="11"/>
                <w:szCs w:val="11"/>
                <w:color w:val="auto"/>
              </w:rPr>
              <w:t>46,702</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7"/>
                <w:szCs w:val="17"/>
                <w:color w:val="auto"/>
              </w:rPr>
            </w:pPr>
          </w:p>
        </w:tc>
        <w:tc>
          <w:tcPr>
            <w:tcW w:w="720" w:type="dxa"/>
            <w:vAlign w:val="bottom"/>
          </w:tcPr>
          <w:p>
            <w:pPr>
              <w:jc w:val="right"/>
              <w:ind w:right="3"/>
              <w:spacing w:after="0"/>
              <w:rPr>
                <w:sz w:val="20"/>
                <w:szCs w:val="20"/>
                <w:color w:val="auto"/>
              </w:rPr>
            </w:pPr>
            <w:r>
              <w:rPr>
                <w:rFonts w:ascii="Arial" w:cs="Arial" w:eastAsia="Arial" w:hAnsi="Arial"/>
                <w:sz w:val="11"/>
                <w:szCs w:val="11"/>
                <w:color w:val="auto"/>
              </w:rPr>
              <w:t>47,076</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ind w:right="3"/>
              <w:spacing w:after="0"/>
              <w:rPr>
                <w:sz w:val="20"/>
                <w:szCs w:val="20"/>
                <w:color w:val="auto"/>
              </w:rPr>
            </w:pPr>
            <w:r>
              <w:rPr>
                <w:rFonts w:ascii="Arial" w:cs="Arial" w:eastAsia="Arial" w:hAnsi="Arial"/>
                <w:sz w:val="11"/>
                <w:szCs w:val="11"/>
                <w:color w:val="auto"/>
              </w:rPr>
              <w:t>93,778</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ind w:right="3"/>
              <w:spacing w:after="0"/>
              <w:rPr>
                <w:sz w:val="20"/>
                <w:szCs w:val="20"/>
                <w:color w:val="auto"/>
              </w:rPr>
            </w:pPr>
            <w:r>
              <w:rPr>
                <w:rFonts w:ascii="Arial" w:cs="Arial" w:eastAsia="Arial" w:hAnsi="Arial"/>
                <w:sz w:val="11"/>
                <w:szCs w:val="11"/>
                <w:color w:val="auto"/>
              </w:rPr>
              <w:t>271</w:t>
            </w:r>
          </w:p>
        </w:tc>
        <w:tc>
          <w:tcPr>
            <w:tcW w:w="0" w:type="dxa"/>
            <w:vAlign w:val="bottom"/>
          </w:tcPr>
          <w:p>
            <w:pPr>
              <w:spacing w:after="0"/>
              <w:rPr>
                <w:sz w:val="1"/>
                <w:szCs w:val="1"/>
                <w:color w:val="auto"/>
              </w:rPr>
            </w:pPr>
          </w:p>
        </w:tc>
      </w:tr>
      <w:tr>
        <w:trPr>
          <w:trHeight w:val="204"/>
        </w:trPr>
        <w:tc>
          <w:tcPr>
            <w:tcW w:w="3580" w:type="dxa"/>
            <w:vAlign w:val="bottom"/>
            <w:shd w:val="clear" w:color="auto" w:fill="CCEEFF"/>
          </w:tcPr>
          <w:p>
            <w:pPr>
              <w:ind w:left="40"/>
              <w:spacing w:after="0"/>
              <w:rPr>
                <w:sz w:val="20"/>
                <w:szCs w:val="20"/>
                <w:color w:val="auto"/>
              </w:rPr>
            </w:pPr>
            <w:r>
              <w:rPr>
                <w:rFonts w:ascii="Arial" w:cs="Arial" w:eastAsia="Arial" w:hAnsi="Arial"/>
                <w:sz w:val="11"/>
                <w:szCs w:val="11"/>
                <w:color w:val="auto"/>
              </w:rPr>
              <w:t>Total other comprehensive loss</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(3,895)</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(3,895)</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04"/>
        </w:trPr>
        <w:tc>
          <w:tcPr>
            <w:tcW w:w="3580" w:type="dxa"/>
            <w:vAlign w:val="bottom"/>
          </w:tcPr>
          <w:p>
            <w:pPr>
              <w:ind w:left="40"/>
              <w:spacing w:after="0"/>
              <w:rPr>
                <w:sz w:val="20"/>
                <w:szCs w:val="20"/>
                <w:color w:val="auto"/>
              </w:rPr>
            </w:pPr>
            <w:r>
              <w:rPr>
                <w:rFonts w:ascii="Arial" w:cs="Arial" w:eastAsia="Arial" w:hAnsi="Arial"/>
                <w:sz w:val="11"/>
                <w:szCs w:val="11"/>
                <w:color w:val="auto"/>
              </w:rPr>
              <w:t>Contributions from and sales of noncontrolling interests</w:t>
            </w:r>
          </w:p>
        </w:tc>
        <w:tc>
          <w:tcPr>
            <w:tcW w:w="8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7"/>
                <w:szCs w:val="17"/>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499</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7"/>
                <w:szCs w:val="17"/>
                <w:color w:val="auto"/>
              </w:rPr>
            </w:pPr>
          </w:p>
        </w:tc>
        <w:tc>
          <w:tcPr>
            <w:tcW w:w="720" w:type="dxa"/>
            <w:vAlign w:val="bottom"/>
          </w:tcPr>
          <w:p>
            <w:pPr>
              <w:jc w:val="right"/>
              <w:ind w:right="3"/>
              <w:spacing w:after="0"/>
              <w:rPr>
                <w:sz w:val="20"/>
                <w:szCs w:val="20"/>
                <w:color w:val="auto"/>
              </w:rPr>
            </w:pPr>
            <w:r>
              <w:rPr>
                <w:rFonts w:ascii="Arial" w:cs="Arial" w:eastAsia="Arial" w:hAnsi="Arial"/>
                <w:sz w:val="11"/>
                <w:szCs w:val="11"/>
                <w:color w:val="auto"/>
              </w:rPr>
              <w:t>77,907</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ind w:right="3"/>
              <w:spacing w:after="0"/>
              <w:rPr>
                <w:sz w:val="20"/>
                <w:szCs w:val="20"/>
                <w:color w:val="auto"/>
              </w:rPr>
            </w:pPr>
            <w:r>
              <w:rPr>
                <w:rFonts w:ascii="Arial" w:cs="Arial" w:eastAsia="Arial" w:hAnsi="Arial"/>
                <w:sz w:val="11"/>
                <w:szCs w:val="11"/>
                <w:color w:val="auto"/>
              </w:rPr>
              <w:t>78,406</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04"/>
        </w:trPr>
        <w:tc>
          <w:tcPr>
            <w:tcW w:w="3580" w:type="dxa"/>
            <w:vAlign w:val="bottom"/>
            <w:shd w:val="clear" w:color="auto" w:fill="CCEEFF"/>
          </w:tcPr>
          <w:p>
            <w:pPr>
              <w:ind w:left="40"/>
              <w:spacing w:after="0"/>
              <w:rPr>
                <w:sz w:val="20"/>
                <w:szCs w:val="20"/>
                <w:color w:val="auto"/>
              </w:rPr>
            </w:pPr>
            <w:r>
              <w:rPr>
                <w:rFonts w:ascii="Arial" w:cs="Arial" w:eastAsia="Arial" w:hAnsi="Arial"/>
                <w:sz w:val="11"/>
                <w:szCs w:val="11"/>
                <w:color w:val="auto"/>
              </w:rPr>
              <w:t>Distributions to and redemption of noncontrolling interests</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(59,880)</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(59,894)</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(451)</w:t>
            </w:r>
          </w:p>
        </w:tc>
        <w:tc>
          <w:tcPr>
            <w:tcW w:w="0" w:type="dxa"/>
            <w:vAlign w:val="bottom"/>
          </w:tcPr>
          <w:p>
            <w:pPr>
              <w:spacing w:after="0"/>
              <w:rPr>
                <w:sz w:val="1"/>
                <w:szCs w:val="1"/>
                <w:color w:val="auto"/>
              </w:rPr>
            </w:pPr>
          </w:p>
        </w:tc>
      </w:tr>
      <w:tr>
        <w:trPr>
          <w:trHeight w:val="204"/>
        </w:trPr>
        <w:tc>
          <w:tcPr>
            <w:tcW w:w="3580" w:type="dxa"/>
            <w:vAlign w:val="bottom"/>
          </w:tcPr>
          <w:p>
            <w:pPr>
              <w:ind w:left="40"/>
              <w:spacing w:after="0"/>
              <w:rPr>
                <w:sz w:val="20"/>
                <w:szCs w:val="20"/>
                <w:color w:val="auto"/>
              </w:rPr>
            </w:pPr>
            <w:r>
              <w:rPr>
                <w:rFonts w:ascii="Arial" w:cs="Arial" w:eastAsia="Arial" w:hAnsi="Arial"/>
                <w:sz w:val="11"/>
                <w:szCs w:val="11"/>
                <w:color w:val="auto"/>
              </w:rPr>
              <w:t>Issuance pursuant to stock plan</w:t>
            </w:r>
          </w:p>
        </w:tc>
        <w:tc>
          <w:tcPr>
            <w:tcW w:w="780" w:type="dxa"/>
            <w:vAlign w:val="bottom"/>
          </w:tcPr>
          <w:p>
            <w:pPr>
              <w:jc w:val="right"/>
              <w:ind w:right="3"/>
              <w:spacing w:after="0"/>
              <w:rPr>
                <w:sz w:val="20"/>
                <w:szCs w:val="20"/>
                <w:color w:val="auto"/>
              </w:rPr>
            </w:pPr>
            <w:r>
              <w:rPr>
                <w:rFonts w:ascii="Arial" w:cs="Arial" w:eastAsia="Arial" w:hAnsi="Arial"/>
                <w:sz w:val="11"/>
                <w:szCs w:val="11"/>
                <w:color w:val="auto"/>
              </w:rPr>
              <w:t>14,394</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30,691</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7"/>
                <w:szCs w:val="17"/>
                <w:color w:val="auto"/>
              </w:rPr>
            </w:pPr>
          </w:p>
        </w:tc>
        <w:tc>
          <w:tcPr>
            <w:tcW w:w="660" w:type="dxa"/>
            <w:vAlign w:val="bottom"/>
          </w:tcPr>
          <w:p>
            <w:pPr>
              <w:jc w:val="right"/>
              <w:ind w:right="3"/>
              <w:spacing w:after="0"/>
              <w:rPr>
                <w:sz w:val="20"/>
                <w:szCs w:val="20"/>
                <w:color w:val="auto"/>
              </w:rPr>
            </w:pPr>
            <w:r>
              <w:rPr>
                <w:rFonts w:ascii="Arial" w:cs="Arial" w:eastAsia="Arial" w:hAnsi="Arial"/>
                <w:sz w:val="11"/>
                <w:szCs w:val="11"/>
                <w:color w:val="auto"/>
              </w:rPr>
              <w:t>30,691</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04"/>
        </w:trPr>
        <w:tc>
          <w:tcPr>
            <w:tcW w:w="3580" w:type="dxa"/>
            <w:vAlign w:val="bottom"/>
            <w:shd w:val="clear" w:color="auto" w:fill="CCEEFF"/>
          </w:tcPr>
          <w:p>
            <w:pPr>
              <w:ind w:left="40"/>
              <w:spacing w:after="0"/>
              <w:rPr>
                <w:sz w:val="20"/>
                <w:szCs w:val="20"/>
                <w:color w:val="auto"/>
              </w:rPr>
            </w:pPr>
            <w:r>
              <w:rPr>
                <w:rFonts w:ascii="Arial" w:cs="Arial" w:eastAsia="Arial" w:hAnsi="Arial"/>
                <w:sz w:val="11"/>
                <w:szCs w:val="11"/>
                <w:color w:val="auto"/>
              </w:rPr>
              <w:t>Taxes related to net settlement of equity awards</w:t>
            </w: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(4,687)</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(549)</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(549)</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04"/>
        </w:trPr>
        <w:tc>
          <w:tcPr>
            <w:tcW w:w="3580" w:type="dxa"/>
            <w:vAlign w:val="bottom"/>
          </w:tcPr>
          <w:p>
            <w:pPr>
              <w:ind w:left="40"/>
              <w:spacing w:after="0"/>
              <w:rPr>
                <w:sz w:val="20"/>
                <w:szCs w:val="20"/>
                <w:color w:val="auto"/>
              </w:rPr>
            </w:pPr>
            <w:r>
              <w:rPr>
                <w:rFonts w:ascii="Arial" w:cs="Arial" w:eastAsia="Arial" w:hAnsi="Arial"/>
                <w:sz w:val="11"/>
                <w:szCs w:val="11"/>
                <w:color w:val="auto"/>
              </w:rPr>
              <w:t>Dividends declared on common stock ($1.30 per share)</w:t>
            </w:r>
          </w:p>
        </w:tc>
        <w:tc>
          <w:tcPr>
            <w:tcW w:w="8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7"/>
                <w:szCs w:val="17"/>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(227,408)</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(227,408)</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04"/>
        </w:trPr>
        <w:tc>
          <w:tcPr>
            <w:tcW w:w="3580" w:type="dxa"/>
            <w:vAlign w:val="bottom"/>
            <w:shd w:val="clear" w:color="auto" w:fill="CCEEFF"/>
          </w:tcPr>
          <w:p>
            <w:pPr>
              <w:ind w:left="40"/>
              <w:spacing w:after="0"/>
              <w:rPr>
                <w:sz w:val="20"/>
                <w:szCs w:val="20"/>
                <w:color w:val="auto"/>
              </w:rPr>
            </w:pPr>
            <w:r>
              <w:rPr>
                <w:rFonts w:ascii="Arial" w:cs="Arial" w:eastAsia="Arial" w:hAnsi="Arial"/>
                <w:sz w:val="11"/>
                <w:szCs w:val="11"/>
                <w:color w:val="auto"/>
              </w:rPr>
              <w:t>Reclassification of distributions in excess of earnings</w:t>
            </w:r>
          </w:p>
        </w:tc>
        <w:tc>
          <w:tcPr>
            <w:tcW w:w="7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(180,706)</w:t>
            </w:r>
          </w:p>
        </w:tc>
        <w:tc>
          <w:tcPr>
            <w:tcW w:w="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180,706</w:t>
            </w:r>
          </w:p>
        </w:tc>
        <w:tc>
          <w:tcPr>
            <w:tcW w:w="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3"/>
        </w:trPr>
        <w:tc>
          <w:tcPr>
            <w:tcW w:w="3580" w:type="dxa"/>
            <w:vAlign w:val="bottom"/>
          </w:tcPr>
          <w:p>
            <w:pPr>
              <w:ind w:left="40"/>
              <w:spacing w:after="0"/>
              <w:rPr>
                <w:sz w:val="20"/>
                <w:szCs w:val="20"/>
                <w:color w:val="auto"/>
              </w:rPr>
            </w:pPr>
            <w:r>
              <w:rPr>
                <w:rFonts w:ascii="Arial" w:cs="Arial" w:eastAsia="Arial" w:hAnsi="Arial"/>
                <w:sz w:val="11"/>
                <w:szCs w:val="11"/>
                <w:color w:val="auto"/>
              </w:rPr>
              <w:t>Balance as of June 30, 2024</w:t>
            </w:r>
          </w:p>
        </w:tc>
        <w:tc>
          <w:tcPr>
            <w:tcW w:w="780" w:type="dxa"/>
            <w:vAlign w:val="bottom"/>
          </w:tcPr>
          <w:p>
            <w:pPr>
              <w:jc w:val="right"/>
              <w:ind w:right="3"/>
              <w:spacing w:after="0"/>
              <w:rPr>
                <w:sz w:val="20"/>
                <w:szCs w:val="20"/>
                <w:color w:val="auto"/>
              </w:rPr>
            </w:pPr>
            <w:r>
              <w:rPr>
                <w:rFonts w:ascii="Arial" w:cs="Arial" w:eastAsia="Arial" w:hAnsi="Arial"/>
                <w:sz w:val="11"/>
                <w:szCs w:val="11"/>
                <w:color w:val="auto"/>
              </w:rPr>
              <w:t>172,017,674</w:t>
            </w:r>
          </w:p>
        </w:tc>
        <w:tc>
          <w:tcPr>
            <w:tcW w:w="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1,720</w:t>
            </w:r>
          </w:p>
        </w:tc>
        <w:tc>
          <w:tcPr>
            <w:tcW w:w="60" w:type="dxa"/>
            <w:vAlign w:val="bottom"/>
          </w:tcPr>
          <w:p>
            <w:pPr>
              <w:spacing w:after="0"/>
              <w:rPr>
                <w:sz w:val="14"/>
                <w:szCs w:val="14"/>
                <w:color w:val="auto"/>
              </w:rPr>
            </w:pPr>
          </w:p>
        </w:tc>
        <w:tc>
          <w:tcPr>
            <w:tcW w:w="720" w:type="dxa"/>
            <w:vAlign w:val="bottom"/>
          </w:tcPr>
          <w:p>
            <w:pPr>
              <w:jc w:val="right"/>
              <w:ind w:right="3"/>
              <w:spacing w:after="0"/>
              <w:rPr>
                <w:sz w:val="20"/>
                <w:szCs w:val="20"/>
                <w:color w:val="auto"/>
              </w:rPr>
            </w:pPr>
            <w:r>
              <w:rPr>
                <w:rFonts w:ascii="Arial" w:cs="Arial" w:eastAsia="Arial" w:hAnsi="Arial"/>
                <w:sz w:val="11"/>
                <w:szCs w:val="11"/>
                <w:color w:val="auto"/>
              </w:rPr>
              <w:t>$18,284,611</w:t>
            </w:r>
          </w:p>
        </w:tc>
        <w:tc>
          <w:tcPr>
            <w:tcW w:w="6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(27,710)</w:t>
            </w:r>
          </w:p>
        </w:tc>
        <w:tc>
          <w:tcPr>
            <w:tcW w:w="6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3"/>
              <w:spacing w:after="0"/>
              <w:rPr>
                <w:sz w:val="20"/>
                <w:szCs w:val="20"/>
                <w:color w:val="auto"/>
              </w:rPr>
            </w:pPr>
            <w:r>
              <w:rPr>
                <w:rFonts w:ascii="Arial" w:cs="Arial" w:eastAsia="Arial" w:hAnsi="Arial"/>
                <w:sz w:val="11"/>
                <w:szCs w:val="11"/>
                <w:color w:val="auto"/>
              </w:rPr>
              <w:t>4,391,806</w:t>
            </w:r>
          </w:p>
        </w:tc>
        <w:tc>
          <w:tcPr>
            <w:tcW w:w="4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3"/>
              <w:spacing w:after="0"/>
              <w:rPr>
                <w:sz w:val="20"/>
                <w:szCs w:val="20"/>
                <w:color w:val="auto"/>
              </w:rPr>
            </w:pPr>
            <w:r>
              <w:rPr>
                <w:rFonts w:ascii="Arial" w:cs="Arial" w:eastAsia="Arial" w:hAnsi="Arial"/>
                <w:sz w:val="11"/>
                <w:szCs w:val="11"/>
                <w:color w:val="auto"/>
              </w:rPr>
              <w:t>22,650,427</w:t>
            </w:r>
          </w:p>
        </w:tc>
        <w:tc>
          <w:tcPr>
            <w:tcW w:w="40" w:type="dxa"/>
            <w:vAlign w:val="bottom"/>
          </w:tcPr>
          <w:p>
            <w:pPr>
              <w:spacing w:after="0"/>
              <w:rPr>
                <w:sz w:val="14"/>
                <w:szCs w:val="14"/>
                <w:color w:val="auto"/>
              </w:rPr>
            </w:pPr>
          </w:p>
        </w:tc>
        <w:tc>
          <w:tcPr>
            <w:tcW w:w="160" w:type="dxa"/>
            <w:vAlign w:val="bottom"/>
          </w:tcPr>
          <w:p>
            <w:pPr>
              <w:ind w:left="40"/>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3"/>
              <w:spacing w:after="0"/>
              <w:rPr>
                <w:sz w:val="20"/>
                <w:szCs w:val="20"/>
                <w:color w:val="auto"/>
              </w:rPr>
            </w:pPr>
            <w:r>
              <w:rPr>
                <w:rFonts w:ascii="Arial" w:cs="Arial" w:eastAsia="Arial" w:hAnsi="Arial"/>
                <w:sz w:val="11"/>
                <w:szCs w:val="11"/>
                <w:color w:val="auto"/>
              </w:rPr>
              <w:t>16,440</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-341630</wp:posOffset>
            </wp:positionH>
            <wp:positionV relativeFrom="paragraph">
              <wp:posOffset>188595</wp:posOffset>
            </wp:positionV>
            <wp:extent cx="7212965" cy="31946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2965" cy="3194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4040"/>
        <w:spacing w:after="0"/>
        <w:rPr>
          <w:sz w:val="20"/>
          <w:szCs w:val="20"/>
          <w:color w:val="auto"/>
        </w:rPr>
      </w:pPr>
      <w:r>
        <w:rPr>
          <w:rFonts w:ascii="Arial" w:cs="Arial" w:eastAsia="Arial" w:hAnsi="Arial"/>
          <w:sz w:val="13"/>
          <w:szCs w:val="13"/>
          <w:b w:val="1"/>
          <w:bCs w:val="1"/>
          <w:color w:val="auto"/>
        </w:rPr>
        <w:t>Alexandria Real Estate Equities, Inc.</w:t>
      </w:r>
    </w:p>
    <w:p>
      <w:pPr>
        <w:spacing w:after="0" w:line="24" w:lineRule="exact"/>
        <w:rPr>
          <w:sz w:val="20"/>
          <w:szCs w:val="20"/>
          <w:color w:val="auto"/>
        </w:rPr>
      </w:pPr>
    </w:p>
    <w:p>
      <w:pPr>
        <w:ind w:left="2420"/>
        <w:spacing w:after="0"/>
        <w:rPr>
          <w:sz w:val="20"/>
          <w:szCs w:val="20"/>
          <w:color w:val="auto"/>
        </w:rPr>
      </w:pPr>
      <w:r>
        <w:rPr>
          <w:rFonts w:ascii="Arial" w:cs="Arial" w:eastAsia="Arial" w:hAnsi="Arial"/>
          <w:sz w:val="13"/>
          <w:szCs w:val="13"/>
          <w:b w:val="1"/>
          <w:bCs w:val="1"/>
          <w:color w:val="auto"/>
        </w:rPr>
        <w:t>Consolidated Statement of Changes in Stockholders’ Equity and Noncontrolling Interests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(Dollars in thousands)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(Unaudited)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3620" w:type="dxa"/>
            <w:vAlign w:val="bottom"/>
          </w:tcPr>
          <w:p>
            <w:pPr>
              <w:spacing w:after="0"/>
              <w:rPr>
                <w:sz w:val="12"/>
                <w:szCs w:val="12"/>
                <w:color w:val="auto"/>
              </w:rPr>
            </w:pPr>
          </w:p>
        </w:tc>
        <w:tc>
          <w:tcPr>
            <w:tcW w:w="4060" w:type="dxa"/>
            <w:vAlign w:val="bottom"/>
            <w:tcBorders>
              <w:bottom w:val="single" w:sz="8" w:color="auto"/>
            </w:tcBorders>
            <w:gridSpan w:val="12"/>
          </w:tcPr>
          <w:p>
            <w:pPr>
              <w:jc w:val="right"/>
              <w:ind w:right="483"/>
              <w:spacing w:after="0"/>
              <w:rPr>
                <w:sz w:val="20"/>
                <w:szCs w:val="20"/>
                <w:color w:val="auto"/>
              </w:rPr>
            </w:pPr>
            <w:r>
              <w:rPr>
                <w:rFonts w:ascii="Arial" w:cs="Arial" w:eastAsia="Arial" w:hAnsi="Arial"/>
                <w:sz w:val="11"/>
                <w:szCs w:val="11"/>
                <w:color w:val="auto"/>
              </w:rPr>
              <w:t>Alexandria Real Estate Equities, Inc.’s Stockholders’ Equity</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620" w:type="dxa"/>
            <w:vAlign w:val="bottom"/>
          </w:tcPr>
          <w:p>
            <w:pPr>
              <w:spacing w:after="0"/>
              <w:rPr>
                <w:sz w:val="18"/>
                <w:szCs w:val="18"/>
                <w:color w:val="auto"/>
              </w:rPr>
            </w:pPr>
          </w:p>
        </w:tc>
        <w:tc>
          <w:tcPr>
            <w:tcW w:w="820" w:type="dxa"/>
            <w:vAlign w:val="bottom"/>
            <w:gridSpan w:val="2"/>
            <w:vMerge w:val="restart"/>
          </w:tcPr>
          <w:p>
            <w:pPr>
              <w:jc w:val="center"/>
              <w:ind w:right="40"/>
              <w:spacing w:after="0"/>
              <w:rPr>
                <w:sz w:val="20"/>
                <w:szCs w:val="20"/>
                <w:color w:val="auto"/>
              </w:rPr>
            </w:pPr>
            <w:r>
              <w:rPr>
                <w:rFonts w:ascii="Arial" w:cs="Arial" w:eastAsia="Arial" w:hAnsi="Arial"/>
                <w:sz w:val="11"/>
                <w:szCs w:val="11"/>
                <w:color w:val="auto"/>
              </w:rPr>
              <w:t>Number of</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gridSpan w:val="2"/>
            <w:vMerge w:val="restart"/>
          </w:tcPr>
          <w:p>
            <w:pPr>
              <w:jc w:val="center"/>
              <w:ind w:right="60"/>
              <w:spacing w:after="0"/>
              <w:rPr>
                <w:sz w:val="20"/>
                <w:szCs w:val="20"/>
                <w:color w:val="auto"/>
              </w:rPr>
            </w:pPr>
            <w:r>
              <w:rPr>
                <w:rFonts w:ascii="Arial" w:cs="Arial" w:eastAsia="Arial" w:hAnsi="Arial"/>
                <w:sz w:val="11"/>
                <w:szCs w:val="11"/>
                <w:color w:val="auto"/>
              </w:rPr>
              <w:t>Additional</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1"/>
                <w:szCs w:val="11"/>
                <w:color w:val="auto"/>
              </w:rPr>
              <w:t>Accumulated</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gridSpan w:val="2"/>
            <w:vMerge w:val="restart"/>
          </w:tcPr>
          <w:p>
            <w:pPr>
              <w:jc w:val="right"/>
              <w:ind w:right="23"/>
              <w:spacing w:after="0"/>
              <w:rPr>
                <w:sz w:val="20"/>
                <w:szCs w:val="20"/>
                <w:color w:val="auto"/>
              </w:rPr>
            </w:pPr>
            <w:r>
              <w:rPr>
                <w:rFonts w:ascii="Arial" w:cs="Arial" w:eastAsia="Arial" w:hAnsi="Arial"/>
                <w:sz w:val="11"/>
                <w:szCs w:val="11"/>
                <w:color w:val="auto"/>
              </w:rPr>
              <w:t>Redeemable</w:t>
            </w:r>
          </w:p>
        </w:tc>
        <w:tc>
          <w:tcPr>
            <w:tcW w:w="0" w:type="dxa"/>
            <w:vAlign w:val="bottom"/>
          </w:tcPr>
          <w:p>
            <w:pPr>
              <w:spacing w:after="0"/>
              <w:rPr>
                <w:sz w:val="1"/>
                <w:szCs w:val="1"/>
                <w:color w:val="auto"/>
              </w:rPr>
            </w:pPr>
          </w:p>
        </w:tc>
      </w:tr>
      <w:tr>
        <w:trPr>
          <w:trHeight w:val="114"/>
        </w:trPr>
        <w:tc>
          <w:tcPr>
            <w:tcW w:w="362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gridSpan w:val="2"/>
            <w:vMerge w:val="restart"/>
          </w:tcPr>
          <w:p>
            <w:pPr>
              <w:spacing w:after="0"/>
              <w:rPr>
                <w:sz w:val="20"/>
                <w:szCs w:val="20"/>
                <w:color w:val="auto"/>
              </w:rPr>
            </w:pPr>
            <w:r>
              <w:rPr>
                <w:rFonts w:ascii="Arial" w:cs="Arial" w:eastAsia="Arial" w:hAnsi="Arial"/>
                <w:sz w:val="11"/>
                <w:szCs w:val="11"/>
                <w:color w:val="auto"/>
              </w:rPr>
              <w:t>Common</w:t>
            </w:r>
          </w:p>
        </w:tc>
        <w:tc>
          <w:tcPr>
            <w:tcW w:w="76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gridSpan w:val="2"/>
            <w:vMerge w:val="restart"/>
          </w:tcPr>
          <w:p>
            <w:pPr>
              <w:ind w:left="20"/>
              <w:spacing w:after="0"/>
              <w:rPr>
                <w:sz w:val="20"/>
                <w:szCs w:val="20"/>
                <w:color w:val="auto"/>
              </w:rPr>
            </w:pPr>
            <w:r>
              <w:rPr>
                <w:rFonts w:ascii="Arial" w:cs="Arial" w:eastAsia="Arial" w:hAnsi="Arial"/>
                <w:sz w:val="11"/>
                <w:szCs w:val="11"/>
                <w:color w:val="auto"/>
              </w:rPr>
              <w:t>Retained</w:t>
            </w:r>
          </w:p>
        </w:tc>
        <w:tc>
          <w:tcPr>
            <w:tcW w:w="120" w:type="dxa"/>
            <w:vAlign w:val="bottom"/>
          </w:tcPr>
          <w:p>
            <w:pPr>
              <w:spacing w:after="0"/>
              <w:rPr>
                <w:sz w:val="9"/>
                <w:szCs w:val="9"/>
                <w:color w:val="auto"/>
              </w:rPr>
            </w:pPr>
          </w:p>
        </w:tc>
        <w:tc>
          <w:tcPr>
            <w:tcW w:w="840" w:type="dxa"/>
            <w:vAlign w:val="bottom"/>
            <w:gridSpan w:val="2"/>
          </w:tcPr>
          <w:p>
            <w:pPr>
              <w:jc w:val="center"/>
              <w:ind w:right="160"/>
              <w:spacing w:after="0" w:line="114" w:lineRule="exact"/>
              <w:rPr>
                <w:sz w:val="20"/>
                <w:szCs w:val="20"/>
                <w:color w:val="auto"/>
              </w:rPr>
            </w:pPr>
            <w:r>
              <w:rPr>
                <w:rFonts w:ascii="Arial" w:cs="Arial" w:eastAsia="Arial" w:hAnsi="Arial"/>
                <w:sz w:val="11"/>
                <w:szCs w:val="11"/>
                <w:color w:val="auto"/>
              </w:rPr>
              <w:t>Other</w:t>
            </w:r>
          </w:p>
        </w:tc>
        <w:tc>
          <w:tcPr>
            <w:tcW w:w="920" w:type="dxa"/>
            <w:vAlign w:val="bottom"/>
            <w:gridSpan w:val="3"/>
            <w:vMerge w:val="restart"/>
          </w:tcPr>
          <w:p>
            <w:pPr>
              <w:ind w:left="60"/>
              <w:spacing w:after="0"/>
              <w:rPr>
                <w:sz w:val="20"/>
                <w:szCs w:val="20"/>
                <w:color w:val="auto"/>
              </w:rPr>
            </w:pPr>
            <w:r>
              <w:rPr>
                <w:rFonts w:ascii="Arial" w:cs="Arial" w:eastAsia="Arial" w:hAnsi="Arial"/>
                <w:sz w:val="11"/>
                <w:szCs w:val="11"/>
                <w:color w:val="auto"/>
              </w:rPr>
              <w:t>Noncontrolling</w:t>
            </w:r>
          </w:p>
        </w:tc>
        <w:tc>
          <w:tcPr>
            <w:tcW w:w="120" w:type="dxa"/>
            <w:vAlign w:val="bottom"/>
          </w:tcPr>
          <w:p>
            <w:pPr>
              <w:spacing w:after="0"/>
              <w:rPr>
                <w:sz w:val="9"/>
                <w:szCs w:val="9"/>
                <w:color w:val="auto"/>
              </w:rPr>
            </w:pPr>
          </w:p>
        </w:tc>
        <w:tc>
          <w:tcPr>
            <w:tcW w:w="720" w:type="dxa"/>
            <w:vAlign w:val="bottom"/>
            <w:gridSpan w:val="2"/>
            <w:vMerge w:val="restart"/>
          </w:tcPr>
          <w:p>
            <w:pPr>
              <w:ind w:left="140"/>
              <w:spacing w:after="0"/>
              <w:rPr>
                <w:sz w:val="20"/>
                <w:szCs w:val="20"/>
                <w:color w:val="auto"/>
              </w:rPr>
            </w:pPr>
            <w:r>
              <w:rPr>
                <w:rFonts w:ascii="Arial" w:cs="Arial" w:eastAsia="Arial" w:hAnsi="Arial"/>
                <w:sz w:val="11"/>
                <w:szCs w:val="11"/>
                <w:color w:val="auto"/>
              </w:rPr>
              <w:t>Total</w:t>
            </w:r>
          </w:p>
        </w:tc>
        <w:tc>
          <w:tcPr>
            <w:tcW w:w="8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3620" w:type="dxa"/>
            <w:vAlign w:val="bottom"/>
          </w:tcPr>
          <w:p>
            <w:pPr>
              <w:spacing w:after="0"/>
              <w:rPr>
                <w:sz w:val="9"/>
                <w:szCs w:val="9"/>
                <w:color w:val="auto"/>
              </w:rPr>
            </w:pPr>
          </w:p>
        </w:tc>
        <w:tc>
          <w:tcPr>
            <w:tcW w:w="820" w:type="dxa"/>
            <w:vAlign w:val="bottom"/>
            <w:gridSpan w:val="2"/>
          </w:tcPr>
          <w:p>
            <w:pPr>
              <w:jc w:val="center"/>
              <w:ind w:right="40"/>
              <w:spacing w:after="0" w:line="112" w:lineRule="exact"/>
              <w:rPr>
                <w:sz w:val="20"/>
                <w:szCs w:val="20"/>
                <w:color w:val="auto"/>
              </w:rPr>
            </w:pPr>
            <w:r>
              <w:rPr>
                <w:rFonts w:ascii="Arial" w:cs="Arial" w:eastAsia="Arial" w:hAnsi="Arial"/>
                <w:sz w:val="11"/>
                <w:szCs w:val="11"/>
                <w:color w:val="auto"/>
              </w:rPr>
              <w:t>Common</w:t>
            </w:r>
          </w:p>
        </w:tc>
        <w:tc>
          <w:tcPr>
            <w:tcW w:w="120" w:type="dxa"/>
            <w:vAlign w:val="bottom"/>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760" w:type="dxa"/>
            <w:vAlign w:val="bottom"/>
            <w:gridSpan w:val="2"/>
          </w:tcPr>
          <w:p>
            <w:pPr>
              <w:jc w:val="center"/>
              <w:ind w:right="40"/>
              <w:spacing w:after="0" w:line="112" w:lineRule="exact"/>
              <w:rPr>
                <w:sz w:val="20"/>
                <w:szCs w:val="20"/>
                <w:color w:val="auto"/>
              </w:rPr>
            </w:pPr>
            <w:r>
              <w:rPr>
                <w:rFonts w:ascii="Arial" w:cs="Arial" w:eastAsia="Arial" w:hAnsi="Arial"/>
                <w:sz w:val="11"/>
                <w:szCs w:val="11"/>
                <w:color w:val="auto"/>
              </w:rPr>
              <w:t>Paid-In</w:t>
            </w:r>
          </w:p>
        </w:tc>
        <w:tc>
          <w:tcPr>
            <w:tcW w:w="120" w:type="dxa"/>
            <w:vAlign w:val="bottom"/>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960" w:type="dxa"/>
            <w:vAlign w:val="bottom"/>
            <w:gridSpan w:val="3"/>
          </w:tcPr>
          <w:p>
            <w:pPr>
              <w:jc w:val="center"/>
              <w:ind w:right="40"/>
              <w:spacing w:after="0" w:line="112" w:lineRule="exact"/>
              <w:rPr>
                <w:sz w:val="20"/>
                <w:szCs w:val="20"/>
                <w:color w:val="auto"/>
              </w:rPr>
            </w:pPr>
            <w:r>
              <w:rPr>
                <w:rFonts w:ascii="Arial" w:cs="Arial" w:eastAsia="Arial" w:hAnsi="Arial"/>
                <w:sz w:val="11"/>
                <w:szCs w:val="11"/>
                <w:color w:val="auto"/>
              </w:rPr>
              <w:t>Comprehensive</w:t>
            </w:r>
          </w:p>
        </w:tc>
        <w:tc>
          <w:tcPr>
            <w:tcW w:w="92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20" w:type="dxa"/>
            <w:vAlign w:val="bottom"/>
            <w:gridSpan w:val="2"/>
          </w:tcPr>
          <w:p>
            <w:pPr>
              <w:ind w:left="40"/>
              <w:spacing w:after="0" w:line="112" w:lineRule="exact"/>
              <w:rPr>
                <w:sz w:val="20"/>
                <w:szCs w:val="20"/>
                <w:color w:val="auto"/>
              </w:rPr>
            </w:pPr>
            <w:r>
              <w:rPr>
                <w:rFonts w:ascii="Arial" w:cs="Arial" w:eastAsia="Arial" w:hAnsi="Arial"/>
                <w:sz w:val="11"/>
                <w:szCs w:val="11"/>
                <w:color w:val="auto"/>
              </w:rPr>
              <w:t>Noncontrolling</w:t>
            </w:r>
          </w:p>
        </w:tc>
        <w:tc>
          <w:tcPr>
            <w:tcW w:w="0" w:type="dxa"/>
            <w:vAlign w:val="bottom"/>
          </w:tcPr>
          <w:p>
            <w:pPr>
              <w:spacing w:after="0"/>
              <w:rPr>
                <w:sz w:val="1"/>
                <w:szCs w:val="1"/>
                <w:color w:val="auto"/>
              </w:rPr>
            </w:pPr>
          </w:p>
        </w:tc>
      </w:tr>
      <w:tr>
        <w:trPr>
          <w:trHeight w:val="146"/>
        </w:trPr>
        <w:tc>
          <w:tcPr>
            <w:tcW w:w="362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rPr>
              <w:t>Shares</w:t>
            </w:r>
          </w:p>
        </w:tc>
        <w:tc>
          <w:tcPr>
            <w:tcW w:w="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color w:val="auto"/>
              </w:rPr>
              <w:t>Stock</w:t>
            </w:r>
          </w:p>
        </w:tc>
        <w:tc>
          <w:tcPr>
            <w:tcW w:w="60" w:type="dxa"/>
            <w:vAlign w:val="bottom"/>
            <w:tcBorders>
              <w:bottom w:val="single" w:sz="8" w:color="CCEEFF"/>
            </w:tcBorders>
          </w:tcPr>
          <w:p>
            <w:pPr>
              <w:spacing w:after="0"/>
              <w:rPr>
                <w:sz w:val="12"/>
                <w:szCs w:val="12"/>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99"/>
              </w:rPr>
              <w:t>Capital</w:t>
            </w:r>
          </w:p>
        </w:tc>
        <w:tc>
          <w:tcPr>
            <w:tcW w:w="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Earnings</w:t>
            </w:r>
          </w:p>
        </w:tc>
        <w:tc>
          <w:tcPr>
            <w:tcW w:w="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center"/>
              <w:ind w:right="63"/>
              <w:spacing w:after="0"/>
              <w:rPr>
                <w:sz w:val="20"/>
                <w:szCs w:val="20"/>
                <w:color w:val="auto"/>
              </w:rPr>
            </w:pPr>
            <w:r>
              <w:rPr>
                <w:rFonts w:ascii="Arial" w:cs="Arial" w:eastAsia="Arial" w:hAnsi="Arial"/>
                <w:sz w:val="11"/>
                <w:szCs w:val="11"/>
                <w:color w:val="auto"/>
              </w:rPr>
              <w:t>Loss</w:t>
            </w:r>
          </w:p>
        </w:tc>
        <w:tc>
          <w:tcPr>
            <w:tcW w:w="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43"/>
              <w:spacing w:after="0"/>
              <w:rPr>
                <w:sz w:val="20"/>
                <w:szCs w:val="20"/>
                <w:color w:val="auto"/>
              </w:rPr>
            </w:pPr>
            <w:r>
              <w:rPr>
                <w:rFonts w:ascii="Arial" w:cs="Arial" w:eastAsia="Arial" w:hAnsi="Arial"/>
                <w:sz w:val="11"/>
                <w:szCs w:val="11"/>
                <w:color w:val="auto"/>
              </w:rPr>
              <w:t>Interests</w:t>
            </w:r>
          </w:p>
        </w:tc>
        <w:tc>
          <w:tcPr>
            <w:tcW w:w="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83"/>
              <w:spacing w:after="0"/>
              <w:rPr>
                <w:sz w:val="20"/>
                <w:szCs w:val="20"/>
                <w:color w:val="auto"/>
              </w:rPr>
            </w:pPr>
            <w:r>
              <w:rPr>
                <w:rFonts w:ascii="Arial" w:cs="Arial" w:eastAsia="Arial" w:hAnsi="Arial"/>
                <w:sz w:val="11"/>
                <w:szCs w:val="11"/>
                <w:color w:val="auto"/>
              </w:rPr>
              <w:t>Equity</w:t>
            </w:r>
          </w:p>
        </w:tc>
        <w:tc>
          <w:tcPr>
            <w:tcW w:w="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43"/>
              <w:spacing w:after="0"/>
              <w:rPr>
                <w:sz w:val="20"/>
                <w:szCs w:val="20"/>
                <w:color w:val="auto"/>
              </w:rPr>
            </w:pPr>
            <w:r>
              <w:rPr>
                <w:rFonts w:ascii="Arial" w:cs="Arial" w:eastAsia="Arial" w:hAnsi="Arial"/>
                <w:sz w:val="11"/>
                <w:szCs w:val="11"/>
                <w:color w:val="auto"/>
              </w:rPr>
              <w:t>Interests</w:t>
            </w:r>
          </w:p>
        </w:tc>
        <w:tc>
          <w:tcPr>
            <w:tcW w:w="0" w:type="dxa"/>
            <w:vAlign w:val="bottom"/>
          </w:tcPr>
          <w:p>
            <w:pPr>
              <w:spacing w:after="0"/>
              <w:rPr>
                <w:sz w:val="1"/>
                <w:szCs w:val="1"/>
                <w:color w:val="auto"/>
              </w:rPr>
            </w:pPr>
          </w:p>
        </w:tc>
      </w:tr>
      <w:tr>
        <w:trPr>
          <w:trHeight w:val="184"/>
        </w:trPr>
        <w:tc>
          <w:tcPr>
            <w:tcW w:w="3620" w:type="dxa"/>
            <w:vAlign w:val="bottom"/>
            <w:shd w:val="clear" w:color="auto" w:fill="CCEEFF"/>
          </w:tcPr>
          <w:p>
            <w:pPr>
              <w:ind w:left="20"/>
              <w:spacing w:after="0"/>
              <w:rPr>
                <w:sz w:val="20"/>
                <w:szCs w:val="20"/>
                <w:color w:val="auto"/>
              </w:rPr>
            </w:pPr>
            <w:r>
              <w:rPr>
                <w:rFonts w:ascii="Arial" w:cs="Arial" w:eastAsia="Arial" w:hAnsi="Arial"/>
                <w:sz w:val="11"/>
                <w:szCs w:val="11"/>
                <w:color w:val="auto"/>
              </w:rPr>
              <w:t>Balance as of March 31, 2023</w:t>
            </w: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170,859,704</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1,709</w:t>
            </w: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$18,902,821</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(20,536)</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7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3,757,911</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22,641,905</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ind w:left="4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44,862</w:t>
            </w:r>
          </w:p>
        </w:tc>
        <w:tc>
          <w:tcPr>
            <w:tcW w:w="0" w:type="dxa"/>
            <w:vAlign w:val="bottom"/>
          </w:tcPr>
          <w:p>
            <w:pPr>
              <w:spacing w:after="0"/>
              <w:rPr>
                <w:sz w:val="1"/>
                <w:szCs w:val="1"/>
                <w:color w:val="auto"/>
              </w:rPr>
            </w:pPr>
          </w:p>
        </w:tc>
      </w:tr>
      <w:tr>
        <w:trPr>
          <w:trHeight w:val="204"/>
        </w:trPr>
        <w:tc>
          <w:tcPr>
            <w:tcW w:w="3620" w:type="dxa"/>
            <w:vAlign w:val="bottom"/>
          </w:tcPr>
          <w:p>
            <w:pPr>
              <w:ind w:left="20"/>
              <w:spacing w:after="0"/>
              <w:rPr>
                <w:sz w:val="20"/>
                <w:szCs w:val="20"/>
                <w:color w:val="auto"/>
              </w:rPr>
            </w:pPr>
            <w:r>
              <w:rPr>
                <w:rFonts w:ascii="Arial" w:cs="Arial" w:eastAsia="Arial" w:hAnsi="Arial"/>
                <w:sz w:val="11"/>
                <w:szCs w:val="11"/>
                <w:color w:val="auto"/>
              </w:rPr>
              <w:t>Net income</w:t>
            </w:r>
          </w:p>
        </w:tc>
        <w:tc>
          <w:tcPr>
            <w:tcW w:w="8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7"/>
                <w:szCs w:val="17"/>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89,937</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43,567</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133,504</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201</w:t>
            </w:r>
          </w:p>
        </w:tc>
        <w:tc>
          <w:tcPr>
            <w:tcW w:w="0" w:type="dxa"/>
            <w:vAlign w:val="bottom"/>
          </w:tcPr>
          <w:p>
            <w:pPr>
              <w:spacing w:after="0"/>
              <w:rPr>
                <w:sz w:val="1"/>
                <w:szCs w:val="1"/>
                <w:color w:val="auto"/>
              </w:rPr>
            </w:pPr>
          </w:p>
        </w:tc>
      </w:tr>
      <w:tr>
        <w:trPr>
          <w:trHeight w:val="204"/>
        </w:trPr>
        <w:tc>
          <w:tcPr>
            <w:tcW w:w="3620" w:type="dxa"/>
            <w:vAlign w:val="bottom"/>
            <w:shd w:val="clear" w:color="auto" w:fill="CCEEFF"/>
          </w:tcPr>
          <w:p>
            <w:pPr>
              <w:ind w:left="20"/>
              <w:spacing w:after="0"/>
              <w:rPr>
                <w:sz w:val="20"/>
                <w:szCs w:val="20"/>
                <w:color w:val="auto"/>
              </w:rPr>
            </w:pPr>
            <w:r>
              <w:rPr>
                <w:rFonts w:ascii="Arial" w:cs="Arial" w:eastAsia="Arial" w:hAnsi="Arial"/>
                <w:sz w:val="11"/>
                <w:szCs w:val="11"/>
                <w:color w:val="auto"/>
              </w:rPr>
              <w:t>Total other comprehensive income</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3,947</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3,947</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04"/>
        </w:trPr>
        <w:tc>
          <w:tcPr>
            <w:tcW w:w="3620" w:type="dxa"/>
            <w:vAlign w:val="bottom"/>
          </w:tcPr>
          <w:p>
            <w:pPr>
              <w:ind w:left="20"/>
              <w:spacing w:after="0"/>
              <w:rPr>
                <w:sz w:val="20"/>
                <w:szCs w:val="20"/>
                <w:color w:val="auto"/>
              </w:rPr>
            </w:pPr>
            <w:r>
              <w:rPr>
                <w:rFonts w:ascii="Arial" w:cs="Arial" w:eastAsia="Arial" w:hAnsi="Arial"/>
                <w:sz w:val="11"/>
                <w:szCs w:val="11"/>
                <w:color w:val="auto"/>
              </w:rPr>
              <w:t>Contributions from and sales of noncontrolling interests</w:t>
            </w:r>
          </w:p>
        </w:tc>
        <w:tc>
          <w:tcPr>
            <w:tcW w:w="8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7"/>
                <w:szCs w:val="17"/>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3"/>
              <w:spacing w:after="0"/>
              <w:rPr>
                <w:sz w:val="20"/>
                <w:szCs w:val="20"/>
                <w:color w:val="auto"/>
              </w:rPr>
            </w:pPr>
            <w:r>
              <w:rPr>
                <w:rFonts w:ascii="Arial" w:cs="Arial" w:eastAsia="Arial" w:hAnsi="Arial"/>
                <w:sz w:val="11"/>
                <w:szCs w:val="11"/>
                <w:color w:val="auto"/>
              </w:rPr>
              <w:t>4,946</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194,704</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199,650</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04"/>
        </w:trPr>
        <w:tc>
          <w:tcPr>
            <w:tcW w:w="3620" w:type="dxa"/>
            <w:vAlign w:val="bottom"/>
            <w:shd w:val="clear" w:color="auto" w:fill="CCEEFF"/>
          </w:tcPr>
          <w:p>
            <w:pPr>
              <w:ind w:left="20"/>
              <w:spacing w:after="0"/>
              <w:rPr>
                <w:sz w:val="20"/>
                <w:szCs w:val="20"/>
                <w:color w:val="auto"/>
              </w:rPr>
            </w:pPr>
            <w:r>
              <w:rPr>
                <w:rFonts w:ascii="Arial" w:cs="Arial" w:eastAsia="Arial" w:hAnsi="Arial"/>
                <w:sz w:val="11"/>
                <w:szCs w:val="11"/>
                <w:color w:val="auto"/>
              </w:rPr>
              <w:t>Distributions to and redemption of noncontrolling interests</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(71,230)</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(71,230)</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(201)</w:t>
            </w:r>
          </w:p>
        </w:tc>
        <w:tc>
          <w:tcPr>
            <w:tcW w:w="0" w:type="dxa"/>
            <w:vAlign w:val="bottom"/>
          </w:tcPr>
          <w:p>
            <w:pPr>
              <w:spacing w:after="0"/>
              <w:rPr>
                <w:sz w:val="1"/>
                <w:szCs w:val="1"/>
                <w:color w:val="auto"/>
              </w:rPr>
            </w:pPr>
          </w:p>
        </w:tc>
      </w:tr>
      <w:tr>
        <w:trPr>
          <w:trHeight w:val="204"/>
        </w:trPr>
        <w:tc>
          <w:tcPr>
            <w:tcW w:w="3620" w:type="dxa"/>
            <w:vAlign w:val="bottom"/>
          </w:tcPr>
          <w:p>
            <w:pPr>
              <w:ind w:left="20"/>
              <w:spacing w:after="0"/>
              <w:rPr>
                <w:sz w:val="20"/>
                <w:szCs w:val="20"/>
                <w:color w:val="auto"/>
              </w:rPr>
            </w:pPr>
            <w:r>
              <w:rPr>
                <w:rFonts w:ascii="Arial" w:cs="Arial" w:eastAsia="Arial" w:hAnsi="Arial"/>
                <w:sz w:val="11"/>
                <w:szCs w:val="11"/>
                <w:color w:val="auto"/>
              </w:rPr>
              <w:t>Transfer of noncontrolling interests</w:t>
            </w:r>
          </w:p>
        </w:tc>
        <w:tc>
          <w:tcPr>
            <w:tcW w:w="8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7"/>
                <w:szCs w:val="17"/>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7"/>
                <w:szCs w:val="17"/>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(7,766)</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(7,766)</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7,766</w:t>
            </w:r>
          </w:p>
        </w:tc>
        <w:tc>
          <w:tcPr>
            <w:tcW w:w="0" w:type="dxa"/>
            <w:vAlign w:val="bottom"/>
          </w:tcPr>
          <w:p>
            <w:pPr>
              <w:spacing w:after="0"/>
              <w:rPr>
                <w:sz w:val="1"/>
                <w:szCs w:val="1"/>
                <w:color w:val="auto"/>
              </w:rPr>
            </w:pPr>
          </w:p>
        </w:tc>
      </w:tr>
      <w:tr>
        <w:trPr>
          <w:trHeight w:val="204"/>
        </w:trPr>
        <w:tc>
          <w:tcPr>
            <w:tcW w:w="3620" w:type="dxa"/>
            <w:vAlign w:val="bottom"/>
            <w:shd w:val="clear" w:color="auto" w:fill="CCEEFF"/>
          </w:tcPr>
          <w:p>
            <w:pPr>
              <w:ind w:left="20"/>
              <w:spacing w:after="0"/>
              <w:rPr>
                <w:sz w:val="20"/>
                <w:szCs w:val="20"/>
                <w:color w:val="auto"/>
              </w:rPr>
            </w:pPr>
            <w:r>
              <w:rPr>
                <w:rFonts w:ascii="Arial" w:cs="Arial" w:eastAsia="Arial" w:hAnsi="Arial"/>
                <w:sz w:val="11"/>
                <w:szCs w:val="11"/>
                <w:color w:val="auto"/>
              </w:rPr>
              <w:t>Issuance pursuant to stock plan</w:t>
            </w: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14,343</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29,670</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29,670</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04"/>
        </w:trPr>
        <w:tc>
          <w:tcPr>
            <w:tcW w:w="3620" w:type="dxa"/>
            <w:vAlign w:val="bottom"/>
          </w:tcPr>
          <w:p>
            <w:pPr>
              <w:ind w:left="20"/>
              <w:spacing w:after="0"/>
              <w:rPr>
                <w:sz w:val="20"/>
                <w:szCs w:val="20"/>
                <w:color w:val="auto"/>
              </w:rPr>
            </w:pPr>
            <w:r>
              <w:rPr>
                <w:rFonts w:ascii="Arial" w:cs="Arial" w:eastAsia="Arial" w:hAnsi="Arial"/>
                <w:sz w:val="11"/>
                <w:szCs w:val="11"/>
                <w:color w:val="auto"/>
              </w:rPr>
              <w:t>Taxes related to net settlement of equity awards</w:t>
            </w:r>
          </w:p>
        </w:tc>
        <w:tc>
          <w:tcPr>
            <w:tcW w:w="760" w:type="dxa"/>
            <w:vAlign w:val="bottom"/>
          </w:tcPr>
          <w:p>
            <w:pPr>
              <w:jc w:val="right"/>
              <w:spacing w:after="0"/>
              <w:rPr>
                <w:sz w:val="20"/>
                <w:szCs w:val="20"/>
                <w:color w:val="auto"/>
              </w:rPr>
            </w:pPr>
            <w:r>
              <w:rPr>
                <w:rFonts w:ascii="Arial" w:cs="Arial" w:eastAsia="Arial" w:hAnsi="Arial"/>
                <w:sz w:val="11"/>
                <w:szCs w:val="11"/>
                <w:color w:val="auto"/>
              </w:rPr>
              <w:t>(4,269)</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(501)</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(501)</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04"/>
        </w:trPr>
        <w:tc>
          <w:tcPr>
            <w:tcW w:w="3620" w:type="dxa"/>
            <w:vAlign w:val="bottom"/>
            <w:shd w:val="clear" w:color="auto" w:fill="CCEEFF"/>
          </w:tcPr>
          <w:p>
            <w:pPr>
              <w:ind w:left="20"/>
              <w:spacing w:after="0"/>
              <w:rPr>
                <w:sz w:val="20"/>
                <w:szCs w:val="20"/>
                <w:color w:val="auto"/>
              </w:rPr>
            </w:pPr>
            <w:r>
              <w:rPr>
                <w:rFonts w:ascii="Arial" w:cs="Arial" w:eastAsia="Arial" w:hAnsi="Arial"/>
                <w:sz w:val="11"/>
                <w:szCs w:val="11"/>
                <w:color w:val="auto"/>
              </w:rPr>
              <w:t>Dividends declared on common stock ($1.24 per share)</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(214,555)</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(214,555)</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04"/>
        </w:trPr>
        <w:tc>
          <w:tcPr>
            <w:tcW w:w="362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Reclassification of distributions in excess of earnings</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(124,618)</w:t>
            </w: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124,618</w:t>
            </w:r>
          </w:p>
        </w:tc>
        <w:tc>
          <w:tcPr>
            <w:tcW w:w="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83"/>
        </w:trPr>
        <w:tc>
          <w:tcPr>
            <w:tcW w:w="3620" w:type="dxa"/>
            <w:vAlign w:val="bottom"/>
            <w:shd w:val="clear" w:color="auto" w:fill="CCEEFF"/>
          </w:tcPr>
          <w:p>
            <w:pPr>
              <w:ind w:left="20"/>
              <w:spacing w:after="0"/>
              <w:rPr>
                <w:sz w:val="20"/>
                <w:szCs w:val="20"/>
                <w:color w:val="auto"/>
              </w:rPr>
            </w:pPr>
            <w:r>
              <w:rPr>
                <w:rFonts w:ascii="Arial" w:cs="Arial" w:eastAsia="Arial" w:hAnsi="Arial"/>
                <w:sz w:val="11"/>
                <w:szCs w:val="11"/>
                <w:color w:val="auto"/>
              </w:rPr>
              <w:t>Balance as of June 30, 2023</w:t>
            </w: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170,869,778</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1,709</w:t>
            </w: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u w:val="single" w:color="auto"/>
                <w:color w:val="auto"/>
              </w:rPr>
              <w:t>$</w:t>
            </w:r>
            <w:r>
              <w:rPr>
                <w:rFonts w:ascii="Arial" w:cs="Arial" w:eastAsia="Arial" w:hAnsi="Arial"/>
                <w:sz w:val="11"/>
                <w:szCs w:val="11"/>
                <w:color w:val="auto"/>
              </w:rPr>
              <w:t>18,812,318</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(16,589)</w:t>
            </w: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3,917,186</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22,714,624</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ind w:left="4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52,628</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300"/>
          </w:cols>
          <w:pgMar w:left="840" w:top="1440" w:right="759" w:bottom="0" w:gutter="0" w:footer="0" w:header="0"/>
        </w:sectPr>
      </w:pPr>
    </w:p>
    <w:bookmarkStart w:id="5" w:name="page6"/>
    <w:bookmarkEnd w:id="5"/>
    <w:p>
      <w:pPr>
        <w:jc w:val="center"/>
        <w:spacing w:after="0"/>
        <w:rPr>
          <w:sz w:val="20"/>
          <w:szCs w:val="20"/>
          <w:color w:val="auto"/>
        </w:rPr>
      </w:pPr>
      <w:r>
        <w:rPr>
          <w:rFonts w:ascii="Arial" w:cs="Arial" w:eastAsia="Arial" w:hAnsi="Arial"/>
          <w:sz w:val="13"/>
          <w:szCs w:val="13"/>
          <w:color w:val="auto"/>
        </w:rPr>
        <w:t>The accompanying notes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-341630</wp:posOffset>
            </wp:positionH>
            <wp:positionV relativeFrom="paragraph">
              <wp:posOffset>-80010</wp:posOffset>
            </wp:positionV>
            <wp:extent cx="7212965" cy="23831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2965" cy="2383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-341630</wp:posOffset>
            </wp:positionH>
            <wp:positionV relativeFrom="paragraph">
              <wp:posOffset>188595</wp:posOffset>
            </wp:positionV>
            <wp:extent cx="7212965" cy="55841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2965" cy="5584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Alexandria Real Estate Equities,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Consolidated Statement of Changes in Stockholders’ Equity and Noncontrolling Interests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(Dollars 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3620" w:type="dxa"/>
            <w:vAlign w:val="bottom"/>
          </w:tcPr>
          <w:p>
            <w:pPr>
              <w:spacing w:after="0"/>
              <w:rPr>
                <w:sz w:val="12"/>
                <w:szCs w:val="12"/>
                <w:color w:val="auto"/>
              </w:rPr>
            </w:pPr>
          </w:p>
        </w:tc>
        <w:tc>
          <w:tcPr>
            <w:tcW w:w="4060" w:type="dxa"/>
            <w:vAlign w:val="bottom"/>
            <w:tcBorders>
              <w:bottom w:val="single" w:sz="8" w:color="auto"/>
            </w:tcBorders>
            <w:gridSpan w:val="12"/>
          </w:tcPr>
          <w:p>
            <w:pPr>
              <w:jc w:val="right"/>
              <w:ind w:right="463"/>
              <w:spacing w:after="0"/>
              <w:rPr>
                <w:sz w:val="20"/>
                <w:szCs w:val="20"/>
                <w:color w:val="auto"/>
              </w:rPr>
            </w:pPr>
            <w:r>
              <w:rPr>
                <w:rFonts w:ascii="Arial" w:cs="Arial" w:eastAsia="Arial" w:hAnsi="Arial"/>
                <w:sz w:val="11"/>
                <w:szCs w:val="11"/>
                <w:color w:val="auto"/>
              </w:rPr>
              <w:t>Alexandria Real Estate Equities, Inc.’s Stockholders’ Equity</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620" w:type="dxa"/>
            <w:vAlign w:val="bottom"/>
          </w:tcPr>
          <w:p>
            <w:pPr>
              <w:spacing w:after="0"/>
              <w:rPr>
                <w:sz w:val="14"/>
                <w:szCs w:val="14"/>
                <w:color w:val="auto"/>
              </w:rPr>
            </w:pPr>
          </w:p>
        </w:tc>
        <w:tc>
          <w:tcPr>
            <w:tcW w:w="820" w:type="dxa"/>
            <w:vAlign w:val="bottom"/>
            <w:gridSpan w:val="2"/>
            <w:vMerge w:val="restart"/>
          </w:tcPr>
          <w:p>
            <w:pPr>
              <w:jc w:val="center"/>
              <w:ind w:right="40"/>
              <w:spacing w:after="0"/>
              <w:rPr>
                <w:sz w:val="20"/>
                <w:szCs w:val="20"/>
                <w:color w:val="auto"/>
              </w:rPr>
            </w:pPr>
            <w:r>
              <w:rPr>
                <w:rFonts w:ascii="Arial" w:cs="Arial" w:eastAsia="Arial" w:hAnsi="Arial"/>
                <w:sz w:val="11"/>
                <w:szCs w:val="11"/>
                <w:color w:val="auto"/>
              </w:rPr>
              <w:t>Number of</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vMerge w:val="restart"/>
          </w:tcPr>
          <w:p>
            <w:pPr>
              <w:jc w:val="center"/>
              <w:ind w:right="40"/>
              <w:spacing w:after="0"/>
              <w:rPr>
                <w:sz w:val="20"/>
                <w:szCs w:val="20"/>
                <w:color w:val="auto"/>
              </w:rPr>
            </w:pPr>
            <w:r>
              <w:rPr>
                <w:rFonts w:ascii="Arial" w:cs="Arial" w:eastAsia="Arial" w:hAnsi="Arial"/>
                <w:sz w:val="11"/>
                <w:szCs w:val="11"/>
                <w:color w:val="auto"/>
              </w:rPr>
              <w:t>Additional</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1"/>
                <w:szCs w:val="11"/>
                <w:color w:val="auto"/>
              </w:rPr>
              <w:t>Accumulated</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vMerge w:val="restart"/>
          </w:tcPr>
          <w:p>
            <w:pPr>
              <w:jc w:val="center"/>
              <w:ind w:right="43"/>
              <w:spacing w:after="0"/>
              <w:rPr>
                <w:sz w:val="20"/>
                <w:szCs w:val="20"/>
                <w:color w:val="auto"/>
              </w:rPr>
            </w:pPr>
            <w:r>
              <w:rPr>
                <w:rFonts w:ascii="Arial" w:cs="Arial" w:eastAsia="Arial" w:hAnsi="Arial"/>
                <w:sz w:val="11"/>
                <w:szCs w:val="11"/>
                <w:color w:val="auto"/>
              </w:rPr>
              <w:t>Redeemable</w:t>
            </w:r>
          </w:p>
        </w:tc>
        <w:tc>
          <w:tcPr>
            <w:tcW w:w="0" w:type="dxa"/>
            <w:vAlign w:val="bottom"/>
          </w:tcPr>
          <w:p>
            <w:pPr>
              <w:spacing w:after="0"/>
              <w:rPr>
                <w:sz w:val="1"/>
                <w:szCs w:val="1"/>
                <w:color w:val="auto"/>
              </w:rPr>
            </w:pPr>
          </w:p>
        </w:tc>
      </w:tr>
      <w:tr>
        <w:trPr>
          <w:trHeight w:val="112"/>
        </w:trPr>
        <w:tc>
          <w:tcPr>
            <w:tcW w:w="362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gridSpan w:val="2"/>
            <w:vMerge w:val="restart"/>
          </w:tcPr>
          <w:p>
            <w:pPr>
              <w:ind w:left="20"/>
              <w:spacing w:after="0"/>
              <w:rPr>
                <w:sz w:val="20"/>
                <w:szCs w:val="20"/>
                <w:color w:val="auto"/>
              </w:rPr>
            </w:pPr>
            <w:r>
              <w:rPr>
                <w:rFonts w:ascii="Arial" w:cs="Arial" w:eastAsia="Arial" w:hAnsi="Arial"/>
                <w:sz w:val="11"/>
                <w:szCs w:val="11"/>
                <w:color w:val="auto"/>
              </w:rPr>
              <w:t>Common</w:t>
            </w:r>
          </w:p>
        </w:tc>
        <w:tc>
          <w:tcPr>
            <w:tcW w:w="8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gridSpan w:val="2"/>
            <w:vMerge w:val="restart"/>
          </w:tcPr>
          <w:p>
            <w:pPr>
              <w:spacing w:after="0"/>
              <w:rPr>
                <w:sz w:val="20"/>
                <w:szCs w:val="20"/>
                <w:color w:val="auto"/>
              </w:rPr>
            </w:pPr>
            <w:r>
              <w:rPr>
                <w:rFonts w:ascii="Arial" w:cs="Arial" w:eastAsia="Arial" w:hAnsi="Arial"/>
                <w:sz w:val="11"/>
                <w:szCs w:val="11"/>
                <w:color w:val="auto"/>
              </w:rPr>
              <w:t>Retained</w:t>
            </w:r>
          </w:p>
        </w:tc>
        <w:tc>
          <w:tcPr>
            <w:tcW w:w="120" w:type="dxa"/>
            <w:vAlign w:val="bottom"/>
          </w:tcPr>
          <w:p>
            <w:pPr>
              <w:spacing w:after="0"/>
              <w:rPr>
                <w:sz w:val="9"/>
                <w:szCs w:val="9"/>
                <w:color w:val="auto"/>
              </w:rPr>
            </w:pPr>
          </w:p>
        </w:tc>
        <w:tc>
          <w:tcPr>
            <w:tcW w:w="860" w:type="dxa"/>
            <w:vAlign w:val="bottom"/>
            <w:gridSpan w:val="2"/>
          </w:tcPr>
          <w:p>
            <w:pPr>
              <w:jc w:val="center"/>
              <w:ind w:right="180"/>
              <w:spacing w:after="0" w:line="112" w:lineRule="exact"/>
              <w:rPr>
                <w:sz w:val="20"/>
                <w:szCs w:val="20"/>
                <w:color w:val="auto"/>
              </w:rPr>
            </w:pPr>
            <w:r>
              <w:rPr>
                <w:rFonts w:ascii="Arial" w:cs="Arial" w:eastAsia="Arial" w:hAnsi="Arial"/>
                <w:sz w:val="11"/>
                <w:szCs w:val="11"/>
                <w:color w:val="auto"/>
              </w:rPr>
              <w:t>Other</w:t>
            </w:r>
          </w:p>
        </w:tc>
        <w:tc>
          <w:tcPr>
            <w:tcW w:w="880" w:type="dxa"/>
            <w:vAlign w:val="bottom"/>
            <w:gridSpan w:val="3"/>
            <w:vMerge w:val="restart"/>
          </w:tcPr>
          <w:p>
            <w:pPr>
              <w:ind w:left="40"/>
              <w:spacing w:after="0"/>
              <w:rPr>
                <w:sz w:val="20"/>
                <w:szCs w:val="20"/>
                <w:color w:val="auto"/>
              </w:rPr>
            </w:pPr>
            <w:r>
              <w:rPr>
                <w:rFonts w:ascii="Arial" w:cs="Arial" w:eastAsia="Arial" w:hAnsi="Arial"/>
                <w:sz w:val="11"/>
                <w:szCs w:val="11"/>
                <w:color w:val="auto"/>
              </w:rPr>
              <w:t>Noncontrolling</w:t>
            </w:r>
          </w:p>
        </w:tc>
        <w:tc>
          <w:tcPr>
            <w:tcW w:w="820" w:type="dxa"/>
            <w:vAlign w:val="bottom"/>
            <w:gridSpan w:val="2"/>
            <w:vMerge w:val="restart"/>
          </w:tcPr>
          <w:p>
            <w:pPr>
              <w:ind w:left="260"/>
              <w:spacing w:after="0"/>
              <w:rPr>
                <w:sz w:val="20"/>
                <w:szCs w:val="20"/>
                <w:color w:val="auto"/>
              </w:rPr>
            </w:pPr>
            <w:r>
              <w:rPr>
                <w:rFonts w:ascii="Arial" w:cs="Arial" w:eastAsia="Arial" w:hAnsi="Arial"/>
                <w:sz w:val="11"/>
                <w:szCs w:val="11"/>
                <w:color w:val="auto"/>
              </w:rPr>
              <w:t>Total</w:t>
            </w:r>
          </w:p>
        </w:tc>
        <w:tc>
          <w:tcPr>
            <w:tcW w:w="10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3620" w:type="dxa"/>
            <w:vAlign w:val="bottom"/>
          </w:tcPr>
          <w:p>
            <w:pPr>
              <w:spacing w:after="0"/>
              <w:rPr>
                <w:sz w:val="10"/>
                <w:szCs w:val="10"/>
                <w:color w:val="auto"/>
              </w:rPr>
            </w:pPr>
          </w:p>
        </w:tc>
        <w:tc>
          <w:tcPr>
            <w:tcW w:w="820" w:type="dxa"/>
            <w:vAlign w:val="bottom"/>
            <w:gridSpan w:val="2"/>
          </w:tcPr>
          <w:p>
            <w:pPr>
              <w:jc w:val="center"/>
              <w:ind w:right="40"/>
              <w:spacing w:after="0" w:line="119" w:lineRule="exact"/>
              <w:rPr>
                <w:sz w:val="20"/>
                <w:szCs w:val="20"/>
                <w:color w:val="auto"/>
              </w:rPr>
            </w:pPr>
            <w:r>
              <w:rPr>
                <w:rFonts w:ascii="Arial" w:cs="Arial" w:eastAsia="Arial" w:hAnsi="Arial"/>
                <w:sz w:val="11"/>
                <w:szCs w:val="11"/>
                <w:color w:val="auto"/>
              </w:rPr>
              <w:t>Common</w:t>
            </w:r>
          </w:p>
        </w:tc>
        <w:tc>
          <w:tcPr>
            <w:tcW w:w="12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820" w:type="dxa"/>
            <w:vAlign w:val="bottom"/>
            <w:gridSpan w:val="2"/>
          </w:tcPr>
          <w:p>
            <w:pPr>
              <w:jc w:val="center"/>
              <w:ind w:right="60"/>
              <w:spacing w:after="0" w:line="119" w:lineRule="exact"/>
              <w:rPr>
                <w:sz w:val="20"/>
                <w:szCs w:val="20"/>
                <w:color w:val="auto"/>
              </w:rPr>
            </w:pPr>
            <w:r>
              <w:rPr>
                <w:rFonts w:ascii="Arial" w:cs="Arial" w:eastAsia="Arial" w:hAnsi="Arial"/>
                <w:sz w:val="11"/>
                <w:szCs w:val="11"/>
                <w:color w:val="auto"/>
              </w:rPr>
              <w:t>Paid-In</w:t>
            </w:r>
          </w:p>
        </w:tc>
        <w:tc>
          <w:tcPr>
            <w:tcW w:w="100" w:type="dxa"/>
            <w:vAlign w:val="bottom"/>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980" w:type="dxa"/>
            <w:vAlign w:val="bottom"/>
            <w:gridSpan w:val="3"/>
          </w:tcPr>
          <w:p>
            <w:pPr>
              <w:jc w:val="center"/>
              <w:ind w:right="60"/>
              <w:spacing w:after="0" w:line="119" w:lineRule="exact"/>
              <w:rPr>
                <w:sz w:val="20"/>
                <w:szCs w:val="20"/>
                <w:color w:val="auto"/>
              </w:rPr>
            </w:pPr>
            <w:r>
              <w:rPr>
                <w:rFonts w:ascii="Arial" w:cs="Arial" w:eastAsia="Arial" w:hAnsi="Arial"/>
                <w:sz w:val="11"/>
                <w:szCs w:val="11"/>
                <w:color w:val="auto"/>
              </w:rPr>
              <w:t>Comprehensive</w:t>
            </w:r>
          </w:p>
        </w:tc>
        <w:tc>
          <w:tcPr>
            <w:tcW w:w="880" w:type="dxa"/>
            <w:vAlign w:val="bottom"/>
            <w:gridSpan w:val="3"/>
            <w:vMerge w:val="continue"/>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860" w:type="dxa"/>
            <w:vAlign w:val="bottom"/>
            <w:gridSpan w:val="2"/>
          </w:tcPr>
          <w:p>
            <w:pPr>
              <w:jc w:val="center"/>
              <w:spacing w:after="0" w:line="119" w:lineRule="exact"/>
              <w:rPr>
                <w:sz w:val="20"/>
                <w:szCs w:val="20"/>
                <w:color w:val="auto"/>
              </w:rPr>
            </w:pPr>
            <w:r>
              <w:rPr>
                <w:rFonts w:ascii="Arial" w:cs="Arial" w:eastAsia="Arial" w:hAnsi="Arial"/>
                <w:sz w:val="11"/>
                <w:szCs w:val="11"/>
                <w:color w:val="auto"/>
              </w:rPr>
              <w:t>Noncontrolling</w:t>
            </w:r>
          </w:p>
        </w:tc>
        <w:tc>
          <w:tcPr>
            <w:tcW w:w="0" w:type="dxa"/>
            <w:vAlign w:val="bottom"/>
          </w:tcPr>
          <w:p>
            <w:pPr>
              <w:spacing w:after="0"/>
              <w:rPr>
                <w:sz w:val="1"/>
                <w:szCs w:val="1"/>
                <w:color w:val="auto"/>
              </w:rPr>
            </w:pPr>
          </w:p>
        </w:tc>
      </w:tr>
      <w:tr>
        <w:trPr>
          <w:trHeight w:val="146"/>
        </w:trPr>
        <w:tc>
          <w:tcPr>
            <w:tcW w:w="362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rPr>
              <w:t>Shares</w:t>
            </w:r>
          </w:p>
        </w:tc>
        <w:tc>
          <w:tcPr>
            <w:tcW w:w="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43"/>
              <w:spacing w:after="0"/>
              <w:rPr>
                <w:sz w:val="20"/>
                <w:szCs w:val="20"/>
                <w:color w:val="auto"/>
              </w:rPr>
            </w:pPr>
            <w:r>
              <w:rPr>
                <w:rFonts w:ascii="Arial" w:cs="Arial" w:eastAsia="Arial" w:hAnsi="Arial"/>
                <w:sz w:val="11"/>
                <w:szCs w:val="11"/>
                <w:color w:val="auto"/>
              </w:rPr>
              <w:t>Stock</w:t>
            </w:r>
          </w:p>
        </w:tc>
        <w:tc>
          <w:tcPr>
            <w:tcW w:w="6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rPr>
              <w:t>Capital</w:t>
            </w: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Earnings</w:t>
            </w:r>
          </w:p>
        </w:tc>
        <w:tc>
          <w:tcPr>
            <w:tcW w:w="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center"/>
              <w:ind w:right="63"/>
              <w:spacing w:after="0"/>
              <w:rPr>
                <w:sz w:val="20"/>
                <w:szCs w:val="20"/>
                <w:color w:val="auto"/>
              </w:rPr>
            </w:pPr>
            <w:r>
              <w:rPr>
                <w:rFonts w:ascii="Arial" w:cs="Arial" w:eastAsia="Arial" w:hAnsi="Arial"/>
                <w:sz w:val="11"/>
                <w:szCs w:val="11"/>
                <w:color w:val="auto"/>
              </w:rPr>
              <w:t>Loss</w:t>
            </w:r>
          </w:p>
        </w:tc>
        <w:tc>
          <w:tcPr>
            <w:tcW w:w="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43"/>
              <w:spacing w:after="0"/>
              <w:rPr>
                <w:sz w:val="20"/>
                <w:szCs w:val="20"/>
                <w:color w:val="auto"/>
              </w:rPr>
            </w:pPr>
            <w:r>
              <w:rPr>
                <w:rFonts w:ascii="Arial" w:cs="Arial" w:eastAsia="Arial" w:hAnsi="Arial"/>
                <w:sz w:val="11"/>
                <w:szCs w:val="11"/>
                <w:color w:val="auto"/>
              </w:rPr>
              <w:t>Interests</w:t>
            </w:r>
          </w:p>
        </w:tc>
        <w:tc>
          <w:tcPr>
            <w:tcW w:w="6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color w:val="auto"/>
              </w:rPr>
              <w:t>Equity</w:t>
            </w: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center"/>
              <w:ind w:right="23"/>
              <w:spacing w:after="0"/>
              <w:rPr>
                <w:sz w:val="20"/>
                <w:szCs w:val="20"/>
                <w:color w:val="auto"/>
              </w:rPr>
            </w:pPr>
            <w:r>
              <w:rPr>
                <w:rFonts w:ascii="Arial" w:cs="Arial" w:eastAsia="Arial" w:hAnsi="Arial"/>
                <w:sz w:val="11"/>
                <w:szCs w:val="11"/>
                <w:color w:val="auto"/>
              </w:rPr>
              <w:t>Interests</w:t>
            </w:r>
          </w:p>
        </w:tc>
        <w:tc>
          <w:tcPr>
            <w:tcW w:w="0" w:type="dxa"/>
            <w:vAlign w:val="bottom"/>
          </w:tcPr>
          <w:p>
            <w:pPr>
              <w:spacing w:after="0"/>
              <w:rPr>
                <w:sz w:val="1"/>
                <w:szCs w:val="1"/>
                <w:color w:val="auto"/>
              </w:rPr>
            </w:pPr>
          </w:p>
        </w:tc>
      </w:tr>
      <w:tr>
        <w:trPr>
          <w:trHeight w:val="184"/>
        </w:trPr>
        <w:tc>
          <w:tcPr>
            <w:tcW w:w="3620" w:type="dxa"/>
            <w:vAlign w:val="bottom"/>
            <w:shd w:val="clear" w:color="auto" w:fill="CCEEFF"/>
          </w:tcPr>
          <w:p>
            <w:pPr>
              <w:ind w:left="20"/>
              <w:spacing w:after="0"/>
              <w:rPr>
                <w:sz w:val="20"/>
                <w:szCs w:val="20"/>
                <w:color w:val="auto"/>
              </w:rPr>
            </w:pPr>
            <w:r>
              <w:rPr>
                <w:rFonts w:ascii="Arial" w:cs="Arial" w:eastAsia="Arial" w:hAnsi="Arial"/>
                <w:sz w:val="11"/>
                <w:szCs w:val="11"/>
                <w:color w:val="auto"/>
              </w:rPr>
              <w:t>Balance as of December 31, 2023</w:t>
            </w:r>
          </w:p>
        </w:tc>
        <w:tc>
          <w:tcPr>
            <w:tcW w:w="7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171,910,599</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1,719</w:t>
            </w:r>
          </w:p>
        </w:tc>
        <w:tc>
          <w:tcPr>
            <w:tcW w:w="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$ 18,485,352</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(15,896)</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ind w:left="4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4,135,338</w:t>
            </w:r>
          </w:p>
        </w:tc>
        <w:tc>
          <w:tcPr>
            <w:tcW w:w="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$ 22,606,513</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16,480</w:t>
            </w:r>
          </w:p>
        </w:tc>
        <w:tc>
          <w:tcPr>
            <w:tcW w:w="0" w:type="dxa"/>
            <w:vAlign w:val="bottom"/>
          </w:tcPr>
          <w:p>
            <w:pPr>
              <w:spacing w:after="0"/>
              <w:rPr>
                <w:sz w:val="1"/>
                <w:szCs w:val="1"/>
                <w:color w:val="auto"/>
              </w:rPr>
            </w:pPr>
          </w:p>
        </w:tc>
      </w:tr>
      <w:tr>
        <w:trPr>
          <w:trHeight w:val="204"/>
        </w:trPr>
        <w:tc>
          <w:tcPr>
            <w:tcW w:w="3620" w:type="dxa"/>
            <w:vAlign w:val="bottom"/>
          </w:tcPr>
          <w:p>
            <w:pPr>
              <w:ind w:left="20"/>
              <w:spacing w:after="0"/>
              <w:rPr>
                <w:sz w:val="20"/>
                <w:szCs w:val="20"/>
                <w:color w:val="auto"/>
              </w:rPr>
            </w:pPr>
            <w:r>
              <w:rPr>
                <w:rFonts w:ascii="Arial" w:cs="Arial" w:eastAsia="Arial" w:hAnsi="Arial"/>
                <w:sz w:val="11"/>
                <w:szCs w:val="11"/>
                <w:color w:val="auto"/>
              </w:rPr>
              <w:t>Net income</w:t>
            </w:r>
          </w:p>
        </w:tc>
        <w:tc>
          <w:tcPr>
            <w:tcW w:w="8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7"/>
                <w:szCs w:val="17"/>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7"/>
                <w:szCs w:val="17"/>
                <w:color w:val="auto"/>
              </w:rPr>
            </w:pPr>
          </w:p>
        </w:tc>
        <w:tc>
          <w:tcPr>
            <w:tcW w:w="580" w:type="dxa"/>
            <w:vAlign w:val="bottom"/>
          </w:tcPr>
          <w:p>
            <w:pPr>
              <w:jc w:val="right"/>
              <w:ind w:right="3"/>
              <w:spacing w:after="0"/>
              <w:rPr>
                <w:sz w:val="20"/>
                <w:szCs w:val="20"/>
                <w:color w:val="auto"/>
              </w:rPr>
            </w:pPr>
            <w:r>
              <w:rPr>
                <w:rFonts w:ascii="Arial" w:cs="Arial" w:eastAsia="Arial" w:hAnsi="Arial"/>
                <w:sz w:val="11"/>
                <w:szCs w:val="11"/>
                <w:color w:val="auto"/>
              </w:rPr>
              <w:t>217,247</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95,435</w:t>
            </w:r>
          </w:p>
        </w:tc>
        <w:tc>
          <w:tcPr>
            <w:tcW w:w="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312,682</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543</w:t>
            </w:r>
          </w:p>
        </w:tc>
        <w:tc>
          <w:tcPr>
            <w:tcW w:w="0" w:type="dxa"/>
            <w:vAlign w:val="bottom"/>
          </w:tcPr>
          <w:p>
            <w:pPr>
              <w:spacing w:after="0"/>
              <w:rPr>
                <w:sz w:val="1"/>
                <w:szCs w:val="1"/>
                <w:color w:val="auto"/>
              </w:rPr>
            </w:pPr>
          </w:p>
        </w:tc>
      </w:tr>
      <w:tr>
        <w:trPr>
          <w:trHeight w:val="204"/>
        </w:trPr>
        <w:tc>
          <w:tcPr>
            <w:tcW w:w="3620" w:type="dxa"/>
            <w:vAlign w:val="bottom"/>
            <w:shd w:val="clear" w:color="auto" w:fill="CCEEFF"/>
          </w:tcPr>
          <w:p>
            <w:pPr>
              <w:ind w:left="20"/>
              <w:spacing w:after="0"/>
              <w:rPr>
                <w:sz w:val="20"/>
                <w:szCs w:val="20"/>
                <w:color w:val="auto"/>
              </w:rPr>
            </w:pPr>
            <w:r>
              <w:rPr>
                <w:rFonts w:ascii="Arial" w:cs="Arial" w:eastAsia="Arial" w:hAnsi="Arial"/>
                <w:sz w:val="11"/>
                <w:szCs w:val="11"/>
                <w:color w:val="auto"/>
              </w:rPr>
              <w:t>Total other comprehensive loss</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(11,814)</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(11,814)</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04"/>
        </w:trPr>
        <w:tc>
          <w:tcPr>
            <w:tcW w:w="3620" w:type="dxa"/>
            <w:vAlign w:val="bottom"/>
          </w:tcPr>
          <w:p>
            <w:pPr>
              <w:ind w:left="20"/>
              <w:spacing w:after="0"/>
              <w:rPr>
                <w:sz w:val="20"/>
                <w:szCs w:val="20"/>
                <w:color w:val="auto"/>
              </w:rPr>
            </w:pPr>
            <w:r>
              <w:rPr>
                <w:rFonts w:ascii="Arial" w:cs="Arial" w:eastAsia="Arial" w:hAnsi="Arial"/>
                <w:sz w:val="11"/>
                <w:szCs w:val="11"/>
                <w:color w:val="auto"/>
              </w:rPr>
              <w:t>Contributions from and sales of noncontrolling interests</w:t>
            </w:r>
          </w:p>
        </w:tc>
        <w:tc>
          <w:tcPr>
            <w:tcW w:w="8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7"/>
                <w:szCs w:val="17"/>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7,700</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258,885</w:t>
            </w:r>
          </w:p>
        </w:tc>
        <w:tc>
          <w:tcPr>
            <w:tcW w:w="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266,585</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04"/>
        </w:trPr>
        <w:tc>
          <w:tcPr>
            <w:tcW w:w="3620" w:type="dxa"/>
            <w:vAlign w:val="bottom"/>
            <w:shd w:val="clear" w:color="auto" w:fill="CCEEFF"/>
          </w:tcPr>
          <w:p>
            <w:pPr>
              <w:ind w:left="20"/>
              <w:spacing w:after="0"/>
              <w:rPr>
                <w:sz w:val="20"/>
                <w:szCs w:val="20"/>
                <w:color w:val="auto"/>
              </w:rPr>
            </w:pPr>
            <w:r>
              <w:rPr>
                <w:rFonts w:ascii="Arial" w:cs="Arial" w:eastAsia="Arial" w:hAnsi="Arial"/>
                <w:sz w:val="11"/>
                <w:szCs w:val="11"/>
                <w:color w:val="auto"/>
              </w:rPr>
              <w:t>Distributions to and redemption of noncontrolling interests</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(8,084)</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(127,787)</w:t>
            </w:r>
          </w:p>
        </w:tc>
        <w:tc>
          <w:tcPr>
            <w:tcW w:w="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(135,871)</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(833)</w:t>
            </w:r>
          </w:p>
        </w:tc>
        <w:tc>
          <w:tcPr>
            <w:tcW w:w="0" w:type="dxa"/>
            <w:vAlign w:val="bottom"/>
          </w:tcPr>
          <w:p>
            <w:pPr>
              <w:spacing w:after="0"/>
              <w:rPr>
                <w:sz w:val="1"/>
                <w:szCs w:val="1"/>
                <w:color w:val="auto"/>
              </w:rPr>
            </w:pPr>
          </w:p>
        </w:tc>
      </w:tr>
      <w:tr>
        <w:trPr>
          <w:trHeight w:val="204"/>
        </w:trPr>
        <w:tc>
          <w:tcPr>
            <w:tcW w:w="3620" w:type="dxa"/>
            <w:vAlign w:val="bottom"/>
          </w:tcPr>
          <w:p>
            <w:pPr>
              <w:ind w:left="20"/>
              <w:spacing w:after="0"/>
              <w:rPr>
                <w:sz w:val="20"/>
                <w:szCs w:val="20"/>
                <w:color w:val="auto"/>
              </w:rPr>
            </w:pPr>
            <w:r>
              <w:rPr>
                <w:rFonts w:ascii="Arial" w:cs="Arial" w:eastAsia="Arial" w:hAnsi="Arial"/>
                <w:sz w:val="11"/>
                <w:szCs w:val="11"/>
                <w:color w:val="auto"/>
              </w:rPr>
              <w:t>Transfer of noncontrolling interests</w:t>
            </w:r>
          </w:p>
        </w:tc>
        <w:tc>
          <w:tcPr>
            <w:tcW w:w="8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7"/>
                <w:szCs w:val="17"/>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7"/>
                <w:szCs w:val="17"/>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(250)</w:t>
            </w:r>
          </w:p>
        </w:tc>
        <w:tc>
          <w:tcPr>
            <w:tcW w:w="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(250)</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250</w:t>
            </w:r>
          </w:p>
        </w:tc>
        <w:tc>
          <w:tcPr>
            <w:tcW w:w="0" w:type="dxa"/>
            <w:vAlign w:val="bottom"/>
          </w:tcPr>
          <w:p>
            <w:pPr>
              <w:spacing w:after="0"/>
              <w:rPr>
                <w:sz w:val="1"/>
                <w:szCs w:val="1"/>
                <w:color w:val="auto"/>
              </w:rPr>
            </w:pPr>
          </w:p>
        </w:tc>
      </w:tr>
      <w:tr>
        <w:trPr>
          <w:trHeight w:val="204"/>
        </w:trPr>
        <w:tc>
          <w:tcPr>
            <w:tcW w:w="3620" w:type="dxa"/>
            <w:vAlign w:val="bottom"/>
            <w:shd w:val="clear" w:color="auto" w:fill="CCEEFF"/>
          </w:tcPr>
          <w:p>
            <w:pPr>
              <w:ind w:left="20"/>
              <w:spacing w:after="0"/>
              <w:rPr>
                <w:sz w:val="20"/>
                <w:szCs w:val="20"/>
                <w:color w:val="auto"/>
              </w:rPr>
            </w:pPr>
            <w:r>
              <w:rPr>
                <w:rFonts w:ascii="Arial" w:cs="Arial" w:eastAsia="Arial" w:hAnsi="Arial"/>
                <w:sz w:val="11"/>
                <w:szCs w:val="11"/>
                <w:color w:val="auto"/>
              </w:rPr>
              <w:t>Reallocation of capital to joint venture partner</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(30,185)</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30,185</w:t>
            </w:r>
          </w:p>
        </w:tc>
        <w:tc>
          <w:tcPr>
            <w:tcW w:w="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04"/>
        </w:trPr>
        <w:tc>
          <w:tcPr>
            <w:tcW w:w="3620" w:type="dxa"/>
            <w:vAlign w:val="bottom"/>
          </w:tcPr>
          <w:p>
            <w:pPr>
              <w:ind w:left="20"/>
              <w:spacing w:after="0"/>
              <w:rPr>
                <w:sz w:val="20"/>
                <w:szCs w:val="20"/>
                <w:color w:val="auto"/>
              </w:rPr>
            </w:pPr>
            <w:r>
              <w:rPr>
                <w:rFonts w:ascii="Arial" w:cs="Arial" w:eastAsia="Arial" w:hAnsi="Arial"/>
                <w:sz w:val="11"/>
                <w:szCs w:val="11"/>
                <w:color w:val="auto"/>
              </w:rPr>
              <w:t>Issuance pursuant to stock plan</w:t>
            </w:r>
          </w:p>
        </w:tc>
        <w:tc>
          <w:tcPr>
            <w:tcW w:w="780" w:type="dxa"/>
            <w:vAlign w:val="bottom"/>
          </w:tcPr>
          <w:p>
            <w:pPr>
              <w:jc w:val="right"/>
              <w:ind w:right="3"/>
              <w:spacing w:after="0"/>
              <w:rPr>
                <w:sz w:val="20"/>
                <w:szCs w:val="20"/>
                <w:color w:val="auto"/>
              </w:rPr>
            </w:pPr>
            <w:r>
              <w:rPr>
                <w:rFonts w:ascii="Arial" w:cs="Arial" w:eastAsia="Arial" w:hAnsi="Arial"/>
                <w:sz w:val="11"/>
                <w:szCs w:val="11"/>
                <w:color w:val="auto"/>
              </w:rPr>
              <w:t>179,178</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w:t>
            </w:r>
          </w:p>
        </w:tc>
        <w:tc>
          <w:tcPr>
            <w:tcW w:w="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70,067</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70,069</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04"/>
        </w:trPr>
        <w:tc>
          <w:tcPr>
            <w:tcW w:w="3620" w:type="dxa"/>
            <w:vAlign w:val="bottom"/>
            <w:shd w:val="clear" w:color="auto" w:fill="CCEEFF"/>
          </w:tcPr>
          <w:p>
            <w:pPr>
              <w:ind w:left="20"/>
              <w:spacing w:after="0"/>
              <w:rPr>
                <w:sz w:val="20"/>
                <w:szCs w:val="20"/>
                <w:color w:val="auto"/>
              </w:rPr>
            </w:pPr>
            <w:r>
              <w:rPr>
                <w:rFonts w:ascii="Arial" w:cs="Arial" w:eastAsia="Arial" w:hAnsi="Arial"/>
                <w:sz w:val="11"/>
                <w:szCs w:val="11"/>
                <w:color w:val="auto"/>
              </w:rPr>
              <w:t>Taxes related to net settlement of equity awards</w:t>
            </w: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(72,103)</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(7,944)</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(7,945)</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04"/>
        </w:trPr>
        <w:tc>
          <w:tcPr>
            <w:tcW w:w="3620" w:type="dxa"/>
            <w:vAlign w:val="bottom"/>
          </w:tcPr>
          <w:p>
            <w:pPr>
              <w:ind w:left="20"/>
              <w:spacing w:after="0"/>
              <w:rPr>
                <w:sz w:val="20"/>
                <w:szCs w:val="20"/>
                <w:color w:val="auto"/>
              </w:rPr>
            </w:pPr>
            <w:r>
              <w:rPr>
                <w:rFonts w:ascii="Arial" w:cs="Arial" w:eastAsia="Arial" w:hAnsi="Arial"/>
                <w:sz w:val="11"/>
                <w:szCs w:val="11"/>
                <w:color w:val="auto"/>
              </w:rPr>
              <w:t>Dividends declared on common stock ($2.57 per share)</w:t>
            </w:r>
          </w:p>
        </w:tc>
        <w:tc>
          <w:tcPr>
            <w:tcW w:w="8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7"/>
                <w:szCs w:val="17"/>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(449,542)</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(449,542)</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04"/>
        </w:trPr>
        <w:tc>
          <w:tcPr>
            <w:tcW w:w="3620" w:type="dxa"/>
            <w:vAlign w:val="bottom"/>
            <w:shd w:val="clear" w:color="auto" w:fill="CCEEFF"/>
          </w:tcPr>
          <w:p>
            <w:pPr>
              <w:ind w:left="20"/>
              <w:spacing w:after="0"/>
              <w:rPr>
                <w:sz w:val="20"/>
                <w:szCs w:val="20"/>
                <w:color w:val="auto"/>
              </w:rPr>
            </w:pPr>
            <w:r>
              <w:rPr>
                <w:rFonts w:ascii="Arial" w:cs="Arial" w:eastAsia="Arial" w:hAnsi="Arial"/>
                <w:sz w:val="11"/>
                <w:szCs w:val="11"/>
                <w:color w:val="auto"/>
              </w:rPr>
              <w:t>Reclassification of distributions in excess of earnings</w:t>
            </w:r>
          </w:p>
        </w:tc>
        <w:tc>
          <w:tcPr>
            <w:tcW w:w="7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(232,295)</w:t>
            </w:r>
          </w:p>
        </w:tc>
        <w:tc>
          <w:tcPr>
            <w:tcW w:w="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232,295</w:t>
            </w:r>
          </w:p>
        </w:tc>
        <w:tc>
          <w:tcPr>
            <w:tcW w:w="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3"/>
        </w:trPr>
        <w:tc>
          <w:tcPr>
            <w:tcW w:w="3620" w:type="dxa"/>
            <w:vAlign w:val="bottom"/>
          </w:tcPr>
          <w:p>
            <w:pPr>
              <w:ind w:left="20"/>
              <w:spacing w:after="0"/>
              <w:rPr>
                <w:sz w:val="20"/>
                <w:szCs w:val="20"/>
                <w:color w:val="auto"/>
              </w:rPr>
            </w:pPr>
            <w:r>
              <w:rPr>
                <w:rFonts w:ascii="Arial" w:cs="Arial" w:eastAsia="Arial" w:hAnsi="Arial"/>
                <w:sz w:val="11"/>
                <w:szCs w:val="11"/>
                <w:color w:val="auto"/>
              </w:rPr>
              <w:t>Balance as of June 30, 2024</w:t>
            </w:r>
          </w:p>
        </w:tc>
        <w:tc>
          <w:tcPr>
            <w:tcW w:w="780" w:type="dxa"/>
            <w:vAlign w:val="bottom"/>
          </w:tcPr>
          <w:p>
            <w:pPr>
              <w:jc w:val="right"/>
              <w:ind w:right="3"/>
              <w:spacing w:after="0"/>
              <w:rPr>
                <w:sz w:val="20"/>
                <w:szCs w:val="20"/>
                <w:color w:val="auto"/>
              </w:rPr>
            </w:pPr>
            <w:r>
              <w:rPr>
                <w:rFonts w:ascii="Arial" w:cs="Arial" w:eastAsia="Arial" w:hAnsi="Arial"/>
                <w:sz w:val="11"/>
                <w:szCs w:val="11"/>
                <w:color w:val="auto"/>
              </w:rPr>
              <w:t>172,017,674</w:t>
            </w:r>
          </w:p>
        </w:tc>
        <w:tc>
          <w:tcPr>
            <w:tcW w:w="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1,720</w:t>
            </w:r>
          </w:p>
        </w:tc>
        <w:tc>
          <w:tcPr>
            <w:tcW w:w="6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1"/>
                <w:szCs w:val="11"/>
                <w:color w:val="auto"/>
              </w:rPr>
              <w:t>$ 18,284,611</w:t>
            </w:r>
          </w:p>
        </w:tc>
        <w:tc>
          <w:tcPr>
            <w:tcW w:w="6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(27,710)</w:t>
            </w:r>
          </w:p>
        </w:tc>
        <w:tc>
          <w:tcPr>
            <w:tcW w:w="60" w:type="dxa"/>
            <w:vAlign w:val="bottom"/>
          </w:tcPr>
          <w:p>
            <w:pPr>
              <w:spacing w:after="0"/>
              <w:rPr>
                <w:sz w:val="14"/>
                <w:szCs w:val="14"/>
                <w:color w:val="auto"/>
              </w:rPr>
            </w:pPr>
          </w:p>
        </w:tc>
        <w:tc>
          <w:tcPr>
            <w:tcW w:w="140" w:type="dxa"/>
            <w:vAlign w:val="bottom"/>
          </w:tcPr>
          <w:p>
            <w:pPr>
              <w:ind w:left="4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4,391,806</w:t>
            </w:r>
          </w:p>
        </w:tc>
        <w:tc>
          <w:tcPr>
            <w:tcW w:w="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$ 22,650,427</w:t>
            </w:r>
          </w:p>
        </w:tc>
        <w:tc>
          <w:tcPr>
            <w:tcW w:w="6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16,440</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-341630</wp:posOffset>
            </wp:positionH>
            <wp:positionV relativeFrom="paragraph">
              <wp:posOffset>188595</wp:posOffset>
            </wp:positionV>
            <wp:extent cx="7212965" cy="24237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2965" cy="2423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4040"/>
        <w:spacing w:after="0"/>
        <w:rPr>
          <w:sz w:val="20"/>
          <w:szCs w:val="20"/>
          <w:color w:val="auto"/>
        </w:rPr>
      </w:pPr>
      <w:r>
        <w:rPr>
          <w:rFonts w:ascii="Arial" w:cs="Arial" w:eastAsia="Arial" w:hAnsi="Arial"/>
          <w:sz w:val="13"/>
          <w:szCs w:val="13"/>
          <w:b w:val="1"/>
          <w:bCs w:val="1"/>
          <w:color w:val="auto"/>
        </w:rPr>
        <w:t>Alexandria Real Estate Equities, Inc.</w:t>
      </w:r>
    </w:p>
    <w:p>
      <w:pPr>
        <w:spacing w:after="0" w:line="24" w:lineRule="exact"/>
        <w:rPr>
          <w:sz w:val="20"/>
          <w:szCs w:val="20"/>
          <w:color w:val="auto"/>
        </w:rPr>
      </w:pPr>
    </w:p>
    <w:p>
      <w:pPr>
        <w:ind w:left="2420"/>
        <w:spacing w:after="0"/>
        <w:rPr>
          <w:sz w:val="20"/>
          <w:szCs w:val="20"/>
          <w:color w:val="auto"/>
        </w:rPr>
      </w:pPr>
      <w:r>
        <w:rPr>
          <w:rFonts w:ascii="Arial" w:cs="Arial" w:eastAsia="Arial" w:hAnsi="Arial"/>
          <w:sz w:val="13"/>
          <w:szCs w:val="13"/>
          <w:b w:val="1"/>
          <w:bCs w:val="1"/>
          <w:color w:val="auto"/>
        </w:rPr>
        <w:t>Consolidated Statement of Changes in Stockholders’ Equity and Noncontrolling Interests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(Dollars in thousands)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(Unaudited)</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150"/>
        </w:trPr>
        <w:tc>
          <w:tcPr>
            <w:tcW w:w="3380" w:type="dxa"/>
            <w:vAlign w:val="bottom"/>
          </w:tcPr>
          <w:p>
            <w:pPr>
              <w:spacing w:after="0"/>
              <w:rPr>
                <w:sz w:val="13"/>
                <w:szCs w:val="13"/>
                <w:color w:val="auto"/>
              </w:rPr>
            </w:pPr>
          </w:p>
        </w:tc>
        <w:tc>
          <w:tcPr>
            <w:tcW w:w="4320" w:type="dxa"/>
            <w:vAlign w:val="bottom"/>
            <w:gridSpan w:val="7"/>
          </w:tcPr>
          <w:p>
            <w:pPr>
              <w:jc w:val="right"/>
              <w:ind w:right="423"/>
              <w:spacing w:after="0"/>
              <w:rPr>
                <w:sz w:val="20"/>
                <w:szCs w:val="20"/>
                <w:color w:val="auto"/>
              </w:rPr>
            </w:pPr>
            <w:r>
              <w:rPr>
                <w:rFonts w:ascii="Arial" w:cs="Arial" w:eastAsia="Arial" w:hAnsi="Arial"/>
                <w:sz w:val="11"/>
                <w:szCs w:val="11"/>
                <w:color w:val="auto"/>
              </w:rPr>
              <w:t>Alexandria Real Estate Equities, Inc.’s Stockholders’ Equity</w:t>
            </w:r>
          </w:p>
        </w:tc>
        <w:tc>
          <w:tcPr>
            <w:tcW w:w="8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380" w:type="dxa"/>
            <w:vAlign w:val="bottom"/>
          </w:tcPr>
          <w:p>
            <w:pPr>
              <w:spacing w:after="0"/>
              <w:rPr>
                <w:sz w:val="15"/>
                <w:szCs w:val="15"/>
                <w:color w:val="auto"/>
              </w:rPr>
            </w:pPr>
          </w:p>
        </w:tc>
        <w:tc>
          <w:tcPr>
            <w:tcW w:w="1160" w:type="dxa"/>
            <w:vAlign w:val="bottom"/>
            <w:vMerge w:val="restart"/>
          </w:tcPr>
          <w:p>
            <w:pPr>
              <w:jc w:val="center"/>
              <w:ind w:left="303"/>
              <w:spacing w:after="0"/>
              <w:rPr>
                <w:sz w:val="20"/>
                <w:szCs w:val="20"/>
                <w:color w:val="auto"/>
              </w:rPr>
            </w:pPr>
            <w:r>
              <w:rPr>
                <w:rFonts w:ascii="Arial" w:cs="Arial" w:eastAsia="Arial" w:hAnsi="Arial"/>
                <w:sz w:val="11"/>
                <w:szCs w:val="11"/>
                <w:color w:val="auto"/>
              </w:rPr>
              <w:t>Number of</w:t>
            </w:r>
          </w:p>
        </w:tc>
        <w:tc>
          <w:tcPr>
            <w:tcW w:w="620" w:type="dxa"/>
            <w:vAlign w:val="bottom"/>
          </w:tcPr>
          <w:p>
            <w:pPr>
              <w:spacing w:after="0"/>
              <w:rPr>
                <w:sz w:val="15"/>
                <w:szCs w:val="15"/>
                <w:color w:val="auto"/>
              </w:rPr>
            </w:pPr>
          </w:p>
        </w:tc>
        <w:tc>
          <w:tcPr>
            <w:tcW w:w="820" w:type="dxa"/>
            <w:vAlign w:val="bottom"/>
            <w:vMerge w:val="restart"/>
          </w:tcPr>
          <w:p>
            <w:pPr>
              <w:jc w:val="right"/>
              <w:ind w:right="83"/>
              <w:spacing w:after="0"/>
              <w:rPr>
                <w:sz w:val="20"/>
                <w:szCs w:val="20"/>
                <w:color w:val="auto"/>
              </w:rPr>
            </w:pPr>
            <w:r>
              <w:rPr>
                <w:rFonts w:ascii="Arial" w:cs="Arial" w:eastAsia="Arial" w:hAnsi="Arial"/>
                <w:sz w:val="11"/>
                <w:szCs w:val="11"/>
                <w:color w:val="auto"/>
              </w:rPr>
              <w:t>Additional</w:t>
            </w: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center"/>
              <w:ind w:right="83"/>
              <w:spacing w:after="0"/>
              <w:rPr>
                <w:sz w:val="20"/>
                <w:szCs w:val="20"/>
                <w:color w:val="auto"/>
              </w:rPr>
            </w:pPr>
            <w:r>
              <w:rPr>
                <w:rFonts w:ascii="Arial" w:cs="Arial" w:eastAsia="Arial" w:hAnsi="Arial"/>
                <w:sz w:val="11"/>
                <w:szCs w:val="11"/>
                <w:color w:val="auto"/>
              </w:rPr>
              <w:t>Accumulated</w:t>
            </w:r>
          </w:p>
        </w:tc>
        <w:tc>
          <w:tcPr>
            <w:tcW w:w="8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vMerge w:val="restart"/>
          </w:tcPr>
          <w:p>
            <w:pPr>
              <w:jc w:val="center"/>
              <w:ind w:right="43"/>
              <w:spacing w:after="0"/>
              <w:rPr>
                <w:sz w:val="20"/>
                <w:szCs w:val="20"/>
                <w:color w:val="auto"/>
              </w:rPr>
            </w:pPr>
            <w:r>
              <w:rPr>
                <w:rFonts w:ascii="Arial" w:cs="Arial" w:eastAsia="Arial" w:hAnsi="Arial"/>
                <w:sz w:val="11"/>
                <w:szCs w:val="11"/>
                <w:color w:val="auto"/>
              </w:rPr>
              <w:t>Redeemable</w:t>
            </w:r>
          </w:p>
        </w:tc>
        <w:tc>
          <w:tcPr>
            <w:tcW w:w="0" w:type="dxa"/>
            <w:vAlign w:val="bottom"/>
          </w:tcPr>
          <w:p>
            <w:pPr>
              <w:spacing w:after="0"/>
              <w:rPr>
                <w:sz w:val="1"/>
                <w:szCs w:val="1"/>
                <w:color w:val="auto"/>
              </w:rPr>
            </w:pPr>
          </w:p>
        </w:tc>
      </w:tr>
      <w:tr>
        <w:trPr>
          <w:trHeight w:val="114"/>
        </w:trPr>
        <w:tc>
          <w:tcPr>
            <w:tcW w:w="338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620" w:type="dxa"/>
            <w:vAlign w:val="bottom"/>
            <w:vMerge w:val="restart"/>
          </w:tcPr>
          <w:p>
            <w:pPr>
              <w:jc w:val="right"/>
              <w:ind w:right="3"/>
              <w:spacing w:after="0"/>
              <w:rPr>
                <w:sz w:val="20"/>
                <w:szCs w:val="20"/>
                <w:color w:val="auto"/>
              </w:rPr>
            </w:pPr>
            <w:r>
              <w:rPr>
                <w:rFonts w:ascii="Arial" w:cs="Arial" w:eastAsia="Arial" w:hAnsi="Arial"/>
                <w:sz w:val="11"/>
                <w:szCs w:val="11"/>
                <w:color w:val="auto"/>
              </w:rPr>
              <w:t>Common</w:t>
            </w:r>
          </w:p>
        </w:tc>
        <w:tc>
          <w:tcPr>
            <w:tcW w:w="82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vMerge w:val="restart"/>
          </w:tcPr>
          <w:p>
            <w:pPr>
              <w:jc w:val="right"/>
              <w:ind w:right="83"/>
              <w:spacing w:after="0"/>
              <w:rPr>
                <w:sz w:val="20"/>
                <w:szCs w:val="20"/>
                <w:color w:val="auto"/>
              </w:rPr>
            </w:pPr>
            <w:r>
              <w:rPr>
                <w:rFonts w:ascii="Arial" w:cs="Arial" w:eastAsia="Arial" w:hAnsi="Arial"/>
                <w:sz w:val="11"/>
                <w:szCs w:val="11"/>
                <w:color w:val="auto"/>
                <w:w w:val="99"/>
              </w:rPr>
              <w:t>Retained</w:t>
            </w:r>
          </w:p>
        </w:tc>
        <w:tc>
          <w:tcPr>
            <w:tcW w:w="140" w:type="dxa"/>
            <w:vAlign w:val="bottom"/>
          </w:tcPr>
          <w:p>
            <w:pPr>
              <w:spacing w:after="0"/>
              <w:rPr>
                <w:sz w:val="9"/>
                <w:szCs w:val="9"/>
                <w:color w:val="auto"/>
              </w:rPr>
            </w:pPr>
          </w:p>
        </w:tc>
        <w:tc>
          <w:tcPr>
            <w:tcW w:w="840" w:type="dxa"/>
            <w:vAlign w:val="bottom"/>
          </w:tcPr>
          <w:p>
            <w:pPr>
              <w:jc w:val="center"/>
              <w:ind w:right="103"/>
              <w:spacing w:after="0" w:line="114" w:lineRule="exact"/>
              <w:rPr>
                <w:sz w:val="20"/>
                <w:szCs w:val="20"/>
                <w:color w:val="auto"/>
              </w:rPr>
            </w:pPr>
            <w:r>
              <w:rPr>
                <w:rFonts w:ascii="Arial" w:cs="Arial" w:eastAsia="Arial" w:hAnsi="Arial"/>
                <w:sz w:val="11"/>
                <w:szCs w:val="11"/>
                <w:color w:val="auto"/>
              </w:rPr>
              <w:t>Other</w:t>
            </w:r>
          </w:p>
        </w:tc>
        <w:tc>
          <w:tcPr>
            <w:tcW w:w="880" w:type="dxa"/>
            <w:vAlign w:val="bottom"/>
            <w:vMerge w:val="restart"/>
          </w:tcPr>
          <w:p>
            <w:pPr>
              <w:jc w:val="right"/>
              <w:ind w:right="23"/>
              <w:spacing w:after="0"/>
              <w:rPr>
                <w:sz w:val="20"/>
                <w:szCs w:val="20"/>
                <w:color w:val="auto"/>
              </w:rPr>
            </w:pPr>
            <w:r>
              <w:rPr>
                <w:rFonts w:ascii="Arial" w:cs="Arial" w:eastAsia="Arial" w:hAnsi="Arial"/>
                <w:sz w:val="11"/>
                <w:szCs w:val="11"/>
                <w:color w:val="auto"/>
              </w:rPr>
              <w:t>Noncontrolling</w:t>
            </w:r>
          </w:p>
        </w:tc>
        <w:tc>
          <w:tcPr>
            <w:tcW w:w="820" w:type="dxa"/>
            <w:vAlign w:val="bottom"/>
            <w:vMerge w:val="restart"/>
          </w:tcPr>
          <w:p>
            <w:pPr>
              <w:jc w:val="right"/>
              <w:ind w:right="243"/>
              <w:spacing w:after="0"/>
              <w:rPr>
                <w:sz w:val="20"/>
                <w:szCs w:val="20"/>
                <w:color w:val="auto"/>
              </w:rPr>
            </w:pPr>
            <w:r>
              <w:rPr>
                <w:rFonts w:ascii="Arial" w:cs="Arial" w:eastAsia="Arial" w:hAnsi="Arial"/>
                <w:sz w:val="11"/>
                <w:szCs w:val="11"/>
                <w:color w:val="auto"/>
              </w:rPr>
              <w:t>Total</w:t>
            </w:r>
          </w:p>
        </w:tc>
        <w:tc>
          <w:tcPr>
            <w:tcW w:w="12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3380" w:type="dxa"/>
            <w:vAlign w:val="bottom"/>
          </w:tcPr>
          <w:p>
            <w:pPr>
              <w:spacing w:after="0"/>
              <w:rPr>
                <w:sz w:val="9"/>
                <w:szCs w:val="9"/>
                <w:color w:val="auto"/>
              </w:rPr>
            </w:pPr>
          </w:p>
        </w:tc>
        <w:tc>
          <w:tcPr>
            <w:tcW w:w="1160" w:type="dxa"/>
            <w:vAlign w:val="bottom"/>
          </w:tcPr>
          <w:p>
            <w:pPr>
              <w:jc w:val="center"/>
              <w:ind w:left="303"/>
              <w:spacing w:after="0" w:line="112" w:lineRule="exact"/>
              <w:rPr>
                <w:sz w:val="20"/>
                <w:szCs w:val="20"/>
                <w:color w:val="auto"/>
              </w:rPr>
            </w:pPr>
            <w:r>
              <w:rPr>
                <w:rFonts w:ascii="Arial" w:cs="Arial" w:eastAsia="Arial" w:hAnsi="Arial"/>
                <w:sz w:val="11"/>
                <w:szCs w:val="11"/>
                <w:color w:val="auto"/>
              </w:rPr>
              <w:t>Common</w:t>
            </w:r>
          </w:p>
        </w:tc>
        <w:tc>
          <w:tcPr>
            <w:tcW w:w="620" w:type="dxa"/>
            <w:vAlign w:val="bottom"/>
            <w:vMerge w:val="continue"/>
          </w:tcPr>
          <w:p>
            <w:pPr>
              <w:spacing w:after="0"/>
              <w:rPr>
                <w:sz w:val="9"/>
                <w:szCs w:val="9"/>
                <w:color w:val="auto"/>
              </w:rPr>
            </w:pPr>
          </w:p>
        </w:tc>
        <w:tc>
          <w:tcPr>
            <w:tcW w:w="820" w:type="dxa"/>
            <w:vAlign w:val="bottom"/>
          </w:tcPr>
          <w:p>
            <w:pPr>
              <w:jc w:val="right"/>
              <w:ind w:right="163"/>
              <w:spacing w:after="0" w:line="112" w:lineRule="exact"/>
              <w:rPr>
                <w:sz w:val="20"/>
                <w:szCs w:val="20"/>
                <w:color w:val="auto"/>
              </w:rPr>
            </w:pPr>
            <w:r>
              <w:rPr>
                <w:rFonts w:ascii="Arial" w:cs="Arial" w:eastAsia="Arial" w:hAnsi="Arial"/>
                <w:sz w:val="11"/>
                <w:szCs w:val="11"/>
                <w:color w:val="auto"/>
              </w:rPr>
              <w:t>Paid-In</w:t>
            </w:r>
          </w:p>
        </w:tc>
        <w:tc>
          <w:tcPr>
            <w:tcW w:w="14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980" w:type="dxa"/>
            <w:vAlign w:val="bottom"/>
            <w:gridSpan w:val="2"/>
          </w:tcPr>
          <w:p>
            <w:pPr>
              <w:jc w:val="center"/>
              <w:spacing w:after="0" w:line="112" w:lineRule="exact"/>
              <w:rPr>
                <w:sz w:val="20"/>
                <w:szCs w:val="20"/>
                <w:color w:val="auto"/>
              </w:rPr>
            </w:pPr>
            <w:r>
              <w:rPr>
                <w:rFonts w:ascii="Arial" w:cs="Arial" w:eastAsia="Arial" w:hAnsi="Arial"/>
                <w:sz w:val="11"/>
                <w:szCs w:val="11"/>
                <w:color w:val="auto"/>
              </w:rPr>
              <w:t>Comprehensive</w:t>
            </w:r>
          </w:p>
        </w:tc>
        <w:tc>
          <w:tcPr>
            <w:tcW w:w="88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880" w:type="dxa"/>
            <w:vAlign w:val="bottom"/>
            <w:gridSpan w:val="2"/>
          </w:tcPr>
          <w:p>
            <w:pPr>
              <w:jc w:val="center"/>
              <w:spacing w:after="0" w:line="112" w:lineRule="exact"/>
              <w:rPr>
                <w:sz w:val="20"/>
                <w:szCs w:val="20"/>
                <w:color w:val="auto"/>
              </w:rPr>
            </w:pPr>
            <w:r>
              <w:rPr>
                <w:rFonts w:ascii="Arial" w:cs="Arial" w:eastAsia="Arial" w:hAnsi="Arial"/>
                <w:sz w:val="11"/>
                <w:szCs w:val="11"/>
                <w:color w:val="auto"/>
              </w:rPr>
              <w:t>Noncontrolling</w:t>
            </w:r>
          </w:p>
        </w:tc>
        <w:tc>
          <w:tcPr>
            <w:tcW w:w="0" w:type="dxa"/>
            <w:vAlign w:val="bottom"/>
          </w:tcPr>
          <w:p>
            <w:pPr>
              <w:spacing w:after="0"/>
              <w:rPr>
                <w:sz w:val="1"/>
                <w:szCs w:val="1"/>
                <w:color w:val="auto"/>
              </w:rPr>
            </w:pPr>
          </w:p>
        </w:tc>
      </w:tr>
      <w:tr>
        <w:trPr>
          <w:trHeight w:val="150"/>
        </w:trPr>
        <w:tc>
          <w:tcPr>
            <w:tcW w:w="3380" w:type="dxa"/>
            <w:vAlign w:val="bottom"/>
          </w:tcPr>
          <w:p>
            <w:pPr>
              <w:spacing w:after="0"/>
              <w:rPr>
                <w:sz w:val="13"/>
                <w:szCs w:val="13"/>
                <w:color w:val="auto"/>
              </w:rPr>
            </w:pPr>
          </w:p>
        </w:tc>
        <w:tc>
          <w:tcPr>
            <w:tcW w:w="1160" w:type="dxa"/>
            <w:vAlign w:val="bottom"/>
          </w:tcPr>
          <w:p>
            <w:pPr>
              <w:jc w:val="center"/>
              <w:ind w:left="303"/>
              <w:spacing w:after="0"/>
              <w:rPr>
                <w:sz w:val="20"/>
                <w:szCs w:val="20"/>
                <w:color w:val="auto"/>
              </w:rPr>
            </w:pPr>
            <w:r>
              <w:rPr>
                <w:rFonts w:ascii="Arial" w:cs="Arial" w:eastAsia="Arial" w:hAnsi="Arial"/>
                <w:sz w:val="11"/>
                <w:szCs w:val="11"/>
                <w:color w:val="auto"/>
              </w:rPr>
              <w:t>Shares</w:t>
            </w:r>
          </w:p>
        </w:tc>
        <w:tc>
          <w:tcPr>
            <w:tcW w:w="620" w:type="dxa"/>
            <w:vAlign w:val="bottom"/>
          </w:tcPr>
          <w:p>
            <w:pPr>
              <w:jc w:val="right"/>
              <w:ind w:right="103"/>
              <w:spacing w:after="0"/>
              <w:rPr>
                <w:sz w:val="20"/>
                <w:szCs w:val="20"/>
                <w:color w:val="auto"/>
              </w:rPr>
            </w:pPr>
            <w:r>
              <w:rPr>
                <w:rFonts w:ascii="Arial" w:cs="Arial" w:eastAsia="Arial" w:hAnsi="Arial"/>
                <w:sz w:val="11"/>
                <w:szCs w:val="11"/>
                <w:color w:val="auto"/>
              </w:rPr>
              <w:t>Stock</w:t>
            </w:r>
          </w:p>
        </w:tc>
        <w:tc>
          <w:tcPr>
            <w:tcW w:w="820" w:type="dxa"/>
            <w:vAlign w:val="bottom"/>
          </w:tcPr>
          <w:p>
            <w:pPr>
              <w:jc w:val="right"/>
              <w:ind w:right="163"/>
              <w:spacing w:after="0"/>
              <w:rPr>
                <w:sz w:val="20"/>
                <w:szCs w:val="20"/>
                <w:color w:val="auto"/>
              </w:rPr>
            </w:pPr>
            <w:r>
              <w:rPr>
                <w:rFonts w:ascii="Arial" w:cs="Arial" w:eastAsia="Arial" w:hAnsi="Arial"/>
                <w:sz w:val="11"/>
                <w:szCs w:val="11"/>
                <w:color w:val="auto"/>
              </w:rPr>
              <w:t>Capital</w:t>
            </w:r>
          </w:p>
        </w:tc>
        <w:tc>
          <w:tcPr>
            <w:tcW w:w="140" w:type="dxa"/>
            <w:vAlign w:val="bottom"/>
          </w:tcPr>
          <w:p>
            <w:pPr>
              <w:spacing w:after="0"/>
              <w:rPr>
                <w:sz w:val="13"/>
                <w:szCs w:val="13"/>
                <w:color w:val="auto"/>
              </w:rPr>
            </w:pPr>
          </w:p>
        </w:tc>
        <w:tc>
          <w:tcPr>
            <w:tcW w:w="600" w:type="dxa"/>
            <w:vAlign w:val="bottom"/>
          </w:tcPr>
          <w:p>
            <w:pPr>
              <w:jc w:val="right"/>
              <w:ind w:right="83"/>
              <w:spacing w:after="0"/>
              <w:rPr>
                <w:sz w:val="20"/>
                <w:szCs w:val="20"/>
                <w:color w:val="auto"/>
              </w:rPr>
            </w:pPr>
            <w:r>
              <w:rPr>
                <w:rFonts w:ascii="Arial" w:cs="Arial" w:eastAsia="Arial" w:hAnsi="Arial"/>
                <w:sz w:val="11"/>
                <w:szCs w:val="11"/>
                <w:color w:val="auto"/>
              </w:rPr>
              <w:t>Earnings</w:t>
            </w:r>
          </w:p>
        </w:tc>
        <w:tc>
          <w:tcPr>
            <w:tcW w:w="140" w:type="dxa"/>
            <w:vAlign w:val="bottom"/>
          </w:tcPr>
          <w:p>
            <w:pPr>
              <w:spacing w:after="0"/>
              <w:rPr>
                <w:sz w:val="13"/>
                <w:szCs w:val="13"/>
                <w:color w:val="auto"/>
              </w:rPr>
            </w:pPr>
          </w:p>
        </w:tc>
        <w:tc>
          <w:tcPr>
            <w:tcW w:w="840" w:type="dxa"/>
            <w:vAlign w:val="bottom"/>
          </w:tcPr>
          <w:p>
            <w:pPr>
              <w:jc w:val="center"/>
              <w:ind w:right="103"/>
              <w:spacing w:after="0"/>
              <w:rPr>
                <w:sz w:val="20"/>
                <w:szCs w:val="20"/>
                <w:color w:val="auto"/>
              </w:rPr>
            </w:pPr>
            <w:r>
              <w:rPr>
                <w:rFonts w:ascii="Arial" w:cs="Arial" w:eastAsia="Arial" w:hAnsi="Arial"/>
                <w:sz w:val="11"/>
                <w:szCs w:val="11"/>
                <w:color w:val="auto"/>
              </w:rPr>
              <w:t>Loss</w:t>
            </w:r>
          </w:p>
        </w:tc>
        <w:tc>
          <w:tcPr>
            <w:tcW w:w="880" w:type="dxa"/>
            <w:vAlign w:val="bottom"/>
          </w:tcPr>
          <w:p>
            <w:pPr>
              <w:jc w:val="right"/>
              <w:ind w:right="183"/>
              <w:spacing w:after="0"/>
              <w:rPr>
                <w:sz w:val="20"/>
                <w:szCs w:val="20"/>
                <w:color w:val="auto"/>
              </w:rPr>
            </w:pPr>
            <w:r>
              <w:rPr>
                <w:rFonts w:ascii="Arial" w:cs="Arial" w:eastAsia="Arial" w:hAnsi="Arial"/>
                <w:sz w:val="11"/>
                <w:szCs w:val="11"/>
                <w:color w:val="auto"/>
              </w:rPr>
              <w:t>Interests</w:t>
            </w:r>
          </w:p>
        </w:tc>
        <w:tc>
          <w:tcPr>
            <w:tcW w:w="820" w:type="dxa"/>
            <w:vAlign w:val="bottom"/>
          </w:tcPr>
          <w:p>
            <w:pPr>
              <w:jc w:val="right"/>
              <w:ind w:right="203"/>
              <w:spacing w:after="0"/>
              <w:rPr>
                <w:sz w:val="20"/>
                <w:szCs w:val="20"/>
                <w:color w:val="auto"/>
              </w:rPr>
            </w:pPr>
            <w:r>
              <w:rPr>
                <w:rFonts w:ascii="Arial" w:cs="Arial" w:eastAsia="Arial" w:hAnsi="Arial"/>
                <w:sz w:val="11"/>
                <w:szCs w:val="11"/>
                <w:color w:val="auto"/>
              </w:rPr>
              <w:t>Equity</w:t>
            </w:r>
          </w:p>
        </w:tc>
        <w:tc>
          <w:tcPr>
            <w:tcW w:w="120" w:type="dxa"/>
            <w:vAlign w:val="bottom"/>
          </w:tcPr>
          <w:p>
            <w:pPr>
              <w:spacing w:after="0"/>
              <w:rPr>
                <w:sz w:val="13"/>
                <w:szCs w:val="13"/>
                <w:color w:val="auto"/>
              </w:rPr>
            </w:pPr>
          </w:p>
        </w:tc>
        <w:tc>
          <w:tcPr>
            <w:tcW w:w="760" w:type="dxa"/>
            <w:vAlign w:val="bottom"/>
          </w:tcPr>
          <w:p>
            <w:pPr>
              <w:jc w:val="center"/>
              <w:ind w:right="23"/>
              <w:spacing w:after="0"/>
              <w:rPr>
                <w:sz w:val="20"/>
                <w:szCs w:val="20"/>
                <w:color w:val="auto"/>
              </w:rPr>
            </w:pPr>
            <w:r>
              <w:rPr>
                <w:rFonts w:ascii="Arial" w:cs="Arial" w:eastAsia="Arial" w:hAnsi="Arial"/>
                <w:sz w:val="11"/>
                <w:szCs w:val="11"/>
                <w:color w:val="auto"/>
              </w:rPr>
              <w:t>Interests</w:t>
            </w:r>
          </w:p>
        </w:tc>
        <w:tc>
          <w:tcPr>
            <w:tcW w:w="0" w:type="dxa"/>
            <w:vAlign w:val="bottom"/>
          </w:tcPr>
          <w:p>
            <w:pPr>
              <w:spacing w:after="0"/>
              <w:rPr>
                <w:sz w:val="1"/>
                <w:szCs w:val="1"/>
                <w:color w:val="auto"/>
              </w:rPr>
            </w:pPr>
          </w:p>
        </w:tc>
      </w:tr>
      <w:tr>
        <w:trPr>
          <w:trHeight w:val="204"/>
        </w:trPr>
        <w:tc>
          <w:tcPr>
            <w:tcW w:w="3380" w:type="dxa"/>
            <w:vAlign w:val="bottom"/>
          </w:tcPr>
          <w:p>
            <w:pPr>
              <w:spacing w:after="0"/>
              <w:rPr>
                <w:sz w:val="20"/>
                <w:szCs w:val="20"/>
                <w:color w:val="auto"/>
              </w:rPr>
            </w:pPr>
            <w:r>
              <w:rPr>
                <w:rFonts w:ascii="Arial" w:cs="Arial" w:eastAsia="Arial" w:hAnsi="Arial"/>
                <w:sz w:val="11"/>
                <w:szCs w:val="11"/>
                <w:color w:val="auto"/>
              </w:rPr>
              <w:t>Balance as of December 31, 2022</w:t>
            </w:r>
          </w:p>
        </w:tc>
        <w:tc>
          <w:tcPr>
            <w:tcW w:w="1160" w:type="dxa"/>
            <w:vAlign w:val="bottom"/>
          </w:tcPr>
          <w:p>
            <w:pPr>
              <w:jc w:val="right"/>
              <w:ind w:right="3"/>
              <w:spacing w:after="0"/>
              <w:rPr>
                <w:sz w:val="20"/>
                <w:szCs w:val="20"/>
                <w:color w:val="auto"/>
              </w:rPr>
            </w:pPr>
            <w:r>
              <w:rPr>
                <w:rFonts w:ascii="Arial" w:cs="Arial" w:eastAsia="Arial" w:hAnsi="Arial"/>
                <w:sz w:val="11"/>
                <w:szCs w:val="11"/>
                <w:color w:val="auto"/>
              </w:rPr>
              <w:t>170,748,395</w:t>
            </w:r>
          </w:p>
        </w:tc>
        <w:tc>
          <w:tcPr>
            <w:tcW w:w="620" w:type="dxa"/>
            <w:vAlign w:val="bottom"/>
          </w:tcPr>
          <w:p>
            <w:pPr>
              <w:jc w:val="right"/>
              <w:ind w:right="3"/>
              <w:spacing w:after="0"/>
              <w:rPr>
                <w:sz w:val="20"/>
                <w:szCs w:val="20"/>
                <w:color w:val="auto"/>
              </w:rPr>
            </w:pPr>
            <w:r>
              <w:rPr>
                <w:rFonts w:ascii="Arial" w:cs="Arial" w:eastAsia="Arial" w:hAnsi="Arial"/>
                <w:sz w:val="11"/>
                <w:szCs w:val="11"/>
                <w:color w:val="auto"/>
              </w:rPr>
              <w:t>$  1,707</w:t>
            </w:r>
          </w:p>
        </w:tc>
        <w:tc>
          <w:tcPr>
            <w:tcW w:w="820" w:type="dxa"/>
            <w:vAlign w:val="bottom"/>
          </w:tcPr>
          <w:p>
            <w:pPr>
              <w:jc w:val="right"/>
              <w:ind w:right="3"/>
              <w:spacing w:after="0"/>
              <w:rPr>
                <w:sz w:val="20"/>
                <w:szCs w:val="20"/>
                <w:color w:val="auto"/>
              </w:rPr>
            </w:pPr>
            <w:r>
              <w:rPr>
                <w:rFonts w:ascii="Arial" w:cs="Arial" w:eastAsia="Arial" w:hAnsi="Arial"/>
                <w:sz w:val="11"/>
                <w:szCs w:val="11"/>
                <w:color w:val="auto"/>
              </w:rPr>
              <w:t>$ 18,991,492</w:t>
            </w: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60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(20,812)</w:t>
            </w:r>
          </w:p>
        </w:tc>
        <w:tc>
          <w:tcPr>
            <w:tcW w:w="880" w:type="dxa"/>
            <w:vAlign w:val="bottom"/>
          </w:tcPr>
          <w:p>
            <w:pPr>
              <w:jc w:val="right"/>
              <w:ind w:right="23"/>
              <w:spacing w:after="0"/>
              <w:rPr>
                <w:sz w:val="20"/>
                <w:szCs w:val="20"/>
                <w:color w:val="auto"/>
              </w:rPr>
            </w:pPr>
            <w:r>
              <w:rPr>
                <w:rFonts w:ascii="Arial" w:cs="Arial" w:eastAsia="Arial" w:hAnsi="Arial"/>
                <w:sz w:val="11"/>
                <w:szCs w:val="11"/>
                <w:color w:val="auto"/>
              </w:rPr>
              <w:t>$   3,701,248</w:t>
            </w:r>
          </w:p>
        </w:tc>
        <w:tc>
          <w:tcPr>
            <w:tcW w:w="820" w:type="dxa"/>
            <w:vAlign w:val="bottom"/>
          </w:tcPr>
          <w:p>
            <w:pPr>
              <w:jc w:val="right"/>
              <w:ind w:right="23"/>
              <w:spacing w:after="0"/>
              <w:rPr>
                <w:sz w:val="20"/>
                <w:szCs w:val="20"/>
                <w:color w:val="auto"/>
              </w:rPr>
            </w:pPr>
            <w:r>
              <w:rPr>
                <w:rFonts w:ascii="Arial" w:cs="Arial" w:eastAsia="Arial" w:hAnsi="Arial"/>
                <w:sz w:val="11"/>
                <w:szCs w:val="11"/>
                <w:color w:val="auto"/>
              </w:rPr>
              <w:t>$ 22,673,635</w:t>
            </w: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9,612</w:t>
            </w:r>
          </w:p>
        </w:tc>
        <w:tc>
          <w:tcPr>
            <w:tcW w:w="0" w:type="dxa"/>
            <w:vAlign w:val="bottom"/>
          </w:tcPr>
          <w:p>
            <w:pPr>
              <w:spacing w:after="0"/>
              <w:rPr>
                <w:sz w:val="1"/>
                <w:szCs w:val="1"/>
                <w:color w:val="auto"/>
              </w:rPr>
            </w:pPr>
          </w:p>
        </w:tc>
      </w:tr>
      <w:tr>
        <w:trPr>
          <w:trHeight w:val="204"/>
        </w:trPr>
        <w:tc>
          <w:tcPr>
            <w:tcW w:w="3380" w:type="dxa"/>
            <w:vAlign w:val="bottom"/>
          </w:tcPr>
          <w:p>
            <w:pPr>
              <w:spacing w:after="0"/>
              <w:rPr>
                <w:sz w:val="20"/>
                <w:szCs w:val="20"/>
                <w:color w:val="auto"/>
              </w:rPr>
            </w:pPr>
            <w:r>
              <w:rPr>
                <w:rFonts w:ascii="Arial" w:cs="Arial" w:eastAsia="Arial" w:hAnsi="Arial"/>
                <w:sz w:val="11"/>
                <w:szCs w:val="11"/>
                <w:color w:val="auto"/>
              </w:rPr>
              <w:t>Net income</w:t>
            </w:r>
          </w:p>
        </w:tc>
        <w:tc>
          <w:tcPr>
            <w:tcW w:w="116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62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82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7"/>
                <w:szCs w:val="17"/>
                <w:color w:val="auto"/>
              </w:rPr>
            </w:pPr>
          </w:p>
        </w:tc>
        <w:tc>
          <w:tcPr>
            <w:tcW w:w="600" w:type="dxa"/>
            <w:vAlign w:val="bottom"/>
          </w:tcPr>
          <w:p>
            <w:pPr>
              <w:jc w:val="right"/>
              <w:ind w:right="23"/>
              <w:spacing w:after="0"/>
              <w:rPr>
                <w:sz w:val="20"/>
                <w:szCs w:val="20"/>
                <w:color w:val="auto"/>
              </w:rPr>
            </w:pPr>
            <w:r>
              <w:rPr>
                <w:rFonts w:ascii="Arial" w:cs="Arial" w:eastAsia="Arial" w:hAnsi="Arial"/>
                <w:sz w:val="11"/>
                <w:szCs w:val="11"/>
                <w:color w:val="auto"/>
              </w:rPr>
              <w:t>167,799</w:t>
            </w:r>
          </w:p>
        </w:tc>
        <w:tc>
          <w:tcPr>
            <w:tcW w:w="140" w:type="dxa"/>
            <w:vAlign w:val="bottom"/>
          </w:tcPr>
          <w:p>
            <w:pPr>
              <w:spacing w:after="0"/>
              <w:rPr>
                <w:sz w:val="17"/>
                <w:szCs w:val="17"/>
                <w:color w:val="auto"/>
              </w:rPr>
            </w:pPr>
          </w:p>
        </w:tc>
        <w:tc>
          <w:tcPr>
            <w:tcW w:w="84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880" w:type="dxa"/>
            <w:vAlign w:val="bottom"/>
          </w:tcPr>
          <w:p>
            <w:pPr>
              <w:jc w:val="right"/>
              <w:ind w:right="23"/>
              <w:spacing w:after="0"/>
              <w:rPr>
                <w:sz w:val="20"/>
                <w:szCs w:val="20"/>
                <w:color w:val="auto"/>
              </w:rPr>
            </w:pPr>
            <w:r>
              <w:rPr>
                <w:rFonts w:ascii="Arial" w:cs="Arial" w:eastAsia="Arial" w:hAnsi="Arial"/>
                <w:sz w:val="11"/>
                <w:szCs w:val="11"/>
                <w:color w:val="auto"/>
              </w:rPr>
              <w:t>87,197</w:t>
            </w:r>
          </w:p>
        </w:tc>
        <w:tc>
          <w:tcPr>
            <w:tcW w:w="820" w:type="dxa"/>
            <w:vAlign w:val="bottom"/>
          </w:tcPr>
          <w:p>
            <w:pPr>
              <w:jc w:val="right"/>
              <w:ind w:right="23"/>
              <w:spacing w:after="0"/>
              <w:rPr>
                <w:sz w:val="20"/>
                <w:szCs w:val="20"/>
                <w:color w:val="auto"/>
              </w:rPr>
            </w:pPr>
            <w:r>
              <w:rPr>
                <w:rFonts w:ascii="Arial" w:cs="Arial" w:eastAsia="Arial" w:hAnsi="Arial"/>
                <w:sz w:val="11"/>
                <w:szCs w:val="11"/>
                <w:color w:val="auto"/>
              </w:rPr>
              <w:t>254,996</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402</w:t>
            </w:r>
          </w:p>
        </w:tc>
        <w:tc>
          <w:tcPr>
            <w:tcW w:w="0" w:type="dxa"/>
            <w:vAlign w:val="bottom"/>
          </w:tcPr>
          <w:p>
            <w:pPr>
              <w:spacing w:after="0"/>
              <w:rPr>
                <w:sz w:val="1"/>
                <w:szCs w:val="1"/>
                <w:color w:val="auto"/>
              </w:rPr>
            </w:pPr>
          </w:p>
        </w:tc>
      </w:tr>
      <w:tr>
        <w:trPr>
          <w:trHeight w:val="204"/>
        </w:trPr>
        <w:tc>
          <w:tcPr>
            <w:tcW w:w="3380" w:type="dxa"/>
            <w:vAlign w:val="bottom"/>
          </w:tcPr>
          <w:p>
            <w:pPr>
              <w:spacing w:after="0"/>
              <w:rPr>
                <w:sz w:val="20"/>
                <w:szCs w:val="20"/>
                <w:color w:val="auto"/>
              </w:rPr>
            </w:pPr>
            <w:r>
              <w:rPr>
                <w:rFonts w:ascii="Arial" w:cs="Arial" w:eastAsia="Arial" w:hAnsi="Arial"/>
                <w:sz w:val="11"/>
                <w:szCs w:val="11"/>
                <w:color w:val="auto"/>
              </w:rPr>
              <w:t>Total other comprehensive income</w:t>
            </w:r>
          </w:p>
        </w:tc>
        <w:tc>
          <w:tcPr>
            <w:tcW w:w="116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62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82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7"/>
                <w:szCs w:val="17"/>
                <w:color w:val="auto"/>
              </w:rPr>
            </w:pPr>
          </w:p>
        </w:tc>
        <w:tc>
          <w:tcPr>
            <w:tcW w:w="60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7"/>
                <w:szCs w:val="17"/>
                <w:color w:val="auto"/>
              </w:rPr>
            </w:pPr>
          </w:p>
        </w:tc>
        <w:tc>
          <w:tcPr>
            <w:tcW w:w="840" w:type="dxa"/>
            <w:vAlign w:val="bottom"/>
          </w:tcPr>
          <w:p>
            <w:pPr>
              <w:jc w:val="right"/>
              <w:ind w:right="23"/>
              <w:spacing w:after="0"/>
              <w:rPr>
                <w:sz w:val="20"/>
                <w:szCs w:val="20"/>
                <w:color w:val="auto"/>
              </w:rPr>
            </w:pPr>
            <w:r>
              <w:rPr>
                <w:rFonts w:ascii="Arial" w:cs="Arial" w:eastAsia="Arial" w:hAnsi="Arial"/>
                <w:sz w:val="11"/>
                <w:szCs w:val="11"/>
                <w:color w:val="auto"/>
              </w:rPr>
              <w:t>4,223</w:t>
            </w:r>
          </w:p>
        </w:tc>
        <w:tc>
          <w:tcPr>
            <w:tcW w:w="88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820" w:type="dxa"/>
            <w:vAlign w:val="bottom"/>
          </w:tcPr>
          <w:p>
            <w:pPr>
              <w:jc w:val="right"/>
              <w:ind w:right="23"/>
              <w:spacing w:after="0"/>
              <w:rPr>
                <w:sz w:val="20"/>
                <w:szCs w:val="20"/>
                <w:color w:val="auto"/>
              </w:rPr>
            </w:pPr>
            <w:r>
              <w:rPr>
                <w:rFonts w:ascii="Arial" w:cs="Arial" w:eastAsia="Arial" w:hAnsi="Arial"/>
                <w:sz w:val="11"/>
                <w:szCs w:val="11"/>
                <w:color w:val="auto"/>
              </w:rPr>
              <w:t>4,223</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04"/>
        </w:trPr>
        <w:tc>
          <w:tcPr>
            <w:tcW w:w="3380" w:type="dxa"/>
            <w:vAlign w:val="bottom"/>
          </w:tcPr>
          <w:p>
            <w:pPr>
              <w:spacing w:after="0"/>
              <w:rPr>
                <w:sz w:val="20"/>
                <w:szCs w:val="20"/>
                <w:color w:val="auto"/>
              </w:rPr>
            </w:pPr>
            <w:r>
              <w:rPr>
                <w:rFonts w:ascii="Arial" w:cs="Arial" w:eastAsia="Arial" w:hAnsi="Arial"/>
                <w:sz w:val="11"/>
                <w:szCs w:val="11"/>
                <w:color w:val="auto"/>
              </w:rPr>
              <w:t>Contributions from and sales of noncontrolling interests</w:t>
            </w:r>
          </w:p>
        </w:tc>
        <w:tc>
          <w:tcPr>
            <w:tcW w:w="116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62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820" w:type="dxa"/>
            <w:vAlign w:val="bottom"/>
          </w:tcPr>
          <w:p>
            <w:pPr>
              <w:jc w:val="right"/>
              <w:ind w:right="3"/>
              <w:spacing w:after="0"/>
              <w:rPr>
                <w:sz w:val="20"/>
                <w:szCs w:val="20"/>
                <w:color w:val="auto"/>
              </w:rPr>
            </w:pPr>
            <w:r>
              <w:rPr>
                <w:rFonts w:ascii="Arial" w:cs="Arial" w:eastAsia="Arial" w:hAnsi="Arial"/>
                <w:sz w:val="11"/>
                <w:szCs w:val="11"/>
                <w:color w:val="auto"/>
              </w:rPr>
              <w:t>23,945</w:t>
            </w:r>
          </w:p>
        </w:tc>
        <w:tc>
          <w:tcPr>
            <w:tcW w:w="140" w:type="dxa"/>
            <w:vAlign w:val="bottom"/>
          </w:tcPr>
          <w:p>
            <w:pPr>
              <w:spacing w:after="0"/>
              <w:rPr>
                <w:sz w:val="17"/>
                <w:szCs w:val="17"/>
                <w:color w:val="auto"/>
              </w:rPr>
            </w:pPr>
          </w:p>
        </w:tc>
        <w:tc>
          <w:tcPr>
            <w:tcW w:w="60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7"/>
                <w:szCs w:val="17"/>
                <w:color w:val="auto"/>
              </w:rPr>
            </w:pPr>
          </w:p>
        </w:tc>
        <w:tc>
          <w:tcPr>
            <w:tcW w:w="84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880" w:type="dxa"/>
            <w:vAlign w:val="bottom"/>
          </w:tcPr>
          <w:p>
            <w:pPr>
              <w:jc w:val="right"/>
              <w:ind w:right="23"/>
              <w:spacing w:after="0"/>
              <w:rPr>
                <w:sz w:val="20"/>
                <w:szCs w:val="20"/>
                <w:color w:val="auto"/>
              </w:rPr>
            </w:pPr>
            <w:r>
              <w:rPr>
                <w:rFonts w:ascii="Arial" w:cs="Arial" w:eastAsia="Arial" w:hAnsi="Arial"/>
                <w:sz w:val="11"/>
                <w:szCs w:val="11"/>
                <w:color w:val="auto"/>
              </w:rPr>
              <w:t>270,722</w:t>
            </w:r>
          </w:p>
        </w:tc>
        <w:tc>
          <w:tcPr>
            <w:tcW w:w="820" w:type="dxa"/>
            <w:vAlign w:val="bottom"/>
          </w:tcPr>
          <w:p>
            <w:pPr>
              <w:jc w:val="right"/>
              <w:ind w:right="23"/>
              <w:spacing w:after="0"/>
              <w:rPr>
                <w:sz w:val="20"/>
                <w:szCs w:val="20"/>
                <w:color w:val="auto"/>
              </w:rPr>
            </w:pPr>
            <w:r>
              <w:rPr>
                <w:rFonts w:ascii="Arial" w:cs="Arial" w:eastAsia="Arial" w:hAnsi="Arial"/>
                <w:sz w:val="11"/>
                <w:szCs w:val="11"/>
                <w:color w:val="auto"/>
              </w:rPr>
              <w:t>294,667</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35,250</w:t>
            </w:r>
          </w:p>
        </w:tc>
        <w:tc>
          <w:tcPr>
            <w:tcW w:w="0" w:type="dxa"/>
            <w:vAlign w:val="bottom"/>
          </w:tcPr>
          <w:p>
            <w:pPr>
              <w:spacing w:after="0"/>
              <w:rPr>
                <w:sz w:val="1"/>
                <w:szCs w:val="1"/>
                <w:color w:val="auto"/>
              </w:rPr>
            </w:pPr>
          </w:p>
        </w:tc>
      </w:tr>
      <w:tr>
        <w:trPr>
          <w:trHeight w:val="204"/>
        </w:trPr>
        <w:tc>
          <w:tcPr>
            <w:tcW w:w="3380" w:type="dxa"/>
            <w:vAlign w:val="bottom"/>
          </w:tcPr>
          <w:p>
            <w:pPr>
              <w:spacing w:after="0"/>
              <w:rPr>
                <w:sz w:val="20"/>
                <w:szCs w:val="20"/>
                <w:color w:val="auto"/>
              </w:rPr>
            </w:pPr>
            <w:r>
              <w:rPr>
                <w:rFonts w:ascii="Arial" w:cs="Arial" w:eastAsia="Arial" w:hAnsi="Arial"/>
                <w:sz w:val="11"/>
                <w:szCs w:val="11"/>
                <w:color w:val="auto"/>
              </w:rPr>
              <w:t>Distributions to and redemption of noncontrolling interests</w:t>
            </w:r>
          </w:p>
        </w:tc>
        <w:tc>
          <w:tcPr>
            <w:tcW w:w="116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62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82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7"/>
                <w:szCs w:val="17"/>
                <w:color w:val="auto"/>
              </w:rPr>
            </w:pPr>
          </w:p>
        </w:tc>
        <w:tc>
          <w:tcPr>
            <w:tcW w:w="60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7"/>
                <w:szCs w:val="17"/>
                <w:color w:val="auto"/>
              </w:rPr>
            </w:pPr>
          </w:p>
        </w:tc>
        <w:tc>
          <w:tcPr>
            <w:tcW w:w="84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880" w:type="dxa"/>
            <w:vAlign w:val="bottom"/>
          </w:tcPr>
          <w:p>
            <w:pPr>
              <w:jc w:val="right"/>
              <w:spacing w:after="0"/>
              <w:rPr>
                <w:sz w:val="20"/>
                <w:szCs w:val="20"/>
                <w:color w:val="auto"/>
              </w:rPr>
            </w:pPr>
            <w:r>
              <w:rPr>
                <w:rFonts w:ascii="Arial" w:cs="Arial" w:eastAsia="Arial" w:hAnsi="Arial"/>
                <w:sz w:val="11"/>
                <w:szCs w:val="11"/>
                <w:color w:val="auto"/>
              </w:rPr>
              <w:t>(134,215)</w:t>
            </w:r>
          </w:p>
        </w:tc>
        <w:tc>
          <w:tcPr>
            <w:tcW w:w="820" w:type="dxa"/>
            <w:vAlign w:val="bottom"/>
          </w:tcPr>
          <w:p>
            <w:pPr>
              <w:jc w:val="right"/>
              <w:spacing w:after="0"/>
              <w:rPr>
                <w:sz w:val="20"/>
                <w:szCs w:val="20"/>
                <w:color w:val="auto"/>
              </w:rPr>
            </w:pPr>
            <w:r>
              <w:rPr>
                <w:rFonts w:ascii="Arial" w:cs="Arial" w:eastAsia="Arial" w:hAnsi="Arial"/>
                <w:sz w:val="11"/>
                <w:szCs w:val="11"/>
                <w:color w:val="auto"/>
              </w:rPr>
              <w:t>(134,215)</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(402)</w:t>
            </w:r>
          </w:p>
        </w:tc>
        <w:tc>
          <w:tcPr>
            <w:tcW w:w="0" w:type="dxa"/>
            <w:vAlign w:val="bottom"/>
          </w:tcPr>
          <w:p>
            <w:pPr>
              <w:spacing w:after="0"/>
              <w:rPr>
                <w:sz w:val="1"/>
                <w:szCs w:val="1"/>
                <w:color w:val="auto"/>
              </w:rPr>
            </w:pPr>
          </w:p>
        </w:tc>
      </w:tr>
      <w:tr>
        <w:trPr>
          <w:trHeight w:val="204"/>
        </w:trPr>
        <w:tc>
          <w:tcPr>
            <w:tcW w:w="3380" w:type="dxa"/>
            <w:vAlign w:val="bottom"/>
          </w:tcPr>
          <w:p>
            <w:pPr>
              <w:spacing w:after="0"/>
              <w:rPr>
                <w:sz w:val="20"/>
                <w:szCs w:val="20"/>
                <w:color w:val="auto"/>
              </w:rPr>
            </w:pPr>
            <w:r>
              <w:rPr>
                <w:rFonts w:ascii="Arial" w:cs="Arial" w:eastAsia="Arial" w:hAnsi="Arial"/>
                <w:sz w:val="11"/>
                <w:szCs w:val="11"/>
                <w:color w:val="auto"/>
              </w:rPr>
              <w:t>Transfer of noncontrolling interests</w:t>
            </w:r>
          </w:p>
        </w:tc>
        <w:tc>
          <w:tcPr>
            <w:tcW w:w="116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62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82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7"/>
                <w:szCs w:val="17"/>
                <w:color w:val="auto"/>
              </w:rPr>
            </w:pPr>
          </w:p>
        </w:tc>
        <w:tc>
          <w:tcPr>
            <w:tcW w:w="60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7"/>
                <w:szCs w:val="17"/>
                <w:color w:val="auto"/>
              </w:rPr>
            </w:pPr>
          </w:p>
        </w:tc>
        <w:tc>
          <w:tcPr>
            <w:tcW w:w="84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880" w:type="dxa"/>
            <w:vAlign w:val="bottom"/>
          </w:tcPr>
          <w:p>
            <w:pPr>
              <w:jc w:val="right"/>
              <w:spacing w:after="0"/>
              <w:rPr>
                <w:sz w:val="20"/>
                <w:szCs w:val="20"/>
                <w:color w:val="auto"/>
              </w:rPr>
            </w:pPr>
            <w:r>
              <w:rPr>
                <w:rFonts w:ascii="Arial" w:cs="Arial" w:eastAsia="Arial" w:hAnsi="Arial"/>
                <w:sz w:val="11"/>
                <w:szCs w:val="11"/>
                <w:color w:val="auto"/>
              </w:rPr>
              <w:t>(7,766)</w:t>
            </w:r>
          </w:p>
        </w:tc>
        <w:tc>
          <w:tcPr>
            <w:tcW w:w="820" w:type="dxa"/>
            <w:vAlign w:val="bottom"/>
          </w:tcPr>
          <w:p>
            <w:pPr>
              <w:jc w:val="right"/>
              <w:spacing w:after="0"/>
              <w:rPr>
                <w:sz w:val="20"/>
                <w:szCs w:val="20"/>
                <w:color w:val="auto"/>
              </w:rPr>
            </w:pPr>
            <w:r>
              <w:rPr>
                <w:rFonts w:ascii="Arial" w:cs="Arial" w:eastAsia="Arial" w:hAnsi="Arial"/>
                <w:sz w:val="11"/>
                <w:szCs w:val="11"/>
                <w:color w:val="auto"/>
              </w:rPr>
              <w:t>(7,766)</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7,766</w:t>
            </w:r>
          </w:p>
        </w:tc>
        <w:tc>
          <w:tcPr>
            <w:tcW w:w="0" w:type="dxa"/>
            <w:vAlign w:val="bottom"/>
          </w:tcPr>
          <w:p>
            <w:pPr>
              <w:spacing w:after="0"/>
              <w:rPr>
                <w:sz w:val="1"/>
                <w:szCs w:val="1"/>
                <w:color w:val="auto"/>
              </w:rPr>
            </w:pPr>
          </w:p>
        </w:tc>
      </w:tr>
    </w:tbl>
    <w:p>
      <w:pPr>
        <w:sectPr>
          <w:pgSz w:w="11900" w:h="16838" w:orient="portrait"/>
          <w:cols w:equalWidth="0" w:num="1">
            <w:col w:w="10300"/>
          </w:cols>
          <w:pgMar w:left="840" w:top="118" w:right="759" w:bottom="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780" w:type="dxa"/>
            <w:vAlign w:val="bottom"/>
          </w:tcPr>
          <w:p>
            <w:pPr>
              <w:ind w:left="20"/>
              <w:spacing w:after="0"/>
              <w:rPr>
                <w:sz w:val="20"/>
                <w:szCs w:val="20"/>
                <w:color w:val="auto"/>
              </w:rPr>
            </w:pPr>
            <w:r>
              <w:rPr>
                <w:rFonts w:ascii="Arial" w:cs="Arial" w:eastAsia="Arial" w:hAnsi="Arial"/>
                <w:sz w:val="11"/>
                <w:szCs w:val="11"/>
                <w:color w:val="auto"/>
              </w:rPr>
              <w:t>Issuance pursuant to stock plan</w:t>
            </w:r>
          </w:p>
        </w:tc>
        <w:tc>
          <w:tcPr>
            <w:tcW w:w="820" w:type="dxa"/>
            <w:vAlign w:val="bottom"/>
          </w:tcPr>
          <w:p>
            <w:pPr>
              <w:jc w:val="right"/>
              <w:ind w:right="43"/>
              <w:spacing w:after="0"/>
              <w:rPr>
                <w:sz w:val="20"/>
                <w:szCs w:val="20"/>
                <w:color w:val="auto"/>
              </w:rPr>
            </w:pPr>
            <w:r>
              <w:rPr>
                <w:rFonts w:ascii="Arial" w:cs="Arial" w:eastAsia="Arial" w:hAnsi="Arial"/>
                <w:sz w:val="11"/>
                <w:szCs w:val="11"/>
                <w:color w:val="auto"/>
              </w:rPr>
              <w:t>208,929</w:t>
            </w:r>
          </w:p>
        </w:tc>
        <w:tc>
          <w:tcPr>
            <w:tcW w:w="620" w:type="dxa"/>
            <w:vAlign w:val="bottom"/>
          </w:tcPr>
          <w:p>
            <w:pPr>
              <w:jc w:val="right"/>
              <w:ind w:right="43"/>
              <w:spacing w:after="0"/>
              <w:rPr>
                <w:sz w:val="20"/>
                <w:szCs w:val="20"/>
                <w:color w:val="auto"/>
              </w:rPr>
            </w:pPr>
            <w:r>
              <w:rPr>
                <w:rFonts w:ascii="Arial" w:cs="Arial" w:eastAsia="Arial" w:hAnsi="Arial"/>
                <w:sz w:val="11"/>
                <w:szCs w:val="11"/>
                <w:color w:val="auto"/>
              </w:rPr>
              <w:t>2</w:t>
            </w:r>
          </w:p>
        </w:tc>
        <w:tc>
          <w:tcPr>
            <w:tcW w:w="820" w:type="dxa"/>
            <w:vAlign w:val="bottom"/>
          </w:tcPr>
          <w:p>
            <w:pPr>
              <w:jc w:val="right"/>
              <w:ind w:right="43"/>
              <w:spacing w:after="0"/>
              <w:rPr>
                <w:sz w:val="20"/>
                <w:szCs w:val="20"/>
                <w:color w:val="auto"/>
              </w:rPr>
            </w:pPr>
            <w:r>
              <w:rPr>
                <w:rFonts w:ascii="Arial" w:cs="Arial" w:eastAsia="Arial" w:hAnsi="Arial"/>
                <w:sz w:val="11"/>
                <w:szCs w:val="11"/>
                <w:color w:val="auto"/>
              </w:rPr>
              <w:t>65,452</w:t>
            </w:r>
          </w:p>
        </w:tc>
        <w:tc>
          <w:tcPr>
            <w:tcW w:w="140" w:type="dxa"/>
            <w:vAlign w:val="bottom"/>
          </w:tcPr>
          <w:p>
            <w:pPr>
              <w:spacing w:after="0"/>
              <w:rPr>
                <w:sz w:val="10"/>
                <w:szCs w:val="10"/>
                <w:color w:val="auto"/>
              </w:rPr>
            </w:pPr>
          </w:p>
        </w:tc>
        <w:tc>
          <w:tcPr>
            <w:tcW w:w="880" w:type="dxa"/>
            <w:vAlign w:val="bottom"/>
            <w:gridSpan w:val="2"/>
          </w:tcPr>
          <w:p>
            <w:pPr>
              <w:jc w:val="right"/>
              <w:ind w:right="343"/>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43"/>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700" w:type="dxa"/>
            <w:vAlign w:val="bottom"/>
          </w:tcPr>
          <w:p>
            <w:pPr>
              <w:jc w:val="right"/>
              <w:ind w:right="43"/>
              <w:spacing w:after="0"/>
              <w:rPr>
                <w:sz w:val="20"/>
                <w:szCs w:val="20"/>
                <w:color w:val="auto"/>
              </w:rPr>
            </w:pPr>
            <w:r>
              <w:rPr>
                <w:rFonts w:ascii="Arial" w:cs="Arial" w:eastAsia="Arial" w:hAnsi="Arial"/>
                <w:sz w:val="11"/>
                <w:szCs w:val="11"/>
                <w:color w:val="auto"/>
              </w:rPr>
              <w:t>—</w:t>
            </w:r>
          </w:p>
        </w:tc>
        <w:tc>
          <w:tcPr>
            <w:tcW w:w="820" w:type="dxa"/>
            <w:vAlign w:val="bottom"/>
          </w:tcPr>
          <w:p>
            <w:pPr>
              <w:jc w:val="right"/>
              <w:ind w:right="43"/>
              <w:spacing w:after="0"/>
              <w:rPr>
                <w:sz w:val="20"/>
                <w:szCs w:val="20"/>
                <w:color w:val="auto"/>
              </w:rPr>
            </w:pPr>
            <w:r>
              <w:rPr>
                <w:rFonts w:ascii="Arial" w:cs="Arial" w:eastAsia="Arial" w:hAnsi="Arial"/>
                <w:sz w:val="11"/>
                <w:szCs w:val="11"/>
                <w:color w:val="auto"/>
              </w:rPr>
              <w:t>65,454</w:t>
            </w:r>
          </w:p>
        </w:tc>
        <w:tc>
          <w:tcPr>
            <w:tcW w:w="28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50"/>
        </w:trPr>
        <w:tc>
          <w:tcPr>
            <w:tcW w:w="3780" w:type="dxa"/>
            <w:vAlign w:val="bottom"/>
          </w:tcPr>
          <w:p>
            <w:pPr>
              <w:ind w:left="20"/>
              <w:spacing w:after="0"/>
              <w:rPr>
                <w:sz w:val="20"/>
                <w:szCs w:val="20"/>
                <w:color w:val="auto"/>
              </w:rPr>
            </w:pPr>
            <w:r>
              <w:rPr>
                <w:rFonts w:ascii="Arial" w:cs="Arial" w:eastAsia="Arial" w:hAnsi="Arial"/>
                <w:sz w:val="11"/>
                <w:szCs w:val="11"/>
                <w:color w:val="auto"/>
              </w:rPr>
              <w:t>Taxes related to net settlement of equity awards</w:t>
            </w:r>
          </w:p>
        </w:tc>
        <w:tc>
          <w:tcPr>
            <w:tcW w:w="820" w:type="dxa"/>
            <w:vAlign w:val="bottom"/>
          </w:tcPr>
          <w:p>
            <w:pPr>
              <w:jc w:val="right"/>
              <w:ind w:right="3"/>
              <w:spacing w:after="0"/>
              <w:rPr>
                <w:sz w:val="20"/>
                <w:szCs w:val="20"/>
                <w:color w:val="auto"/>
              </w:rPr>
            </w:pPr>
            <w:r>
              <w:rPr>
                <w:rFonts w:ascii="Arial" w:cs="Arial" w:eastAsia="Arial" w:hAnsi="Arial"/>
                <w:sz w:val="11"/>
                <w:szCs w:val="11"/>
                <w:color w:val="auto"/>
              </w:rPr>
              <w:t>(87,546)</w:t>
            </w:r>
          </w:p>
        </w:tc>
        <w:tc>
          <w:tcPr>
            <w:tcW w:w="620" w:type="dxa"/>
            <w:vAlign w:val="bottom"/>
          </w:tcPr>
          <w:p>
            <w:pPr>
              <w:jc w:val="right"/>
              <w:ind w:right="43"/>
              <w:spacing w:after="0"/>
              <w:rPr>
                <w:sz w:val="20"/>
                <w:szCs w:val="20"/>
                <w:color w:val="auto"/>
              </w:rPr>
            </w:pPr>
            <w:r>
              <w:rPr>
                <w:rFonts w:ascii="Arial" w:cs="Arial" w:eastAsia="Arial" w:hAnsi="Arial"/>
                <w:sz w:val="11"/>
                <w:szCs w:val="11"/>
                <w:color w:val="auto"/>
              </w:rPr>
              <w:t>—</w:t>
            </w:r>
          </w:p>
        </w:tc>
        <w:tc>
          <w:tcPr>
            <w:tcW w:w="820" w:type="dxa"/>
            <w:vAlign w:val="bottom"/>
          </w:tcPr>
          <w:p>
            <w:pPr>
              <w:jc w:val="right"/>
              <w:ind w:right="3"/>
              <w:spacing w:after="0"/>
              <w:rPr>
                <w:sz w:val="20"/>
                <w:szCs w:val="20"/>
                <w:color w:val="auto"/>
              </w:rPr>
            </w:pPr>
            <w:r>
              <w:rPr>
                <w:rFonts w:ascii="Arial" w:cs="Arial" w:eastAsia="Arial" w:hAnsi="Arial"/>
                <w:sz w:val="11"/>
                <w:szCs w:val="11"/>
                <w:color w:val="auto"/>
              </w:rPr>
              <w:t>(12,469)</w:t>
            </w:r>
          </w:p>
        </w:tc>
        <w:tc>
          <w:tcPr>
            <w:tcW w:w="140" w:type="dxa"/>
            <w:vAlign w:val="bottom"/>
          </w:tcPr>
          <w:p>
            <w:pPr>
              <w:spacing w:after="0"/>
              <w:rPr>
                <w:sz w:val="13"/>
                <w:szCs w:val="13"/>
                <w:color w:val="auto"/>
              </w:rPr>
            </w:pPr>
          </w:p>
        </w:tc>
        <w:tc>
          <w:tcPr>
            <w:tcW w:w="880" w:type="dxa"/>
            <w:vAlign w:val="bottom"/>
            <w:gridSpan w:val="2"/>
          </w:tcPr>
          <w:p>
            <w:pPr>
              <w:jc w:val="right"/>
              <w:ind w:right="343"/>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43"/>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700" w:type="dxa"/>
            <w:vAlign w:val="bottom"/>
          </w:tcPr>
          <w:p>
            <w:pPr>
              <w:jc w:val="right"/>
              <w:ind w:right="43"/>
              <w:spacing w:after="0"/>
              <w:rPr>
                <w:sz w:val="20"/>
                <w:szCs w:val="20"/>
                <w:color w:val="auto"/>
              </w:rPr>
            </w:pPr>
            <w:r>
              <w:rPr>
                <w:rFonts w:ascii="Arial" w:cs="Arial" w:eastAsia="Arial" w:hAnsi="Arial"/>
                <w:sz w:val="11"/>
                <w:szCs w:val="11"/>
                <w:color w:val="auto"/>
              </w:rPr>
              <w:t>—</w:t>
            </w:r>
          </w:p>
        </w:tc>
        <w:tc>
          <w:tcPr>
            <w:tcW w:w="820" w:type="dxa"/>
            <w:vAlign w:val="bottom"/>
          </w:tcPr>
          <w:p>
            <w:pPr>
              <w:jc w:val="right"/>
              <w:ind w:right="3"/>
              <w:spacing w:after="0"/>
              <w:rPr>
                <w:sz w:val="20"/>
                <w:szCs w:val="20"/>
                <w:color w:val="auto"/>
              </w:rPr>
            </w:pPr>
            <w:r>
              <w:rPr>
                <w:rFonts w:ascii="Arial" w:cs="Arial" w:eastAsia="Arial" w:hAnsi="Arial"/>
                <w:sz w:val="11"/>
                <w:szCs w:val="11"/>
                <w:color w:val="auto"/>
              </w:rPr>
              <w:t>(12,469)</w:t>
            </w:r>
          </w:p>
        </w:tc>
        <w:tc>
          <w:tcPr>
            <w:tcW w:w="2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204"/>
        </w:trPr>
        <w:tc>
          <w:tcPr>
            <w:tcW w:w="3780" w:type="dxa"/>
            <w:vAlign w:val="bottom"/>
          </w:tcPr>
          <w:p>
            <w:pPr>
              <w:ind w:left="20"/>
              <w:spacing w:after="0"/>
              <w:rPr>
                <w:sz w:val="20"/>
                <w:szCs w:val="20"/>
                <w:color w:val="auto"/>
              </w:rPr>
            </w:pPr>
            <w:r>
              <w:rPr>
                <w:rFonts w:ascii="Arial" w:cs="Arial" w:eastAsia="Arial" w:hAnsi="Arial"/>
                <w:sz w:val="11"/>
                <w:szCs w:val="11"/>
                <w:color w:val="auto"/>
              </w:rPr>
              <w:t>Dividends declared on common stock ($2.45 per share)</w:t>
            </w:r>
          </w:p>
        </w:tc>
        <w:tc>
          <w:tcPr>
            <w:tcW w:w="820" w:type="dxa"/>
            <w:vAlign w:val="bottom"/>
          </w:tcPr>
          <w:p>
            <w:pPr>
              <w:jc w:val="right"/>
              <w:ind w:right="43"/>
              <w:spacing w:after="0"/>
              <w:rPr>
                <w:sz w:val="20"/>
                <w:szCs w:val="20"/>
                <w:color w:val="auto"/>
              </w:rPr>
            </w:pPr>
            <w:r>
              <w:rPr>
                <w:rFonts w:ascii="Arial" w:cs="Arial" w:eastAsia="Arial" w:hAnsi="Arial"/>
                <w:sz w:val="11"/>
                <w:szCs w:val="11"/>
                <w:color w:val="auto"/>
              </w:rPr>
              <w:t>—</w:t>
            </w:r>
          </w:p>
        </w:tc>
        <w:tc>
          <w:tcPr>
            <w:tcW w:w="620" w:type="dxa"/>
            <w:vAlign w:val="bottom"/>
          </w:tcPr>
          <w:p>
            <w:pPr>
              <w:jc w:val="right"/>
              <w:ind w:right="43"/>
              <w:spacing w:after="0"/>
              <w:rPr>
                <w:sz w:val="20"/>
                <w:szCs w:val="20"/>
                <w:color w:val="auto"/>
              </w:rPr>
            </w:pPr>
            <w:r>
              <w:rPr>
                <w:rFonts w:ascii="Arial" w:cs="Arial" w:eastAsia="Arial" w:hAnsi="Arial"/>
                <w:sz w:val="11"/>
                <w:szCs w:val="11"/>
                <w:color w:val="auto"/>
              </w:rPr>
              <w:t>—</w:t>
            </w:r>
          </w:p>
        </w:tc>
        <w:tc>
          <w:tcPr>
            <w:tcW w:w="820" w:type="dxa"/>
            <w:vAlign w:val="bottom"/>
          </w:tcPr>
          <w:p>
            <w:pPr>
              <w:jc w:val="right"/>
              <w:ind w:right="43"/>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(423,901)</w:t>
            </w:r>
          </w:p>
        </w:tc>
        <w:tc>
          <w:tcPr>
            <w:tcW w:w="320" w:type="dxa"/>
            <w:vAlign w:val="bottom"/>
          </w:tcPr>
          <w:p>
            <w:pPr>
              <w:spacing w:after="0"/>
              <w:rPr>
                <w:sz w:val="17"/>
                <w:szCs w:val="17"/>
                <w:color w:val="auto"/>
              </w:rPr>
            </w:pPr>
          </w:p>
        </w:tc>
        <w:tc>
          <w:tcPr>
            <w:tcW w:w="680" w:type="dxa"/>
            <w:vAlign w:val="bottom"/>
          </w:tcPr>
          <w:p>
            <w:pPr>
              <w:jc w:val="right"/>
              <w:ind w:right="43"/>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7"/>
                <w:szCs w:val="17"/>
                <w:color w:val="auto"/>
              </w:rPr>
            </w:pPr>
          </w:p>
        </w:tc>
        <w:tc>
          <w:tcPr>
            <w:tcW w:w="700" w:type="dxa"/>
            <w:vAlign w:val="bottom"/>
          </w:tcPr>
          <w:p>
            <w:pPr>
              <w:jc w:val="right"/>
              <w:ind w:right="43"/>
              <w:spacing w:after="0"/>
              <w:rPr>
                <w:sz w:val="20"/>
                <w:szCs w:val="20"/>
                <w:color w:val="auto"/>
              </w:rPr>
            </w:pPr>
            <w:r>
              <w:rPr>
                <w:rFonts w:ascii="Arial" w:cs="Arial" w:eastAsia="Arial" w:hAnsi="Arial"/>
                <w:sz w:val="11"/>
                <w:szCs w:val="11"/>
                <w:color w:val="auto"/>
              </w:rPr>
              <w:t>—</w:t>
            </w:r>
          </w:p>
        </w:tc>
        <w:tc>
          <w:tcPr>
            <w:tcW w:w="820" w:type="dxa"/>
            <w:vAlign w:val="bottom"/>
          </w:tcPr>
          <w:p>
            <w:pPr>
              <w:jc w:val="right"/>
              <w:ind w:right="3"/>
              <w:spacing w:after="0"/>
              <w:rPr>
                <w:sz w:val="20"/>
                <w:szCs w:val="20"/>
                <w:color w:val="auto"/>
              </w:rPr>
            </w:pPr>
            <w:r>
              <w:rPr>
                <w:rFonts w:ascii="Arial" w:cs="Arial" w:eastAsia="Arial" w:hAnsi="Arial"/>
                <w:sz w:val="11"/>
                <w:szCs w:val="11"/>
                <w:color w:val="auto"/>
              </w:rPr>
              <w:t>(423,901)</w:t>
            </w:r>
          </w:p>
        </w:tc>
        <w:tc>
          <w:tcPr>
            <w:tcW w:w="2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204"/>
        </w:trPr>
        <w:tc>
          <w:tcPr>
            <w:tcW w:w="3780" w:type="dxa"/>
            <w:vAlign w:val="bottom"/>
          </w:tcPr>
          <w:p>
            <w:pPr>
              <w:ind w:left="20"/>
              <w:spacing w:after="0"/>
              <w:rPr>
                <w:sz w:val="20"/>
                <w:szCs w:val="20"/>
                <w:color w:val="auto"/>
              </w:rPr>
            </w:pPr>
            <w:r>
              <w:rPr>
                <w:rFonts w:ascii="Arial" w:cs="Arial" w:eastAsia="Arial" w:hAnsi="Arial"/>
                <w:sz w:val="11"/>
                <w:szCs w:val="11"/>
                <w:color w:val="auto"/>
              </w:rPr>
              <w:t>Reclassification of distributions in excess of earnings</w:t>
            </w:r>
          </w:p>
        </w:tc>
        <w:tc>
          <w:tcPr>
            <w:tcW w:w="820" w:type="dxa"/>
            <w:vAlign w:val="bottom"/>
          </w:tcPr>
          <w:p>
            <w:pPr>
              <w:jc w:val="right"/>
              <w:ind w:right="43"/>
              <w:spacing w:after="0"/>
              <w:rPr>
                <w:sz w:val="20"/>
                <w:szCs w:val="20"/>
                <w:color w:val="auto"/>
              </w:rPr>
            </w:pPr>
            <w:r>
              <w:rPr>
                <w:rFonts w:ascii="Arial" w:cs="Arial" w:eastAsia="Arial" w:hAnsi="Arial"/>
                <w:sz w:val="11"/>
                <w:szCs w:val="11"/>
                <w:color w:val="auto"/>
              </w:rPr>
              <w:t>—</w:t>
            </w:r>
          </w:p>
        </w:tc>
        <w:tc>
          <w:tcPr>
            <w:tcW w:w="620" w:type="dxa"/>
            <w:vAlign w:val="bottom"/>
          </w:tcPr>
          <w:p>
            <w:pPr>
              <w:jc w:val="right"/>
              <w:ind w:right="43"/>
              <w:spacing w:after="0"/>
              <w:rPr>
                <w:sz w:val="20"/>
                <w:szCs w:val="20"/>
                <w:color w:val="auto"/>
              </w:rPr>
            </w:pPr>
            <w:r>
              <w:rPr>
                <w:rFonts w:ascii="Arial" w:cs="Arial" w:eastAsia="Arial" w:hAnsi="Arial"/>
                <w:sz w:val="11"/>
                <w:szCs w:val="11"/>
                <w:color w:val="auto"/>
              </w:rPr>
              <w:t>—</w:t>
            </w:r>
          </w:p>
        </w:tc>
        <w:tc>
          <w:tcPr>
            <w:tcW w:w="820" w:type="dxa"/>
            <w:vAlign w:val="bottom"/>
          </w:tcPr>
          <w:p>
            <w:pPr>
              <w:jc w:val="right"/>
              <w:ind w:right="3"/>
              <w:spacing w:after="0"/>
              <w:rPr>
                <w:sz w:val="20"/>
                <w:szCs w:val="20"/>
                <w:color w:val="auto"/>
              </w:rPr>
            </w:pPr>
            <w:r>
              <w:rPr>
                <w:rFonts w:ascii="Arial" w:cs="Arial" w:eastAsia="Arial" w:hAnsi="Arial"/>
                <w:sz w:val="11"/>
                <w:szCs w:val="11"/>
                <w:color w:val="auto"/>
              </w:rPr>
              <w:t>(256,102)</w:t>
            </w:r>
          </w:p>
        </w:tc>
        <w:tc>
          <w:tcPr>
            <w:tcW w:w="140" w:type="dxa"/>
            <w:vAlign w:val="bottom"/>
          </w:tcPr>
          <w:p>
            <w:pPr>
              <w:spacing w:after="0"/>
              <w:rPr>
                <w:sz w:val="17"/>
                <w:szCs w:val="17"/>
                <w:color w:val="auto"/>
              </w:rPr>
            </w:pPr>
          </w:p>
        </w:tc>
        <w:tc>
          <w:tcPr>
            <w:tcW w:w="560" w:type="dxa"/>
            <w:vAlign w:val="bottom"/>
          </w:tcPr>
          <w:p>
            <w:pPr>
              <w:jc w:val="right"/>
              <w:ind w:right="23"/>
              <w:spacing w:after="0"/>
              <w:rPr>
                <w:sz w:val="20"/>
                <w:szCs w:val="20"/>
                <w:color w:val="auto"/>
              </w:rPr>
            </w:pPr>
            <w:r>
              <w:rPr>
                <w:rFonts w:ascii="Arial" w:cs="Arial" w:eastAsia="Arial" w:hAnsi="Arial"/>
                <w:sz w:val="11"/>
                <w:szCs w:val="11"/>
                <w:color w:val="auto"/>
              </w:rPr>
              <w:t>256,102</w:t>
            </w:r>
          </w:p>
        </w:tc>
        <w:tc>
          <w:tcPr>
            <w:tcW w:w="320" w:type="dxa"/>
            <w:vAlign w:val="bottom"/>
          </w:tcPr>
          <w:p>
            <w:pPr>
              <w:spacing w:after="0"/>
              <w:rPr>
                <w:sz w:val="17"/>
                <w:szCs w:val="17"/>
                <w:color w:val="auto"/>
              </w:rPr>
            </w:pPr>
          </w:p>
        </w:tc>
        <w:tc>
          <w:tcPr>
            <w:tcW w:w="680" w:type="dxa"/>
            <w:vAlign w:val="bottom"/>
          </w:tcPr>
          <w:p>
            <w:pPr>
              <w:jc w:val="right"/>
              <w:ind w:right="43"/>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7"/>
                <w:szCs w:val="17"/>
                <w:color w:val="auto"/>
              </w:rPr>
            </w:pPr>
          </w:p>
        </w:tc>
        <w:tc>
          <w:tcPr>
            <w:tcW w:w="700" w:type="dxa"/>
            <w:vAlign w:val="bottom"/>
          </w:tcPr>
          <w:p>
            <w:pPr>
              <w:jc w:val="right"/>
              <w:ind w:right="43"/>
              <w:spacing w:after="0"/>
              <w:rPr>
                <w:sz w:val="20"/>
                <w:szCs w:val="20"/>
                <w:color w:val="auto"/>
              </w:rPr>
            </w:pPr>
            <w:r>
              <w:rPr>
                <w:rFonts w:ascii="Arial" w:cs="Arial" w:eastAsia="Arial" w:hAnsi="Arial"/>
                <w:sz w:val="11"/>
                <w:szCs w:val="11"/>
                <w:color w:val="auto"/>
              </w:rPr>
              <w:t>—</w:t>
            </w:r>
          </w:p>
        </w:tc>
        <w:tc>
          <w:tcPr>
            <w:tcW w:w="820" w:type="dxa"/>
            <w:vAlign w:val="bottom"/>
          </w:tcPr>
          <w:p>
            <w:pPr>
              <w:jc w:val="right"/>
              <w:ind w:right="43"/>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93"/>
        </w:trPr>
        <w:tc>
          <w:tcPr>
            <w:tcW w:w="3780" w:type="dxa"/>
            <w:vAlign w:val="bottom"/>
          </w:tcPr>
          <w:p>
            <w:pPr>
              <w:spacing w:after="0"/>
              <w:rPr>
                <w:sz w:val="8"/>
                <w:szCs w:val="8"/>
                <w:color w:val="auto"/>
              </w:rPr>
            </w:pPr>
          </w:p>
        </w:tc>
        <w:tc>
          <w:tcPr>
            <w:tcW w:w="8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r>
      <w:tr>
        <w:trPr>
          <w:trHeight w:val="150"/>
        </w:trPr>
        <w:tc>
          <w:tcPr>
            <w:tcW w:w="3780" w:type="dxa"/>
            <w:vAlign w:val="bottom"/>
            <w:shd w:val="clear" w:color="auto" w:fill="CCEEFF"/>
          </w:tcPr>
          <w:p>
            <w:pPr>
              <w:ind w:left="20"/>
              <w:spacing w:after="0"/>
              <w:rPr>
                <w:sz w:val="20"/>
                <w:szCs w:val="20"/>
                <w:color w:val="auto"/>
              </w:rPr>
            </w:pPr>
            <w:r>
              <w:rPr>
                <w:rFonts w:ascii="Arial" w:cs="Arial" w:eastAsia="Arial" w:hAnsi="Arial"/>
                <w:sz w:val="11"/>
                <w:szCs w:val="11"/>
                <w:color w:val="auto"/>
              </w:rPr>
              <w:t>Balance as of June 30, 2023</w:t>
            </w:r>
          </w:p>
        </w:tc>
        <w:tc>
          <w:tcPr>
            <w:tcW w:w="82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170,869,778</w:t>
            </w:r>
          </w:p>
        </w:tc>
        <w:tc>
          <w:tcPr>
            <w:tcW w:w="62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  1,709</w:t>
            </w:r>
          </w:p>
        </w:tc>
        <w:tc>
          <w:tcPr>
            <w:tcW w:w="82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$ 18,812,318</w:t>
            </w:r>
          </w:p>
        </w:tc>
        <w:tc>
          <w:tcPr>
            <w:tcW w:w="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320" w:type="dxa"/>
            <w:vAlign w:val="bottom"/>
            <w:shd w:val="clear" w:color="auto" w:fill="CCEEFF"/>
          </w:tcPr>
          <w:p>
            <w:pPr>
              <w:jc w:val="right"/>
              <w:ind w:right="143"/>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(16,589)</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70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3,917,186</w:t>
            </w:r>
          </w:p>
        </w:tc>
        <w:tc>
          <w:tcPr>
            <w:tcW w:w="82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$ 22,714,624</w:t>
            </w: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1"/>
                <w:szCs w:val="1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52,628</w:t>
            </w:r>
          </w:p>
        </w:tc>
      </w:tr>
      <w:tr>
        <w:trPr>
          <w:trHeight w:val="54"/>
        </w:trPr>
        <w:tc>
          <w:tcPr>
            <w:tcW w:w="3780" w:type="dxa"/>
            <w:vAlign w:val="bottom"/>
            <w:shd w:val="clear" w:color="auto" w:fill="CCEEFF"/>
          </w:tcPr>
          <w:p>
            <w:pPr>
              <w:spacing w:after="0"/>
              <w:rPr>
                <w:sz w:val="4"/>
                <w:szCs w:val="4"/>
                <w:color w:val="auto"/>
              </w:rPr>
            </w:pPr>
          </w:p>
        </w:tc>
        <w:tc>
          <w:tcPr>
            <w:tcW w:w="820" w:type="dxa"/>
            <w:vAlign w:val="bottom"/>
            <w:shd w:val="clear" w:color="auto" w:fill="CCEEFF"/>
          </w:tcPr>
          <w:p>
            <w:pPr>
              <w:spacing w:after="0"/>
              <w:rPr>
                <w:sz w:val="4"/>
                <w:szCs w:val="4"/>
                <w:color w:val="auto"/>
              </w:rPr>
            </w:pPr>
          </w:p>
        </w:tc>
        <w:tc>
          <w:tcPr>
            <w:tcW w:w="620" w:type="dxa"/>
            <w:vAlign w:val="bottom"/>
            <w:shd w:val="clear" w:color="auto" w:fill="CCEEFF"/>
          </w:tcPr>
          <w:p>
            <w:pPr>
              <w:spacing w:after="0"/>
              <w:rPr>
                <w:sz w:val="4"/>
                <w:szCs w:val="4"/>
                <w:color w:val="auto"/>
              </w:rPr>
            </w:pPr>
          </w:p>
        </w:tc>
        <w:tc>
          <w:tcPr>
            <w:tcW w:w="82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560" w:type="dxa"/>
            <w:vAlign w:val="bottom"/>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700" w:type="dxa"/>
            <w:vAlign w:val="bottom"/>
            <w:shd w:val="clear" w:color="auto" w:fill="CCEEFF"/>
          </w:tcPr>
          <w:p>
            <w:pPr>
              <w:spacing w:after="0"/>
              <w:rPr>
                <w:sz w:val="4"/>
                <w:szCs w:val="4"/>
                <w:color w:val="auto"/>
              </w:rPr>
            </w:pPr>
          </w:p>
        </w:tc>
        <w:tc>
          <w:tcPr>
            <w:tcW w:w="82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58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-341630</wp:posOffset>
            </wp:positionH>
            <wp:positionV relativeFrom="paragraph">
              <wp:posOffset>-606425</wp:posOffset>
            </wp:positionV>
            <wp:extent cx="7212965" cy="31534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2965" cy="3153410"/>
                    </a:xfrm>
                    <a:prstGeom prst="rect">
                      <a:avLst/>
                    </a:prstGeom>
                    <a:noFill/>
                  </pic:spPr>
                </pic:pic>
              </a:graphicData>
            </a:graphic>
          </wp:anchor>
        </w:drawing>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448945</wp:posOffset>
            </wp:positionH>
            <wp:positionV relativeFrom="paragraph">
              <wp:posOffset>188595</wp:posOffset>
            </wp:positionV>
            <wp:extent cx="5584190" cy="72205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Alexandria Real Estate Equities, Inc.</w:t>
      </w:r>
    </w:p>
    <w:p>
      <w:pPr>
        <w:jc w:val="center"/>
        <w:ind w:right="100"/>
        <w:spacing w:after="0" w:line="206" w:lineRule="auto"/>
        <w:rPr>
          <w:sz w:val="20"/>
          <w:szCs w:val="20"/>
          <w:color w:val="auto"/>
        </w:rPr>
      </w:pPr>
      <w:r>
        <w:rPr>
          <w:rFonts w:ascii="Arial" w:cs="Arial" w:eastAsia="Arial" w:hAnsi="Arial"/>
          <w:sz w:val="13"/>
          <w:szCs w:val="13"/>
          <w:b w:val="1"/>
          <w:bCs w:val="1"/>
          <w:color w:val="auto"/>
        </w:rPr>
        <w:t>Consolidated Statements of Cash Flows</w:t>
      </w:r>
    </w:p>
    <w:p>
      <w:pPr>
        <w:jc w:val="center"/>
        <w:ind w:right="100"/>
        <w:spacing w:after="0" w:line="207" w:lineRule="auto"/>
        <w:rPr>
          <w:sz w:val="20"/>
          <w:szCs w:val="20"/>
          <w:color w:val="auto"/>
        </w:rPr>
      </w:pPr>
      <w:r>
        <w:rPr>
          <w:rFonts w:ascii="Arial" w:cs="Arial" w:eastAsia="Arial" w:hAnsi="Arial"/>
          <w:sz w:val="13"/>
          <w:szCs w:val="13"/>
          <w:i w:val="1"/>
          <w:iCs w:val="1"/>
          <w:color w:val="auto"/>
        </w:rPr>
        <w:t>(In thousands)</w:t>
      </w:r>
    </w:p>
    <w:p>
      <w:pPr>
        <w:jc w:val="center"/>
        <w:ind w:right="100"/>
        <w:spacing w:after="0"/>
        <w:rPr>
          <w:sz w:val="20"/>
          <w:szCs w:val="20"/>
          <w:color w:val="auto"/>
        </w:rPr>
      </w:pPr>
      <w:r>
        <w:rPr>
          <w:rFonts w:ascii="Arial" w:cs="Arial" w:eastAsia="Arial" w:hAnsi="Arial"/>
          <w:sz w:val="13"/>
          <w:szCs w:val="13"/>
          <w:i w:val="1"/>
          <w:iCs w:val="1"/>
          <w:color w:val="auto"/>
        </w:rPr>
        <w:t>(Unaudited)</w:t>
      </w:r>
    </w:p>
    <w:p>
      <w:pPr>
        <w:spacing w:after="0" w:line="171" w:lineRule="exact"/>
        <w:rPr>
          <w:sz w:val="20"/>
          <w:szCs w:val="20"/>
          <w:color w:val="auto"/>
        </w:rPr>
      </w:pPr>
    </w:p>
    <w:tbl>
      <w:tblPr>
        <w:tblLayout w:type="fixed"/>
        <w:tblInd w:w="1240" w:type="dxa"/>
        <w:tblCellMar>
          <w:top w:w="0" w:type="dxa"/>
          <w:left w:w="0" w:type="dxa"/>
          <w:bottom w:w="0" w:type="dxa"/>
          <w:right w:w="0" w:type="dxa"/>
        </w:tblCellMar>
      </w:tblPr>
      <w:tr>
        <w:trPr>
          <w:trHeight w:val="161"/>
        </w:trPr>
        <w:tc>
          <w:tcPr>
            <w:tcW w:w="55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000" w:type="dxa"/>
            <w:vAlign w:val="bottom"/>
            <w:tcBorders>
              <w:bottom w:val="single" w:sz="8" w:color="auto"/>
            </w:tcBorders>
            <w:gridSpan w:val="4"/>
          </w:tcPr>
          <w:p>
            <w:pPr>
              <w:jc w:val="right"/>
              <w:ind w:right="256"/>
              <w:spacing w:after="0"/>
              <w:rPr>
                <w:sz w:val="20"/>
                <w:szCs w:val="20"/>
                <w:color w:val="auto"/>
              </w:rPr>
            </w:pPr>
            <w:r>
              <w:rPr>
                <w:rFonts w:ascii="Arial" w:cs="Arial" w:eastAsia="Arial" w:hAnsi="Arial"/>
                <w:sz w:val="13"/>
                <w:szCs w:val="13"/>
                <w:color w:val="auto"/>
              </w:rPr>
              <w:t>Six Months Ended June 30,</w:t>
            </w:r>
          </w:p>
        </w:tc>
      </w:tr>
      <w:tr>
        <w:trPr>
          <w:trHeight w:val="184"/>
        </w:trPr>
        <w:tc>
          <w:tcPr>
            <w:tcW w:w="55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color w:val="auto"/>
              </w:rPr>
              <w:t>2024</w:t>
            </w:r>
          </w:p>
        </w:tc>
        <w:tc>
          <w:tcPr>
            <w:tcW w:w="2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color w:val="auto"/>
              </w:rPr>
              <w:t>2023</w:t>
            </w:r>
          </w:p>
        </w:tc>
      </w:tr>
      <w:tr>
        <w:trPr>
          <w:trHeight w:val="184"/>
        </w:trPr>
        <w:tc>
          <w:tcPr>
            <w:tcW w:w="5520" w:type="dxa"/>
            <w:vAlign w:val="bottom"/>
            <w:shd w:val="clear" w:color="auto" w:fill="CCEEFF"/>
          </w:tcPr>
          <w:p>
            <w:pPr>
              <w:ind w:left="40"/>
              <w:spacing w:after="0"/>
              <w:rPr>
                <w:sz w:val="20"/>
                <w:szCs w:val="20"/>
                <w:color w:val="auto"/>
              </w:rPr>
            </w:pPr>
            <w:r>
              <w:rPr>
                <w:rFonts w:ascii="Arial" w:cs="Arial" w:eastAsia="Arial" w:hAnsi="Arial"/>
                <w:sz w:val="13"/>
                <w:szCs w:val="13"/>
                <w:color w:val="auto"/>
              </w:rPr>
              <w:t>Operating Activities:</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r>
      <w:tr>
        <w:trPr>
          <w:trHeight w:val="204"/>
        </w:trPr>
        <w:tc>
          <w:tcPr>
            <w:tcW w:w="5520" w:type="dxa"/>
            <w:vAlign w:val="bottom"/>
          </w:tcPr>
          <w:p>
            <w:pPr>
              <w:ind w:left="40"/>
              <w:spacing w:after="0"/>
              <w:rPr>
                <w:sz w:val="20"/>
                <w:szCs w:val="20"/>
                <w:color w:val="auto"/>
              </w:rPr>
            </w:pPr>
            <w:r>
              <w:rPr>
                <w:rFonts w:ascii="Arial" w:cs="Arial" w:eastAsia="Arial" w:hAnsi="Arial"/>
                <w:sz w:val="13"/>
                <w:szCs w:val="13"/>
                <w:color w:val="auto"/>
              </w:rPr>
              <w:t>Net income</w:t>
            </w:r>
          </w:p>
        </w:tc>
        <w:tc>
          <w:tcPr>
            <w:tcW w:w="22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313,225</w:t>
            </w:r>
          </w:p>
        </w:tc>
        <w:tc>
          <w:tcPr>
            <w:tcW w:w="220" w:type="dxa"/>
            <w:vAlign w:val="bottom"/>
          </w:tcPr>
          <w:p>
            <w:pPr>
              <w:spacing w:after="0"/>
              <w:rPr>
                <w:sz w:val="17"/>
                <w:szCs w:val="17"/>
                <w:color w:val="auto"/>
              </w:rPr>
            </w:pPr>
          </w:p>
        </w:tc>
        <w:tc>
          <w:tcPr>
            <w:tcW w:w="22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255,398</w:t>
            </w:r>
          </w:p>
        </w:tc>
      </w:tr>
      <w:tr>
        <w:trPr>
          <w:trHeight w:val="204"/>
        </w:trPr>
        <w:tc>
          <w:tcPr>
            <w:tcW w:w="5520" w:type="dxa"/>
            <w:vAlign w:val="bottom"/>
            <w:shd w:val="clear" w:color="auto" w:fill="CCEEFF"/>
          </w:tcPr>
          <w:p>
            <w:pPr>
              <w:ind w:left="40"/>
              <w:spacing w:after="0"/>
              <w:rPr>
                <w:sz w:val="20"/>
                <w:szCs w:val="20"/>
                <w:color w:val="auto"/>
              </w:rPr>
            </w:pPr>
            <w:r>
              <w:rPr>
                <w:rFonts w:ascii="Arial" w:cs="Arial" w:eastAsia="Arial" w:hAnsi="Arial"/>
                <w:sz w:val="13"/>
                <w:szCs w:val="13"/>
                <w:color w:val="auto"/>
              </w:rPr>
              <w:t>Adjustments to reconcile net income to net cash provided by operating activities:</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04"/>
        </w:trPr>
        <w:tc>
          <w:tcPr>
            <w:tcW w:w="5520" w:type="dxa"/>
            <w:vAlign w:val="bottom"/>
          </w:tcPr>
          <w:p>
            <w:pPr>
              <w:ind w:left="200"/>
              <w:spacing w:after="0"/>
              <w:rPr>
                <w:sz w:val="20"/>
                <w:szCs w:val="20"/>
                <w:color w:val="auto"/>
              </w:rPr>
            </w:pPr>
            <w:r>
              <w:rPr>
                <w:rFonts w:ascii="Arial" w:cs="Arial" w:eastAsia="Arial" w:hAnsi="Arial"/>
                <w:sz w:val="13"/>
                <w:szCs w:val="13"/>
                <w:color w:val="auto"/>
              </w:rPr>
              <w:t>Depreciation and amortization</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578,274</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538,857</w:t>
            </w:r>
          </w:p>
        </w:tc>
      </w:tr>
      <w:tr>
        <w:trPr>
          <w:trHeight w:val="204"/>
        </w:trPr>
        <w:tc>
          <w:tcPr>
            <w:tcW w:w="55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Impairment of real estate</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30,763</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168,575</w:t>
            </w:r>
          </w:p>
        </w:tc>
      </w:tr>
      <w:tr>
        <w:trPr>
          <w:trHeight w:val="204"/>
        </w:trPr>
        <w:tc>
          <w:tcPr>
            <w:tcW w:w="5520" w:type="dxa"/>
            <w:vAlign w:val="bottom"/>
          </w:tcPr>
          <w:p>
            <w:pPr>
              <w:ind w:left="200"/>
              <w:spacing w:after="0"/>
              <w:rPr>
                <w:sz w:val="20"/>
                <w:szCs w:val="20"/>
                <w:color w:val="auto"/>
              </w:rPr>
            </w:pPr>
            <w:r>
              <w:rPr>
                <w:rFonts w:ascii="Arial" w:cs="Arial" w:eastAsia="Arial" w:hAnsi="Arial"/>
                <w:sz w:val="13"/>
                <w:szCs w:val="13"/>
                <w:color w:val="auto"/>
              </w:rPr>
              <w:t>Gain on sales of real estate</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(392)</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(214,810)</w:t>
            </w:r>
          </w:p>
        </w:tc>
      </w:tr>
      <w:tr>
        <w:trPr>
          <w:trHeight w:val="204"/>
        </w:trPr>
        <w:tc>
          <w:tcPr>
            <w:tcW w:w="55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Equity in earnings of unconsolidated real estate joint ventures</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(285)</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(375)</w:t>
            </w:r>
          </w:p>
        </w:tc>
      </w:tr>
      <w:tr>
        <w:trPr>
          <w:trHeight w:val="204"/>
        </w:trPr>
        <w:tc>
          <w:tcPr>
            <w:tcW w:w="5520" w:type="dxa"/>
            <w:vAlign w:val="bottom"/>
          </w:tcPr>
          <w:p>
            <w:pPr>
              <w:ind w:left="200"/>
              <w:spacing w:after="0"/>
              <w:rPr>
                <w:sz w:val="20"/>
                <w:szCs w:val="20"/>
                <w:color w:val="auto"/>
              </w:rPr>
            </w:pPr>
            <w:r>
              <w:rPr>
                <w:rFonts w:ascii="Arial" w:cs="Arial" w:eastAsia="Arial" w:hAnsi="Arial"/>
                <w:sz w:val="13"/>
                <w:szCs w:val="13"/>
                <w:color w:val="auto"/>
              </w:rPr>
              <w:t>Distributions of earnings from unconsolidated real estate joint ventures</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1,652</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1,649</w:t>
            </w:r>
          </w:p>
        </w:tc>
      </w:tr>
      <w:tr>
        <w:trPr>
          <w:trHeight w:val="204"/>
        </w:trPr>
        <w:tc>
          <w:tcPr>
            <w:tcW w:w="55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Amortization of loan fees</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8,288</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7,368</w:t>
            </w:r>
          </w:p>
        </w:tc>
      </w:tr>
      <w:tr>
        <w:trPr>
          <w:trHeight w:val="204"/>
        </w:trPr>
        <w:tc>
          <w:tcPr>
            <w:tcW w:w="5520" w:type="dxa"/>
            <w:vAlign w:val="bottom"/>
          </w:tcPr>
          <w:p>
            <w:pPr>
              <w:ind w:left="200"/>
              <w:spacing w:after="0"/>
              <w:rPr>
                <w:sz w:val="20"/>
                <w:szCs w:val="20"/>
                <w:color w:val="auto"/>
              </w:rPr>
            </w:pPr>
            <w:r>
              <w:rPr>
                <w:rFonts w:ascii="Arial" w:cs="Arial" w:eastAsia="Arial" w:hAnsi="Arial"/>
                <w:sz w:val="13"/>
                <w:szCs w:val="13"/>
                <w:color w:val="auto"/>
              </w:rPr>
              <w:t>Amortization of debt discounts</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646</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592</w:t>
            </w:r>
          </w:p>
        </w:tc>
      </w:tr>
      <w:tr>
        <w:trPr>
          <w:trHeight w:val="204"/>
        </w:trPr>
        <w:tc>
          <w:tcPr>
            <w:tcW w:w="55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Amortization of acquired above- and below-market leases</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(52,855)</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(46,425)</w:t>
            </w:r>
          </w:p>
        </w:tc>
      </w:tr>
      <w:tr>
        <w:trPr>
          <w:trHeight w:val="204"/>
        </w:trPr>
        <w:tc>
          <w:tcPr>
            <w:tcW w:w="5520" w:type="dxa"/>
            <w:vAlign w:val="bottom"/>
          </w:tcPr>
          <w:p>
            <w:pPr>
              <w:ind w:left="200"/>
              <w:spacing w:after="0"/>
              <w:rPr>
                <w:sz w:val="20"/>
                <w:szCs w:val="20"/>
                <w:color w:val="auto"/>
              </w:rPr>
            </w:pPr>
            <w:r>
              <w:rPr>
                <w:rFonts w:ascii="Arial" w:cs="Arial" w:eastAsia="Arial" w:hAnsi="Arial"/>
                <w:sz w:val="13"/>
                <w:szCs w:val="13"/>
                <w:color w:val="auto"/>
              </w:rPr>
              <w:t>Deferred rent</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(96,589)</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(62,526)</w:t>
            </w:r>
          </w:p>
        </w:tc>
      </w:tr>
      <w:tr>
        <w:trPr>
          <w:trHeight w:val="204"/>
        </w:trPr>
        <w:tc>
          <w:tcPr>
            <w:tcW w:w="55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Stock compensation expense</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31,632</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31,978</w:t>
            </w:r>
          </w:p>
        </w:tc>
      </w:tr>
      <w:tr>
        <w:trPr>
          <w:trHeight w:val="204"/>
        </w:trPr>
        <w:tc>
          <w:tcPr>
            <w:tcW w:w="5520" w:type="dxa"/>
            <w:vAlign w:val="bottom"/>
          </w:tcPr>
          <w:p>
            <w:pPr>
              <w:ind w:left="200"/>
              <w:spacing w:after="0"/>
              <w:rPr>
                <w:sz w:val="20"/>
                <w:szCs w:val="20"/>
                <w:color w:val="auto"/>
              </w:rPr>
            </w:pPr>
            <w:r>
              <w:rPr>
                <w:rFonts w:ascii="Arial" w:cs="Arial" w:eastAsia="Arial" w:hAnsi="Arial"/>
                <w:sz w:val="13"/>
                <w:szCs w:val="13"/>
                <w:color w:val="auto"/>
              </w:rPr>
              <w:t>Investment loss</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376</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123,379</w:t>
            </w:r>
          </w:p>
        </w:tc>
      </w:tr>
      <w:tr>
        <w:trPr>
          <w:trHeight w:val="204"/>
        </w:trPr>
        <w:tc>
          <w:tcPr>
            <w:tcW w:w="5520" w:type="dxa"/>
            <w:vAlign w:val="bottom"/>
            <w:shd w:val="clear" w:color="auto" w:fill="CCEEFF"/>
          </w:tcPr>
          <w:p>
            <w:pPr>
              <w:ind w:left="40"/>
              <w:spacing w:after="0"/>
              <w:rPr>
                <w:sz w:val="20"/>
                <w:szCs w:val="20"/>
                <w:color w:val="auto"/>
              </w:rPr>
            </w:pPr>
            <w:r>
              <w:rPr>
                <w:rFonts w:ascii="Arial" w:cs="Arial" w:eastAsia="Arial" w:hAnsi="Arial"/>
                <w:sz w:val="13"/>
                <w:szCs w:val="13"/>
                <w:color w:val="auto"/>
              </w:rPr>
              <w:t>Changes in operating assets and liabilities:</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04"/>
        </w:trPr>
        <w:tc>
          <w:tcPr>
            <w:tcW w:w="5520" w:type="dxa"/>
            <w:vAlign w:val="bottom"/>
          </w:tcPr>
          <w:p>
            <w:pPr>
              <w:ind w:left="200"/>
              <w:spacing w:after="0"/>
              <w:rPr>
                <w:sz w:val="20"/>
                <w:szCs w:val="20"/>
                <w:color w:val="auto"/>
              </w:rPr>
            </w:pPr>
            <w:r>
              <w:rPr>
                <w:rFonts w:ascii="Arial" w:cs="Arial" w:eastAsia="Arial" w:hAnsi="Arial"/>
                <w:sz w:val="13"/>
                <w:szCs w:val="13"/>
                <w:color w:val="auto"/>
              </w:rPr>
              <w:t>Tenant receivables</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1,373</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1,152</w:t>
            </w:r>
          </w:p>
        </w:tc>
      </w:tr>
      <w:tr>
        <w:trPr>
          <w:trHeight w:val="204"/>
        </w:trPr>
        <w:tc>
          <w:tcPr>
            <w:tcW w:w="55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Deferred leasing costs</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(54,560)</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(56,367)</w:t>
            </w:r>
          </w:p>
        </w:tc>
      </w:tr>
      <w:tr>
        <w:trPr>
          <w:trHeight w:val="204"/>
        </w:trPr>
        <w:tc>
          <w:tcPr>
            <w:tcW w:w="5520" w:type="dxa"/>
            <w:vAlign w:val="bottom"/>
          </w:tcPr>
          <w:p>
            <w:pPr>
              <w:ind w:left="200"/>
              <w:spacing w:after="0"/>
              <w:rPr>
                <w:sz w:val="20"/>
                <w:szCs w:val="20"/>
                <w:color w:val="auto"/>
              </w:rPr>
            </w:pPr>
            <w:r>
              <w:rPr>
                <w:rFonts w:ascii="Arial" w:cs="Arial" w:eastAsia="Arial" w:hAnsi="Arial"/>
                <w:sz w:val="13"/>
                <w:szCs w:val="13"/>
                <w:color w:val="auto"/>
              </w:rPr>
              <w:t>Other assets</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(3,046)</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4,735</w:t>
            </w:r>
          </w:p>
        </w:tc>
      </w:tr>
      <w:tr>
        <w:trPr>
          <w:trHeight w:val="204"/>
        </w:trPr>
        <w:tc>
          <w:tcPr>
            <w:tcW w:w="55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Accounts payable, accrued expenses, and other liabilities</w:t>
            </w: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(5,548)</w:t>
            </w:r>
          </w:p>
        </w:tc>
        <w:tc>
          <w:tcPr>
            <w:tcW w:w="2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30,863</w:t>
            </w:r>
          </w:p>
        </w:tc>
      </w:tr>
      <w:tr>
        <w:trPr>
          <w:trHeight w:val="184"/>
        </w:trPr>
        <w:tc>
          <w:tcPr>
            <w:tcW w:w="5520" w:type="dxa"/>
            <w:vAlign w:val="bottom"/>
          </w:tcPr>
          <w:p>
            <w:pPr>
              <w:ind w:left="40"/>
              <w:spacing w:after="0"/>
              <w:rPr>
                <w:sz w:val="20"/>
                <w:szCs w:val="20"/>
                <w:color w:val="auto"/>
              </w:rPr>
            </w:pPr>
            <w:r>
              <w:rPr>
                <w:rFonts w:ascii="Arial" w:cs="Arial" w:eastAsia="Arial" w:hAnsi="Arial"/>
                <w:sz w:val="13"/>
                <w:szCs w:val="13"/>
                <w:color w:val="auto"/>
              </w:rPr>
              <w:t>Net cash provided by operating activities</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752,954</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784,043</w:t>
            </w:r>
          </w:p>
        </w:tc>
      </w:tr>
      <w:tr>
        <w:trPr>
          <w:trHeight w:val="215"/>
        </w:trPr>
        <w:tc>
          <w:tcPr>
            <w:tcW w:w="5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04"/>
        </w:trPr>
        <w:tc>
          <w:tcPr>
            <w:tcW w:w="5520" w:type="dxa"/>
            <w:vAlign w:val="bottom"/>
          </w:tcPr>
          <w:p>
            <w:pPr>
              <w:ind w:left="40"/>
              <w:spacing w:after="0"/>
              <w:rPr>
                <w:sz w:val="20"/>
                <w:szCs w:val="20"/>
                <w:color w:val="auto"/>
              </w:rPr>
            </w:pPr>
            <w:r>
              <w:rPr>
                <w:rFonts w:ascii="Arial" w:cs="Arial" w:eastAsia="Arial" w:hAnsi="Arial"/>
                <w:sz w:val="13"/>
                <w:szCs w:val="13"/>
                <w:color w:val="auto"/>
              </w:rPr>
              <w:t>Investing Activities:</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4"/>
        </w:trPr>
        <w:tc>
          <w:tcPr>
            <w:tcW w:w="55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Proceeds from sales of real estate</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16,670</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592,630</w:t>
            </w:r>
          </w:p>
        </w:tc>
      </w:tr>
      <w:tr>
        <w:trPr>
          <w:trHeight w:val="204"/>
        </w:trPr>
        <w:tc>
          <w:tcPr>
            <w:tcW w:w="5520" w:type="dxa"/>
            <w:vAlign w:val="bottom"/>
          </w:tcPr>
          <w:p>
            <w:pPr>
              <w:ind w:left="200"/>
              <w:spacing w:after="0"/>
              <w:rPr>
                <w:sz w:val="20"/>
                <w:szCs w:val="20"/>
                <w:color w:val="auto"/>
              </w:rPr>
            </w:pPr>
            <w:r>
              <w:rPr>
                <w:rFonts w:ascii="Arial" w:cs="Arial" w:eastAsia="Arial" w:hAnsi="Arial"/>
                <w:sz w:val="13"/>
                <w:szCs w:val="13"/>
                <w:color w:val="auto"/>
              </w:rPr>
              <w:t>Additions to real estate</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(1,241,214)</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(1,812,241)</w:t>
            </w:r>
          </w:p>
        </w:tc>
      </w:tr>
      <w:tr>
        <w:trPr>
          <w:trHeight w:val="204"/>
        </w:trPr>
        <w:tc>
          <w:tcPr>
            <w:tcW w:w="55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Purchases of real estate</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(201,049)</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(233,317)</w:t>
            </w:r>
          </w:p>
        </w:tc>
      </w:tr>
      <w:tr>
        <w:trPr>
          <w:trHeight w:val="204"/>
        </w:trPr>
        <w:tc>
          <w:tcPr>
            <w:tcW w:w="5520" w:type="dxa"/>
            <w:vAlign w:val="bottom"/>
          </w:tcPr>
          <w:p>
            <w:pPr>
              <w:ind w:left="200"/>
              <w:spacing w:after="0"/>
              <w:rPr>
                <w:sz w:val="20"/>
                <w:szCs w:val="20"/>
                <w:color w:val="auto"/>
              </w:rPr>
            </w:pPr>
            <w:r>
              <w:rPr>
                <w:rFonts w:ascii="Arial" w:cs="Arial" w:eastAsia="Arial" w:hAnsi="Arial"/>
                <w:sz w:val="13"/>
                <w:szCs w:val="13"/>
                <w:color w:val="auto"/>
              </w:rPr>
              <w:t>Change in escrow deposits</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(2,473)</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13,663</w:t>
            </w:r>
          </w:p>
        </w:tc>
      </w:tr>
      <w:tr>
        <w:trPr>
          <w:trHeight w:val="204"/>
        </w:trPr>
        <w:tc>
          <w:tcPr>
            <w:tcW w:w="55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Investments in unconsolidated real estate joint ventures</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(3,713)</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(332)</w:t>
            </w:r>
          </w:p>
        </w:tc>
      </w:tr>
      <w:tr>
        <w:trPr>
          <w:trHeight w:val="204"/>
        </w:trPr>
        <w:tc>
          <w:tcPr>
            <w:tcW w:w="5520" w:type="dxa"/>
            <w:vAlign w:val="bottom"/>
          </w:tcPr>
          <w:p>
            <w:pPr>
              <w:ind w:left="200"/>
              <w:spacing w:after="0"/>
              <w:rPr>
                <w:sz w:val="20"/>
                <w:szCs w:val="20"/>
                <w:color w:val="auto"/>
              </w:rPr>
            </w:pPr>
            <w:r>
              <w:rPr>
                <w:rFonts w:ascii="Arial" w:cs="Arial" w:eastAsia="Arial" w:hAnsi="Arial"/>
                <w:sz w:val="13"/>
                <w:szCs w:val="13"/>
                <w:color w:val="auto"/>
              </w:rPr>
              <w:t>Additions to non-real estate investments</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(122,708)</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(103,839)</w:t>
            </w:r>
          </w:p>
        </w:tc>
      </w:tr>
      <w:tr>
        <w:trPr>
          <w:trHeight w:val="204"/>
        </w:trPr>
        <w:tc>
          <w:tcPr>
            <w:tcW w:w="55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Sales of and distributions from non-real estate investments</w:t>
            </w: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86,008</w:t>
            </w:r>
          </w:p>
        </w:tc>
        <w:tc>
          <w:tcPr>
            <w:tcW w:w="2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109,335</w:t>
            </w:r>
          </w:p>
        </w:tc>
      </w:tr>
      <w:tr>
        <w:trPr>
          <w:trHeight w:val="195"/>
        </w:trPr>
        <w:tc>
          <w:tcPr>
            <w:tcW w:w="5520" w:type="dxa"/>
            <w:vAlign w:val="bottom"/>
          </w:tcPr>
          <w:p>
            <w:pPr>
              <w:ind w:left="40"/>
              <w:spacing w:after="0"/>
              <w:rPr>
                <w:sz w:val="20"/>
                <w:szCs w:val="20"/>
                <w:color w:val="auto"/>
              </w:rPr>
            </w:pPr>
            <w:r>
              <w:rPr>
                <w:rFonts w:ascii="Arial" w:cs="Arial" w:eastAsia="Arial" w:hAnsi="Arial"/>
                <w:sz w:val="13"/>
                <w:szCs w:val="13"/>
                <w:color w:val="auto"/>
              </w:rPr>
              <w:t>Net cash used in investing activities</w:t>
            </w:r>
          </w:p>
        </w:tc>
        <w:tc>
          <w:tcPr>
            <w:tcW w:w="22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(1,468,479)</w:t>
            </w:r>
          </w:p>
        </w:tc>
        <w:tc>
          <w:tcPr>
            <w:tcW w:w="220" w:type="dxa"/>
            <w:vAlign w:val="bottom"/>
          </w:tcPr>
          <w:p>
            <w:pPr>
              <w:spacing w:after="0"/>
              <w:rPr>
                <w:sz w:val="16"/>
                <w:szCs w:val="16"/>
                <w:color w:val="auto"/>
              </w:rPr>
            </w:pPr>
          </w:p>
        </w:tc>
        <w:tc>
          <w:tcPr>
            <w:tcW w:w="22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(1,434,101)</w:t>
            </w:r>
          </w:p>
        </w:tc>
      </w:tr>
      <w:tr>
        <w:trPr>
          <w:trHeight w:val="204"/>
        </w:trPr>
        <w:tc>
          <w:tcPr>
            <w:tcW w:w="5520" w:type="dxa"/>
            <w:vAlign w:val="bottom"/>
            <w:shd w:val="clear" w:color="auto" w:fill="CCEEFF"/>
          </w:tcPr>
          <w:p>
            <w:pPr>
              <w:ind w:left="40"/>
              <w:spacing w:after="0"/>
              <w:rPr>
                <w:sz w:val="20"/>
                <w:szCs w:val="20"/>
                <w:color w:val="auto"/>
              </w:rPr>
            </w:pPr>
            <w:r>
              <w:rPr>
                <w:rFonts w:ascii="Arial" w:cs="Arial" w:eastAsia="Arial" w:hAnsi="Arial"/>
                <w:sz w:val="13"/>
                <w:szCs w:val="13"/>
                <w:color w:val="auto"/>
              </w:rPr>
              <w:t>Financing Activities:</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10300"/>
          </w:cols>
          <w:pgMar w:left="840" w:top="114" w:right="7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00"/>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448945</wp:posOffset>
            </wp:positionH>
            <wp:positionV relativeFrom="paragraph">
              <wp:posOffset>188595</wp:posOffset>
            </wp:positionV>
            <wp:extent cx="5584190" cy="165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584190" cy="16510"/>
                    </a:xfrm>
                    <a:prstGeom prst="rect">
                      <a:avLst/>
                    </a:prstGeom>
                    <a:noFill/>
                  </pic:spPr>
                </pic:pic>
              </a:graphicData>
            </a:graphic>
          </wp:anchor>
        </w:drawing>
      </w:r>
    </w:p>
    <w:p>
      <w:pPr>
        <w:sectPr>
          <w:pgSz w:w="11900" w:h="16838" w:orient="portrait"/>
          <w:cols w:equalWidth="0" w:num="1">
            <w:col w:w="10300"/>
          </w:cols>
          <w:pgMar w:left="840" w:top="114" w:right="759" w:bottom="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982345</wp:posOffset>
            </wp:positionH>
            <wp:positionV relativeFrom="page">
              <wp:posOffset>88900</wp:posOffset>
            </wp:positionV>
            <wp:extent cx="5584190" cy="71970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584190" cy="7197090"/>
                    </a:xfrm>
                    <a:prstGeom prst="rect">
                      <a:avLst/>
                    </a:prstGeom>
                    <a:noFill/>
                  </pic:spPr>
                </pic:pic>
              </a:graphicData>
            </a:graphic>
          </wp:anchor>
        </w:drawing>
        <w:t>Alexandria Real Estate Equities, Inc.</w:t>
      </w:r>
    </w:p>
    <w:p>
      <w:pPr>
        <w:jc w:val="center"/>
        <w:spacing w:after="0" w:line="206" w:lineRule="auto"/>
        <w:rPr>
          <w:sz w:val="20"/>
          <w:szCs w:val="20"/>
          <w:color w:val="auto"/>
        </w:rPr>
      </w:pPr>
      <w:r>
        <w:rPr>
          <w:rFonts w:ascii="Arial" w:cs="Arial" w:eastAsia="Arial" w:hAnsi="Arial"/>
          <w:sz w:val="13"/>
          <w:szCs w:val="13"/>
          <w:b w:val="1"/>
          <w:bCs w:val="1"/>
          <w:color w:val="auto"/>
        </w:rPr>
        <w:t>Consolidated Statements of Cash Flows</w:t>
      </w:r>
    </w:p>
    <w:p>
      <w:pPr>
        <w:jc w:val="center"/>
        <w:spacing w:after="0" w:line="207" w:lineRule="auto"/>
        <w:rPr>
          <w:sz w:val="20"/>
          <w:szCs w:val="20"/>
          <w:color w:val="auto"/>
        </w:rPr>
      </w:pPr>
      <w:r>
        <w:rPr>
          <w:rFonts w:ascii="Arial" w:cs="Arial" w:eastAsia="Arial" w:hAnsi="Arial"/>
          <w:sz w:val="13"/>
          <w:szCs w:val="13"/>
          <w:i w:val="1"/>
          <w:iCs w:val="1"/>
          <w:color w:val="auto"/>
        </w:rPr>
        <w:t>(In thousands)</w:t>
      </w:r>
    </w:p>
    <w:p>
      <w:pPr>
        <w:jc w:val="center"/>
        <w:spacing w:after="0"/>
        <w:rPr>
          <w:sz w:val="20"/>
          <w:szCs w:val="20"/>
          <w:color w:val="auto"/>
        </w:rPr>
      </w:pPr>
      <w:r>
        <w:rPr>
          <w:rFonts w:ascii="Arial" w:cs="Arial" w:eastAsia="Arial" w:hAnsi="Arial"/>
          <w:sz w:val="13"/>
          <w:szCs w:val="13"/>
          <w:i w:val="1"/>
          <w:iCs w:val="1"/>
          <w:color w:val="auto"/>
        </w:rPr>
        <w:t>(Unaudited)</w:t>
      </w:r>
    </w:p>
    <w:p>
      <w:pPr>
        <w:spacing w:after="0" w:line="171"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55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000" w:type="dxa"/>
            <w:vAlign w:val="bottom"/>
            <w:tcBorders>
              <w:bottom w:val="single" w:sz="8" w:color="auto"/>
            </w:tcBorders>
            <w:gridSpan w:val="4"/>
          </w:tcPr>
          <w:p>
            <w:pPr>
              <w:jc w:val="right"/>
              <w:ind w:right="256"/>
              <w:spacing w:after="0"/>
              <w:rPr>
                <w:sz w:val="20"/>
                <w:szCs w:val="20"/>
                <w:color w:val="auto"/>
              </w:rPr>
            </w:pPr>
            <w:r>
              <w:rPr>
                <w:rFonts w:ascii="Arial" w:cs="Arial" w:eastAsia="Arial" w:hAnsi="Arial"/>
                <w:sz w:val="13"/>
                <w:szCs w:val="13"/>
                <w:color w:val="auto"/>
              </w:rPr>
              <w:t>Six Months Ended June 30,</w:t>
            </w:r>
          </w:p>
        </w:tc>
        <w:tc>
          <w:tcPr>
            <w:tcW w:w="0" w:type="dxa"/>
            <w:vAlign w:val="bottom"/>
          </w:tcPr>
          <w:p>
            <w:pPr>
              <w:spacing w:after="0"/>
              <w:rPr>
                <w:sz w:val="1"/>
                <w:szCs w:val="1"/>
                <w:color w:val="auto"/>
              </w:rPr>
            </w:pPr>
          </w:p>
        </w:tc>
      </w:tr>
      <w:tr>
        <w:trPr>
          <w:trHeight w:val="184"/>
        </w:trPr>
        <w:tc>
          <w:tcPr>
            <w:tcW w:w="55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color w:val="auto"/>
              </w:rPr>
              <w:t>2024</w:t>
            </w: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color w:val="auto"/>
              </w:rPr>
              <w:t>2023</w:t>
            </w:r>
          </w:p>
        </w:tc>
        <w:tc>
          <w:tcPr>
            <w:tcW w:w="0" w:type="dxa"/>
            <w:vAlign w:val="bottom"/>
          </w:tcPr>
          <w:p>
            <w:pPr>
              <w:spacing w:after="0"/>
              <w:rPr>
                <w:sz w:val="1"/>
                <w:szCs w:val="1"/>
                <w:color w:val="auto"/>
              </w:rPr>
            </w:pPr>
          </w:p>
        </w:tc>
      </w:tr>
      <w:tr>
        <w:trPr>
          <w:trHeight w:val="184"/>
        </w:trPr>
        <w:tc>
          <w:tcPr>
            <w:tcW w:w="5520" w:type="dxa"/>
            <w:vAlign w:val="bottom"/>
          </w:tcPr>
          <w:p>
            <w:pPr>
              <w:ind w:left="200"/>
              <w:spacing w:after="0"/>
              <w:rPr>
                <w:sz w:val="20"/>
                <w:szCs w:val="20"/>
                <w:color w:val="auto"/>
              </w:rPr>
            </w:pPr>
            <w:r>
              <w:rPr>
                <w:rFonts w:ascii="Arial" w:cs="Arial" w:eastAsia="Arial" w:hAnsi="Arial"/>
                <w:sz w:val="13"/>
                <w:szCs w:val="13"/>
                <w:color w:val="auto"/>
              </w:rPr>
              <w:t>Borrowings under secured notes payable</w:t>
            </w:r>
          </w:p>
        </w:tc>
        <w:tc>
          <w:tcPr>
            <w:tcW w:w="22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14,974</w:t>
            </w:r>
          </w:p>
        </w:tc>
        <w:tc>
          <w:tcPr>
            <w:tcW w:w="220" w:type="dxa"/>
            <w:vAlign w:val="bottom"/>
          </w:tcPr>
          <w:p>
            <w:pPr>
              <w:spacing w:after="0"/>
              <w:rPr>
                <w:sz w:val="16"/>
                <w:szCs w:val="16"/>
                <w:color w:val="auto"/>
              </w:rPr>
            </w:pPr>
          </w:p>
        </w:tc>
        <w:tc>
          <w:tcPr>
            <w:tcW w:w="22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32,550</w:t>
            </w:r>
          </w:p>
        </w:tc>
        <w:tc>
          <w:tcPr>
            <w:tcW w:w="0" w:type="dxa"/>
            <w:vAlign w:val="bottom"/>
          </w:tcPr>
          <w:p>
            <w:pPr>
              <w:spacing w:after="0"/>
              <w:rPr>
                <w:sz w:val="1"/>
                <w:szCs w:val="1"/>
                <w:color w:val="auto"/>
              </w:rPr>
            </w:pPr>
          </w:p>
        </w:tc>
      </w:tr>
      <w:tr>
        <w:trPr>
          <w:trHeight w:val="204"/>
        </w:trPr>
        <w:tc>
          <w:tcPr>
            <w:tcW w:w="55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Proceeds from issuance of unsecured senior notes payable</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998,806</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996,205</w:t>
            </w:r>
          </w:p>
        </w:tc>
        <w:tc>
          <w:tcPr>
            <w:tcW w:w="0" w:type="dxa"/>
            <w:vAlign w:val="bottom"/>
          </w:tcPr>
          <w:p>
            <w:pPr>
              <w:spacing w:after="0"/>
              <w:rPr>
                <w:sz w:val="1"/>
                <w:szCs w:val="1"/>
                <w:color w:val="auto"/>
              </w:rPr>
            </w:pPr>
          </w:p>
        </w:tc>
      </w:tr>
      <w:tr>
        <w:trPr>
          <w:trHeight w:val="204"/>
        </w:trPr>
        <w:tc>
          <w:tcPr>
            <w:tcW w:w="5520" w:type="dxa"/>
            <w:vAlign w:val="bottom"/>
          </w:tcPr>
          <w:p>
            <w:pPr>
              <w:ind w:left="200"/>
              <w:spacing w:after="0"/>
              <w:rPr>
                <w:sz w:val="20"/>
                <w:szCs w:val="20"/>
                <w:color w:val="auto"/>
              </w:rPr>
            </w:pPr>
            <w:r>
              <w:rPr>
                <w:rFonts w:ascii="Arial" w:cs="Arial" w:eastAsia="Arial" w:hAnsi="Arial"/>
                <w:sz w:val="13"/>
                <w:szCs w:val="13"/>
                <w:color w:val="auto"/>
              </w:rPr>
              <w:t>Borrowings under unsecured senior line of credit</w:t>
            </w:r>
          </w:p>
        </w:tc>
        <w:tc>
          <w:tcPr>
            <w:tcW w:w="220" w:type="dxa"/>
            <w:vAlign w:val="bottom"/>
          </w:tcPr>
          <w:p>
            <w:pPr>
              <w:spacing w:after="0"/>
              <w:rPr>
                <w:sz w:val="17"/>
                <w:szCs w:val="17"/>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375,000</w:t>
            </w:r>
          </w:p>
        </w:tc>
        <w:tc>
          <w:tcPr>
            <w:tcW w:w="0" w:type="dxa"/>
            <w:vAlign w:val="bottom"/>
          </w:tcPr>
          <w:p>
            <w:pPr>
              <w:spacing w:after="0"/>
              <w:rPr>
                <w:sz w:val="1"/>
                <w:szCs w:val="1"/>
                <w:color w:val="auto"/>
              </w:rPr>
            </w:pPr>
          </w:p>
        </w:tc>
      </w:tr>
      <w:tr>
        <w:trPr>
          <w:trHeight w:val="204"/>
        </w:trPr>
        <w:tc>
          <w:tcPr>
            <w:tcW w:w="55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Repayments of borrowings under unsecured senior line of credit</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(375,000)</w:t>
            </w:r>
          </w:p>
        </w:tc>
        <w:tc>
          <w:tcPr>
            <w:tcW w:w="0" w:type="dxa"/>
            <w:vAlign w:val="bottom"/>
          </w:tcPr>
          <w:p>
            <w:pPr>
              <w:spacing w:after="0"/>
              <w:rPr>
                <w:sz w:val="1"/>
                <w:szCs w:val="1"/>
                <w:color w:val="auto"/>
              </w:rPr>
            </w:pPr>
          </w:p>
        </w:tc>
      </w:tr>
      <w:tr>
        <w:trPr>
          <w:trHeight w:val="204"/>
        </w:trPr>
        <w:tc>
          <w:tcPr>
            <w:tcW w:w="5520" w:type="dxa"/>
            <w:vAlign w:val="bottom"/>
          </w:tcPr>
          <w:p>
            <w:pPr>
              <w:ind w:left="200"/>
              <w:spacing w:after="0"/>
              <w:rPr>
                <w:sz w:val="20"/>
                <w:szCs w:val="20"/>
                <w:color w:val="auto"/>
              </w:rPr>
            </w:pPr>
            <w:r>
              <w:rPr>
                <w:rFonts w:ascii="Arial" w:cs="Arial" w:eastAsia="Arial" w:hAnsi="Arial"/>
                <w:sz w:val="13"/>
                <w:szCs w:val="13"/>
                <w:color w:val="auto"/>
              </w:rPr>
              <w:t>Proceeds from issuances under commercial paper program</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5,006,950</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1,705,000</w:t>
            </w:r>
          </w:p>
        </w:tc>
        <w:tc>
          <w:tcPr>
            <w:tcW w:w="0" w:type="dxa"/>
            <w:vAlign w:val="bottom"/>
          </w:tcPr>
          <w:p>
            <w:pPr>
              <w:spacing w:after="0"/>
              <w:rPr>
                <w:sz w:val="1"/>
                <w:szCs w:val="1"/>
                <w:color w:val="auto"/>
              </w:rPr>
            </w:pPr>
          </w:p>
        </w:tc>
      </w:tr>
      <w:tr>
        <w:trPr>
          <w:trHeight w:val="204"/>
        </w:trPr>
        <w:tc>
          <w:tcPr>
            <w:tcW w:w="55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Repayments of borrowings under commercial paper program</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(4,906,950)</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(1,705,000)</w:t>
            </w:r>
          </w:p>
        </w:tc>
        <w:tc>
          <w:tcPr>
            <w:tcW w:w="0" w:type="dxa"/>
            <w:vAlign w:val="bottom"/>
          </w:tcPr>
          <w:p>
            <w:pPr>
              <w:spacing w:after="0"/>
              <w:rPr>
                <w:sz w:val="1"/>
                <w:szCs w:val="1"/>
                <w:color w:val="auto"/>
              </w:rPr>
            </w:pPr>
          </w:p>
        </w:tc>
      </w:tr>
      <w:tr>
        <w:trPr>
          <w:trHeight w:val="204"/>
        </w:trPr>
        <w:tc>
          <w:tcPr>
            <w:tcW w:w="5520" w:type="dxa"/>
            <w:vAlign w:val="bottom"/>
          </w:tcPr>
          <w:p>
            <w:pPr>
              <w:ind w:left="200"/>
              <w:spacing w:after="0"/>
              <w:rPr>
                <w:sz w:val="20"/>
                <w:szCs w:val="20"/>
                <w:color w:val="auto"/>
              </w:rPr>
            </w:pPr>
            <w:r>
              <w:rPr>
                <w:rFonts w:ascii="Arial" w:cs="Arial" w:eastAsia="Arial" w:hAnsi="Arial"/>
                <w:sz w:val="13"/>
                <w:szCs w:val="13"/>
                <w:color w:val="auto"/>
              </w:rPr>
              <w:t>Payments of loan fees</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(10,118)</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(10,113)</w:t>
            </w:r>
          </w:p>
        </w:tc>
        <w:tc>
          <w:tcPr>
            <w:tcW w:w="0" w:type="dxa"/>
            <w:vAlign w:val="bottom"/>
          </w:tcPr>
          <w:p>
            <w:pPr>
              <w:spacing w:after="0"/>
              <w:rPr>
                <w:sz w:val="1"/>
                <w:szCs w:val="1"/>
                <w:color w:val="auto"/>
              </w:rPr>
            </w:pPr>
          </w:p>
        </w:tc>
      </w:tr>
      <w:tr>
        <w:trPr>
          <w:trHeight w:val="204"/>
        </w:trPr>
        <w:tc>
          <w:tcPr>
            <w:tcW w:w="55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Taxes paid related to net settlement of equity awards</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(27,017)</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(12,521)</w:t>
            </w:r>
          </w:p>
        </w:tc>
        <w:tc>
          <w:tcPr>
            <w:tcW w:w="0" w:type="dxa"/>
            <w:vAlign w:val="bottom"/>
          </w:tcPr>
          <w:p>
            <w:pPr>
              <w:spacing w:after="0"/>
              <w:rPr>
                <w:sz w:val="1"/>
                <w:szCs w:val="1"/>
                <w:color w:val="auto"/>
              </w:rPr>
            </w:pPr>
          </w:p>
        </w:tc>
      </w:tr>
      <w:tr>
        <w:trPr>
          <w:trHeight w:val="204"/>
        </w:trPr>
        <w:tc>
          <w:tcPr>
            <w:tcW w:w="5520" w:type="dxa"/>
            <w:vAlign w:val="bottom"/>
          </w:tcPr>
          <w:p>
            <w:pPr>
              <w:ind w:left="200"/>
              <w:spacing w:after="0"/>
              <w:rPr>
                <w:sz w:val="20"/>
                <w:szCs w:val="20"/>
                <w:color w:val="auto"/>
              </w:rPr>
            </w:pPr>
            <w:r>
              <w:rPr>
                <w:rFonts w:ascii="Arial" w:cs="Arial" w:eastAsia="Arial" w:hAnsi="Arial"/>
                <w:sz w:val="13"/>
                <w:szCs w:val="13"/>
                <w:color w:val="auto"/>
              </w:rPr>
              <w:t>Dividends on common stock</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(443,958)</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(418,477)</w:t>
            </w:r>
          </w:p>
        </w:tc>
        <w:tc>
          <w:tcPr>
            <w:tcW w:w="0" w:type="dxa"/>
            <w:vAlign w:val="bottom"/>
          </w:tcPr>
          <w:p>
            <w:pPr>
              <w:spacing w:after="0"/>
              <w:rPr>
                <w:sz w:val="1"/>
                <w:szCs w:val="1"/>
                <w:color w:val="auto"/>
              </w:rPr>
            </w:pPr>
          </w:p>
        </w:tc>
      </w:tr>
      <w:tr>
        <w:trPr>
          <w:trHeight w:val="204"/>
        </w:trPr>
        <w:tc>
          <w:tcPr>
            <w:tcW w:w="55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Contributions from and sales of noncontrolling interests</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159,644</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299,531</w:t>
            </w:r>
          </w:p>
        </w:tc>
        <w:tc>
          <w:tcPr>
            <w:tcW w:w="0" w:type="dxa"/>
            <w:vAlign w:val="bottom"/>
          </w:tcPr>
          <w:p>
            <w:pPr>
              <w:spacing w:after="0"/>
              <w:rPr>
                <w:sz w:val="1"/>
                <w:szCs w:val="1"/>
                <w:color w:val="auto"/>
              </w:rPr>
            </w:pPr>
          </w:p>
        </w:tc>
      </w:tr>
      <w:tr>
        <w:trPr>
          <w:trHeight w:val="204"/>
        </w:trPr>
        <w:tc>
          <w:tcPr>
            <w:tcW w:w="5520" w:type="dxa"/>
            <w:vAlign w:val="bottom"/>
            <w:tcBorders>
              <w:bottom w:val="single" w:sz="8" w:color="CCEEFF"/>
            </w:tcBorders>
          </w:tcPr>
          <w:p>
            <w:pPr>
              <w:ind w:left="200"/>
              <w:spacing w:after="0"/>
              <w:rPr>
                <w:sz w:val="20"/>
                <w:szCs w:val="20"/>
                <w:color w:val="auto"/>
              </w:rPr>
            </w:pPr>
            <w:r>
              <w:rPr>
                <w:rFonts w:ascii="Arial" w:cs="Arial" w:eastAsia="Arial" w:hAnsi="Arial"/>
                <w:sz w:val="13"/>
                <w:szCs w:val="13"/>
                <w:color w:val="auto"/>
              </w:rPr>
              <w:t>Distributions to and purchases of noncontrolling interests</w:t>
            </w: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(171,871)</w:t>
            </w:r>
          </w:p>
        </w:tc>
        <w:tc>
          <w:tcPr>
            <w:tcW w:w="2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(134,617)</w:t>
            </w:r>
          </w:p>
        </w:tc>
        <w:tc>
          <w:tcPr>
            <w:tcW w:w="0" w:type="dxa"/>
            <w:vAlign w:val="bottom"/>
          </w:tcPr>
          <w:p>
            <w:pPr>
              <w:spacing w:after="0"/>
              <w:rPr>
                <w:sz w:val="1"/>
                <w:szCs w:val="1"/>
                <w:color w:val="auto"/>
              </w:rPr>
            </w:pPr>
          </w:p>
        </w:tc>
      </w:tr>
      <w:tr>
        <w:trPr>
          <w:trHeight w:val="184"/>
        </w:trPr>
        <w:tc>
          <w:tcPr>
            <w:tcW w:w="552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cash provided by financing activities</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620,460</w:t>
            </w: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752,558</w:t>
            </w:r>
          </w:p>
        </w:tc>
        <w:tc>
          <w:tcPr>
            <w:tcW w:w="0" w:type="dxa"/>
            <w:vAlign w:val="bottom"/>
          </w:tcPr>
          <w:p>
            <w:pPr>
              <w:spacing w:after="0"/>
              <w:rPr>
                <w:sz w:val="1"/>
                <w:szCs w:val="1"/>
                <w:color w:val="auto"/>
              </w:rPr>
            </w:pPr>
          </w:p>
        </w:tc>
      </w:tr>
      <w:tr>
        <w:trPr>
          <w:trHeight w:val="215"/>
        </w:trPr>
        <w:tc>
          <w:tcPr>
            <w:tcW w:w="5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5520" w:type="dxa"/>
            <w:vAlign w:val="bottom"/>
            <w:shd w:val="clear" w:color="auto" w:fill="CCEEFF"/>
          </w:tcPr>
          <w:p>
            <w:pPr>
              <w:ind w:left="40"/>
              <w:spacing w:after="0"/>
              <w:rPr>
                <w:sz w:val="20"/>
                <w:szCs w:val="20"/>
                <w:color w:val="auto"/>
              </w:rPr>
            </w:pPr>
            <w:r>
              <w:rPr>
                <w:rFonts w:ascii="Arial" w:cs="Arial" w:eastAsia="Arial" w:hAnsi="Arial"/>
                <w:sz w:val="13"/>
                <w:szCs w:val="13"/>
                <w:color w:val="auto"/>
              </w:rPr>
              <w:t>Effect of foreign exchange rate changes on cash and cash equivalents</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147</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(185)</w:t>
            </w:r>
          </w:p>
        </w:tc>
        <w:tc>
          <w:tcPr>
            <w:tcW w:w="0" w:type="dxa"/>
            <w:vAlign w:val="bottom"/>
          </w:tcPr>
          <w:p>
            <w:pPr>
              <w:spacing w:after="0"/>
              <w:rPr>
                <w:sz w:val="1"/>
                <w:szCs w:val="1"/>
                <w:color w:val="auto"/>
              </w:rPr>
            </w:pPr>
          </w:p>
        </w:tc>
      </w:tr>
      <w:tr>
        <w:trPr>
          <w:trHeight w:val="215"/>
        </w:trPr>
        <w:tc>
          <w:tcPr>
            <w:tcW w:w="55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552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(decrease) increase in cash, cash equivalents, and restricted cash</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(94,918)</w:t>
            </w: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102,315</w:t>
            </w:r>
          </w:p>
        </w:tc>
        <w:tc>
          <w:tcPr>
            <w:tcW w:w="0" w:type="dxa"/>
            <w:vAlign w:val="bottom"/>
          </w:tcPr>
          <w:p>
            <w:pPr>
              <w:spacing w:after="0"/>
              <w:rPr>
                <w:sz w:val="1"/>
                <w:szCs w:val="1"/>
                <w:color w:val="auto"/>
              </w:rPr>
            </w:pPr>
          </w:p>
        </w:tc>
      </w:tr>
      <w:tr>
        <w:trPr>
          <w:trHeight w:val="204"/>
        </w:trPr>
        <w:tc>
          <w:tcPr>
            <w:tcW w:w="552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Cash, cash equivalents, and restricted cash as of the beginning of period</w:t>
            </w: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660,771</w:t>
            </w:r>
          </w:p>
        </w:tc>
        <w:tc>
          <w:tcPr>
            <w:tcW w:w="2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857,975</w:t>
            </w:r>
          </w:p>
        </w:tc>
        <w:tc>
          <w:tcPr>
            <w:tcW w:w="0" w:type="dxa"/>
            <w:vAlign w:val="bottom"/>
          </w:tcPr>
          <w:p>
            <w:pPr>
              <w:spacing w:after="0"/>
              <w:rPr>
                <w:sz w:val="1"/>
                <w:szCs w:val="1"/>
                <w:color w:val="auto"/>
              </w:rPr>
            </w:pPr>
          </w:p>
        </w:tc>
      </w:tr>
      <w:tr>
        <w:trPr>
          <w:trHeight w:val="188"/>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Cash, cash equivalents, and restricted cash as of the end of period</w:t>
            </w:r>
          </w:p>
        </w:tc>
        <w:tc>
          <w:tcPr>
            <w:tcW w:w="2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565,853</w:t>
            </w:r>
          </w:p>
        </w:tc>
        <w:tc>
          <w:tcPr>
            <w:tcW w:w="2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960,290</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5520" w:type="dxa"/>
            <w:vAlign w:val="bottom"/>
            <w:shd w:val="clear" w:color="auto" w:fill="CCEEFF"/>
          </w:tcPr>
          <w:p>
            <w:pPr>
              <w:ind w:left="40"/>
              <w:spacing w:after="0"/>
              <w:rPr>
                <w:sz w:val="20"/>
                <w:szCs w:val="20"/>
                <w:color w:val="auto"/>
              </w:rPr>
            </w:pPr>
            <w:r>
              <w:rPr>
                <w:rFonts w:ascii="Arial" w:cs="Arial" w:eastAsia="Arial" w:hAnsi="Arial"/>
                <w:sz w:val="13"/>
                <w:szCs w:val="13"/>
                <w:color w:val="auto"/>
              </w:rPr>
              <w:t>Supplemental Disclosure and Non-Cash Investing and Financing Activities:</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520" w:type="dxa"/>
            <w:vAlign w:val="bottom"/>
          </w:tcPr>
          <w:p>
            <w:pPr>
              <w:ind w:left="200"/>
              <w:spacing w:after="0"/>
              <w:rPr>
                <w:sz w:val="20"/>
                <w:szCs w:val="20"/>
                <w:color w:val="auto"/>
              </w:rPr>
            </w:pPr>
            <w:r>
              <w:rPr>
                <w:rFonts w:ascii="Arial" w:cs="Arial" w:eastAsia="Arial" w:hAnsi="Arial"/>
                <w:sz w:val="13"/>
                <w:szCs w:val="13"/>
                <w:color w:val="auto"/>
              </w:rPr>
              <w:t>Cash paid during the period for interest, net of interest capitalized</w:t>
            </w:r>
          </w:p>
        </w:tc>
        <w:tc>
          <w:tcPr>
            <w:tcW w:w="22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56,878</w:t>
            </w:r>
          </w:p>
        </w:tc>
        <w:tc>
          <w:tcPr>
            <w:tcW w:w="220" w:type="dxa"/>
            <w:vAlign w:val="bottom"/>
          </w:tcPr>
          <w:p>
            <w:pPr>
              <w:spacing w:after="0"/>
              <w:rPr>
                <w:sz w:val="17"/>
                <w:szCs w:val="17"/>
                <w:color w:val="auto"/>
              </w:rPr>
            </w:pPr>
          </w:p>
        </w:tc>
        <w:tc>
          <w:tcPr>
            <w:tcW w:w="22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4,030</w:t>
            </w:r>
          </w:p>
        </w:tc>
        <w:tc>
          <w:tcPr>
            <w:tcW w:w="0" w:type="dxa"/>
            <w:vAlign w:val="bottom"/>
          </w:tcPr>
          <w:p>
            <w:pPr>
              <w:spacing w:after="0"/>
              <w:rPr>
                <w:sz w:val="1"/>
                <w:szCs w:val="1"/>
                <w:color w:val="auto"/>
              </w:rPr>
            </w:pPr>
          </w:p>
        </w:tc>
      </w:tr>
      <w:tr>
        <w:trPr>
          <w:trHeight w:val="204"/>
        </w:trPr>
        <w:tc>
          <w:tcPr>
            <w:tcW w:w="55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Accrued construction for current-period additions to real estate</w:t>
            </w:r>
          </w:p>
        </w:tc>
        <w:tc>
          <w:tcPr>
            <w:tcW w:w="2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402,923</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495,807</w:t>
            </w:r>
          </w:p>
        </w:tc>
        <w:tc>
          <w:tcPr>
            <w:tcW w:w="0" w:type="dxa"/>
            <w:vAlign w:val="bottom"/>
          </w:tcPr>
          <w:p>
            <w:pPr>
              <w:spacing w:after="0"/>
              <w:rPr>
                <w:sz w:val="1"/>
                <w:szCs w:val="1"/>
                <w:color w:val="auto"/>
              </w:rPr>
            </w:pPr>
          </w:p>
        </w:tc>
      </w:tr>
      <w:tr>
        <w:trPr>
          <w:trHeight w:val="172"/>
        </w:trPr>
        <w:tc>
          <w:tcPr>
            <w:tcW w:w="5520" w:type="dxa"/>
            <w:vAlign w:val="bottom"/>
          </w:tcPr>
          <w:p>
            <w:pPr>
              <w:ind w:left="200"/>
              <w:spacing w:after="0"/>
              <w:rPr>
                <w:sz w:val="20"/>
                <w:szCs w:val="20"/>
                <w:color w:val="auto"/>
              </w:rPr>
            </w:pPr>
            <w:r>
              <w:rPr>
                <w:rFonts w:ascii="Arial" w:cs="Arial" w:eastAsia="Arial" w:hAnsi="Arial"/>
                <w:sz w:val="13"/>
                <w:szCs w:val="13"/>
                <w:color w:val="auto"/>
              </w:rPr>
              <w:t>Contribution of assets from and issuance of noncontrolling interest to real estate joint</w:t>
            </w:r>
          </w:p>
        </w:tc>
        <w:tc>
          <w:tcPr>
            <w:tcW w:w="220" w:type="dxa"/>
            <w:vAlign w:val="bottom"/>
            <w:vMerge w:val="restart"/>
          </w:tcPr>
          <w:p>
            <w:pPr>
              <w:jc w:val="right"/>
              <w:ind w:right="36"/>
              <w:spacing w:after="0"/>
              <w:rPr>
                <w:sz w:val="20"/>
                <w:szCs w:val="20"/>
                <w:color w:val="auto"/>
              </w:rPr>
            </w:pPr>
            <w:r>
              <w:rPr>
                <w:rFonts w:ascii="Arial" w:cs="Arial" w:eastAsia="Arial" w:hAnsi="Arial"/>
                <w:sz w:val="13"/>
                <w:szCs w:val="13"/>
                <w:color w:val="auto"/>
              </w:rPr>
              <w:t>$</w:t>
            </w: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103,547</w:t>
            </w:r>
          </w:p>
        </w:tc>
        <w:tc>
          <w:tcPr>
            <w:tcW w:w="220" w:type="dxa"/>
            <w:vAlign w:val="bottom"/>
          </w:tcPr>
          <w:p>
            <w:pPr>
              <w:spacing w:after="0"/>
              <w:rPr>
                <w:sz w:val="14"/>
                <w:szCs w:val="14"/>
                <w:color w:val="auto"/>
              </w:rPr>
            </w:pPr>
          </w:p>
        </w:tc>
        <w:tc>
          <w:tcPr>
            <w:tcW w:w="220" w:type="dxa"/>
            <w:vAlign w:val="bottom"/>
            <w:vMerge w:val="restart"/>
          </w:tcPr>
          <w:p>
            <w:pPr>
              <w:jc w:val="right"/>
              <w:ind w:right="56"/>
              <w:spacing w:after="0"/>
              <w:rPr>
                <w:sz w:val="20"/>
                <w:szCs w:val="20"/>
                <w:color w:val="auto"/>
              </w:rPr>
            </w:pPr>
            <w:r>
              <w:rPr>
                <w:rFonts w:ascii="Arial" w:cs="Arial" w:eastAsia="Arial" w:hAnsi="Arial"/>
                <w:sz w:val="13"/>
                <w:szCs w:val="13"/>
                <w:color w:val="auto"/>
              </w:rPr>
              <w:t>$</w:t>
            </w: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33,250</w:t>
            </w:r>
          </w:p>
        </w:tc>
        <w:tc>
          <w:tcPr>
            <w:tcW w:w="0" w:type="dxa"/>
            <w:vAlign w:val="bottom"/>
          </w:tcPr>
          <w:p>
            <w:pPr>
              <w:spacing w:after="0"/>
              <w:rPr>
                <w:sz w:val="1"/>
                <w:szCs w:val="1"/>
                <w:color w:val="auto"/>
              </w:rPr>
            </w:pPr>
          </w:p>
        </w:tc>
      </w:tr>
      <w:tr>
        <w:trPr>
          <w:trHeight w:val="161"/>
        </w:trPr>
        <w:tc>
          <w:tcPr>
            <w:tcW w:w="5520" w:type="dxa"/>
            <w:vAlign w:val="bottom"/>
          </w:tcPr>
          <w:p>
            <w:pPr>
              <w:ind w:left="340"/>
              <w:spacing w:after="0"/>
              <w:rPr>
                <w:sz w:val="20"/>
                <w:szCs w:val="20"/>
                <w:color w:val="auto"/>
              </w:rPr>
            </w:pPr>
            <w:r>
              <w:rPr>
                <w:rFonts w:ascii="Arial" w:cs="Arial" w:eastAsia="Arial" w:hAnsi="Arial"/>
                <w:sz w:val="13"/>
                <w:szCs w:val="13"/>
                <w:color w:val="auto"/>
              </w:rPr>
              <w:t>venture partner</w:t>
            </w:r>
          </w:p>
        </w:tc>
        <w:tc>
          <w:tcPr>
            <w:tcW w:w="220" w:type="dxa"/>
            <w:vAlign w:val="bottom"/>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55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Reallocation of additional paid-in-capital to consolidated joint venture partner’s non-</w:t>
            </w:r>
          </w:p>
        </w:tc>
        <w:tc>
          <w:tcPr>
            <w:tcW w:w="220" w:type="dxa"/>
            <w:vAlign w:val="bottom"/>
            <w:vMerge w:val="restart"/>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30,185</w:t>
            </w:r>
          </w:p>
        </w:tc>
        <w:tc>
          <w:tcPr>
            <w:tcW w:w="220" w:type="dxa"/>
            <w:vAlign w:val="bottom"/>
            <w:shd w:val="clear" w:color="auto" w:fill="CCEEFF"/>
          </w:tcPr>
          <w:p>
            <w:pPr>
              <w:spacing w:after="0"/>
              <w:rPr>
                <w:sz w:val="14"/>
                <w:szCs w:val="14"/>
                <w:color w:val="auto"/>
              </w:rPr>
            </w:pPr>
          </w:p>
        </w:tc>
        <w:tc>
          <w:tcPr>
            <w:tcW w:w="220" w:type="dxa"/>
            <w:vAlign w:val="bottom"/>
            <w:vMerge w:val="restart"/>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5520" w:type="dxa"/>
            <w:vAlign w:val="bottom"/>
            <w:shd w:val="clear" w:color="auto" w:fill="CCEEFF"/>
          </w:tcPr>
          <w:p>
            <w:pPr>
              <w:ind w:left="340"/>
              <w:spacing w:after="0"/>
              <w:rPr>
                <w:sz w:val="20"/>
                <w:szCs w:val="20"/>
                <w:color w:val="auto"/>
              </w:rPr>
            </w:pPr>
            <w:r>
              <w:rPr>
                <w:rFonts w:ascii="Arial" w:cs="Arial" w:eastAsia="Arial" w:hAnsi="Arial"/>
                <w:sz w:val="13"/>
                <w:szCs w:val="13"/>
                <w:color w:val="auto"/>
              </w:rPr>
              <w:t>controlling interest</w:t>
            </w:r>
          </w:p>
        </w:tc>
        <w:tc>
          <w:tcPr>
            <w:tcW w:w="220" w:type="dxa"/>
            <w:vAlign w:val="bottom"/>
            <w:vMerge w:val="continue"/>
            <w:shd w:val="clear" w:color="auto" w:fill="CCEEFF"/>
          </w:tcPr>
          <w:p>
            <w:pPr>
              <w:spacing w:after="0"/>
              <w:rPr>
                <w:sz w:val="13"/>
                <w:szCs w:val="13"/>
                <w:color w:val="auto"/>
              </w:rPr>
            </w:pPr>
          </w:p>
        </w:tc>
        <w:tc>
          <w:tcPr>
            <w:tcW w:w="780" w:type="dxa"/>
            <w:vAlign w:val="bottom"/>
            <w:vMerge w:val="continue"/>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vMerge w:val="continue"/>
            <w:shd w:val="clear" w:color="auto" w:fill="CCEEFF"/>
          </w:tcPr>
          <w:p>
            <w:pPr>
              <w:spacing w:after="0"/>
              <w:rPr>
                <w:sz w:val="13"/>
                <w:szCs w:val="13"/>
                <w:color w:val="auto"/>
              </w:rPr>
            </w:pPr>
          </w:p>
        </w:tc>
        <w:tc>
          <w:tcPr>
            <w:tcW w:w="78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5520" w:type="dxa"/>
            <w:vAlign w:val="bottom"/>
          </w:tcPr>
          <w:p>
            <w:pPr>
              <w:ind w:left="200"/>
              <w:spacing w:after="0"/>
              <w:rPr>
                <w:sz w:val="20"/>
                <w:szCs w:val="20"/>
                <w:color w:val="auto"/>
              </w:rPr>
            </w:pPr>
            <w:r>
              <w:rPr>
                <w:rFonts w:ascii="Arial" w:cs="Arial" w:eastAsia="Arial" w:hAnsi="Arial"/>
                <w:sz w:val="13"/>
                <w:szCs w:val="13"/>
                <w:color w:val="auto"/>
              </w:rPr>
              <w:t>Transfer of real estate assets and/or equipment from tenants</w:t>
            </w:r>
          </w:p>
        </w:tc>
        <w:tc>
          <w:tcPr>
            <w:tcW w:w="22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45,719</w:t>
            </w:r>
          </w:p>
        </w:tc>
        <w:tc>
          <w:tcPr>
            <w:tcW w:w="220" w:type="dxa"/>
            <w:vAlign w:val="bottom"/>
          </w:tcPr>
          <w:p>
            <w:pPr>
              <w:spacing w:after="0"/>
              <w:rPr>
                <w:sz w:val="18"/>
                <w:szCs w:val="18"/>
                <w:color w:val="auto"/>
              </w:rPr>
            </w:pPr>
          </w:p>
        </w:tc>
        <w:tc>
          <w:tcPr>
            <w:tcW w:w="22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20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188595</wp:posOffset>
            </wp:positionV>
            <wp:extent cx="5584190" cy="32556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584190" cy="3255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Alexandria Real Estate Equities,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(Unaudited)</w:t>
      </w:r>
    </w:p>
    <w:p>
      <w:pPr>
        <w:spacing w:after="0" w:line="150" w:lineRule="exact"/>
        <w:rPr>
          <w:sz w:val="20"/>
          <w:szCs w:val="20"/>
          <w:color w:val="auto"/>
        </w:rPr>
      </w:pPr>
    </w:p>
    <w:p>
      <w:pPr>
        <w:ind w:left="900" w:hanging="262"/>
        <w:spacing w:after="0"/>
        <w:tabs>
          <w:tab w:leader="none" w:pos="900" w:val="left"/>
        </w:tabs>
        <w:numPr>
          <w:ilvl w:val="0"/>
          <w:numId w:val="3"/>
        </w:numPr>
        <w:rPr>
          <w:rFonts w:ascii="Arial" w:cs="Arial" w:eastAsia="Arial" w:hAnsi="Arial"/>
          <w:sz w:val="13"/>
          <w:szCs w:val="13"/>
          <w:b w:val="1"/>
          <w:bCs w:val="1"/>
          <w:color w:val="00497F"/>
        </w:rPr>
      </w:pPr>
      <w:r>
        <w:rPr>
          <w:rFonts w:ascii="Arial" w:cs="Arial" w:eastAsia="Arial" w:hAnsi="Arial"/>
          <w:sz w:val="13"/>
          <w:szCs w:val="13"/>
          <w:b w:val="1"/>
          <w:bCs w:val="1"/>
          <w:color w:val="00497F"/>
        </w:rPr>
        <w:t>ORGANIZATION AND BASIS OF PRESENTATION</w:t>
      </w:r>
    </w:p>
    <w:p>
      <w:pPr>
        <w:spacing w:after="0" w:line="142" w:lineRule="exact"/>
        <w:rPr>
          <w:sz w:val="20"/>
          <w:szCs w:val="20"/>
          <w:color w:val="auto"/>
        </w:rPr>
      </w:pPr>
    </w:p>
    <w:p>
      <w:pPr>
        <w:ind w:left="640" w:right="659" w:firstLine="516"/>
        <w:spacing w:after="0" w:line="263" w:lineRule="auto"/>
        <w:rPr>
          <w:sz w:val="20"/>
          <w:szCs w:val="20"/>
          <w:color w:val="auto"/>
        </w:rPr>
      </w:pPr>
      <w:r>
        <w:rPr>
          <w:rFonts w:ascii="Arial" w:cs="Arial" w:eastAsia="Arial" w:hAnsi="Arial"/>
          <w:sz w:val="12"/>
          <w:szCs w:val="12"/>
          <w:color w:val="auto"/>
        </w:rPr>
        <w:t>Alexandria Real Estate Equities, Inc. (NYSE: ARE), an S&amp;P 500</w:t>
      </w:r>
      <w:r>
        <w:rPr>
          <w:rFonts w:ascii="Arial" w:cs="Arial" w:eastAsia="Arial" w:hAnsi="Arial"/>
          <w:sz w:val="15"/>
          <w:szCs w:val="15"/>
          <w:color w:val="auto"/>
          <w:vertAlign w:val="superscript"/>
        </w:rPr>
        <w:t>®</w:t>
      </w:r>
      <w:r>
        <w:rPr>
          <w:rFonts w:ascii="Arial" w:cs="Arial" w:eastAsia="Arial" w:hAnsi="Arial"/>
          <w:sz w:val="12"/>
          <w:szCs w:val="12"/>
          <w:color w:val="auto"/>
        </w:rPr>
        <w:t xml:space="preserve"> life science REIT, is the pioneer of the life science real estate niche since its founding in 1994. Alexandria is the preeminent and longest-tenured owner, operator, and developer of collaborative life science mega campuses in AAA innovation cluster locations, including Greater Boston, the San Francisco Bay Area, San Diego, Seattle, Maryland, Research Triangle, and New York City. As of June 30, 2024, Alexandria has a total market capitalization of</w:t>
      </w:r>
    </w:p>
    <w:p>
      <w:pPr>
        <w:spacing w:after="0" w:line="1" w:lineRule="exact"/>
        <w:rPr>
          <w:sz w:val="20"/>
          <w:szCs w:val="20"/>
          <w:color w:val="auto"/>
        </w:rPr>
      </w:pPr>
    </w:p>
    <w:p>
      <w:pPr>
        <w:ind w:left="640" w:right="699"/>
        <w:spacing w:after="0" w:line="250" w:lineRule="auto"/>
        <w:rPr>
          <w:sz w:val="20"/>
          <w:szCs w:val="20"/>
          <w:color w:val="auto"/>
        </w:rPr>
      </w:pPr>
      <w:r>
        <w:rPr>
          <w:rFonts w:ascii="Arial" w:cs="Arial" w:eastAsia="Arial" w:hAnsi="Arial"/>
          <w:sz w:val="13"/>
          <w:szCs w:val="13"/>
          <w:color w:val="auto"/>
        </w:rPr>
        <w:t>$32.5 billion and an asset base in North America that includes 42.1 million RSF of operating properties and 5.3 million RSF of Class A/ A+ properties undergoing construction and one committed near-term project expected to commence construction in the next two years. As used in this quarterly report on Form 10-Q, references to the “Company,” “Alexandria,” “ARE,” “we,” “us,” and “our” refer to Alexandria Real Estate Equities, Inc. and its consolidated subsidiaries. The accompanying unaudited consolidated financial statements include the accounts of Alexandria Real Estate Equities, Inc. and its consolidated subsidiaries. All significant intercompany balances and transactions have been eliminated.</w:t>
      </w:r>
    </w:p>
    <w:p>
      <w:pPr>
        <w:spacing w:after="0" w:line="138" w:lineRule="exact"/>
        <w:rPr>
          <w:sz w:val="20"/>
          <w:szCs w:val="20"/>
          <w:color w:val="auto"/>
        </w:rPr>
      </w:pPr>
    </w:p>
    <w:p>
      <w:pPr>
        <w:ind w:left="640" w:right="679" w:firstLine="516"/>
        <w:spacing w:after="0" w:line="251" w:lineRule="auto"/>
        <w:rPr>
          <w:sz w:val="20"/>
          <w:szCs w:val="20"/>
          <w:color w:val="auto"/>
        </w:rPr>
      </w:pPr>
      <w:r>
        <w:rPr>
          <w:rFonts w:ascii="Arial" w:cs="Arial" w:eastAsia="Arial" w:hAnsi="Arial"/>
          <w:sz w:val="13"/>
          <w:szCs w:val="13"/>
          <w:color w:val="auto"/>
        </w:rPr>
        <w:t>We have prepared the accompanying interim consolidated financial statements in accordance with GAAP and in conformity with the rules and regulations of the SEC. In our opinion, these interim consolidated financial statements presented herein reflect all adjustments, of a normal recurring nature, that are necessary to fairly present the interim consolidated financial statements. The results of operations for the interim period are not necessarily indicative of the results that may be expected for the year ending December 31, 2024. These unaudited consolidated financial statements should be read in conjunction with the audited consolidated financial statements and the notes thereto included in our annual report on Form 10-K for the year ended December 31, 2023. Any references to our total market capitalization, number or quality of buildings or tenants, quality of location, square footage, number of leases, or occupancy percentage, and any amounts derived from these values in these notes to consolidated financial statements are outside the scope of our independent registered public accounting firm’s procedures.</w:t>
      </w:r>
    </w:p>
    <w:p>
      <w:pPr>
        <w:sectPr>
          <w:pgSz w:w="11900" w:h="16838" w:orient="portrait"/>
          <w:cols w:equalWidth="0" w:num="1">
            <w:col w:w="9019"/>
          </w:cols>
          <w:pgMar w:left="1440" w:top="1022" w:right="1440" w:bottom="0" w:gutter="0" w:footer="0" w:header="0"/>
        </w:sectPr>
      </w:pPr>
    </w:p>
    <w:bookmarkStart w:id="8" w:name="page9"/>
    <w:bookmarkEnd w:id="8"/>
    <w:p>
      <w:pPr>
        <w:spacing w:after="0" w:line="41" w:lineRule="exact"/>
        <w:rPr>
          <w:sz w:val="20"/>
          <w:szCs w:val="20"/>
          <w:color w:val="auto"/>
        </w:rPr>
      </w:pPr>
    </w:p>
    <w:p>
      <w:pPr>
        <w:ind w:left="900" w:hanging="262"/>
        <w:spacing w:after="0"/>
        <w:tabs>
          <w:tab w:leader="none" w:pos="900" w:val="left"/>
        </w:tabs>
        <w:numPr>
          <w:ilvl w:val="0"/>
          <w:numId w:val="4"/>
        </w:numPr>
        <w:rPr>
          <w:rFonts w:ascii="Arial" w:cs="Arial" w:eastAsia="Arial" w:hAnsi="Arial"/>
          <w:sz w:val="13"/>
          <w:szCs w:val="13"/>
          <w:b w:val="1"/>
          <w:bCs w:val="1"/>
          <w:color w:val="00497F"/>
        </w:rPr>
      </w:pPr>
      <w:r>
        <w:rPr>
          <w:rFonts w:ascii="Arial" w:cs="Arial" w:eastAsia="Arial" w:hAnsi="Arial"/>
          <w:sz w:val="13"/>
          <w:szCs w:val="13"/>
          <w:b w:val="1"/>
          <w:bCs w:val="1"/>
          <w:color w:val="00497F"/>
        </w:rPr>
        <w:t>SUMMARY OF SIGNIFICANT ACCOUNTING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-80010</wp:posOffset>
            </wp:positionV>
            <wp:extent cx="5584190" cy="3957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584190" cy="3957955"/>
                    </a:xfrm>
                    <a:prstGeom prst="rect">
                      <a:avLst/>
                    </a:prstGeom>
                    <a:noFill/>
                  </pic:spPr>
                </pic:pic>
              </a:graphicData>
            </a:graphic>
          </wp:anchor>
        </w:drawing>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3"/>
          <w:szCs w:val="13"/>
          <w:b w:val="1"/>
          <w:bCs w:val="1"/>
          <w:u w:val="single" w:color="auto"/>
          <w:color w:val="00497F"/>
        </w:rPr>
        <w:t>Consolidation</w:t>
      </w:r>
    </w:p>
    <w:p>
      <w:pPr>
        <w:spacing w:after="0" w:line="162" w:lineRule="exact"/>
        <w:rPr>
          <w:sz w:val="20"/>
          <w:szCs w:val="20"/>
          <w:color w:val="auto"/>
        </w:rPr>
      </w:pPr>
    </w:p>
    <w:p>
      <w:pPr>
        <w:ind w:left="640" w:right="719" w:firstLine="516"/>
        <w:spacing w:after="0" w:line="257" w:lineRule="auto"/>
        <w:rPr>
          <w:sz w:val="20"/>
          <w:szCs w:val="20"/>
          <w:color w:val="auto"/>
        </w:rPr>
      </w:pPr>
      <w:r>
        <w:rPr>
          <w:rFonts w:ascii="Arial" w:cs="Arial" w:eastAsia="Arial" w:hAnsi="Arial"/>
          <w:sz w:val="13"/>
          <w:szCs w:val="13"/>
          <w:color w:val="auto"/>
        </w:rPr>
        <w:t>On an ongoing basis, as circumstances indicate the need for reconsideration, we evaluate each legal entity that is not wholly owned by us in accordance with the consolidation accounting guidance. Our evaluation considers all of our variable interests, including equity ownership, as well as fees paid to us for our involvement in the management of each partially owned entity. To fall within the scope of the consolidation guidance, an entity must meet both of the following criteria:</w:t>
      </w:r>
    </w:p>
    <w:p>
      <w:pPr>
        <w:spacing w:after="0" w:line="133" w:lineRule="exact"/>
        <w:rPr>
          <w:sz w:val="20"/>
          <w:szCs w:val="20"/>
          <w:color w:val="auto"/>
        </w:rPr>
      </w:pPr>
    </w:p>
    <w:p>
      <w:pPr>
        <w:ind w:left="1420" w:right="859" w:hanging="267"/>
        <w:spacing w:after="0" w:line="256" w:lineRule="auto"/>
        <w:tabs>
          <w:tab w:leader="none" w:pos="1420" w:val="left"/>
        </w:tabs>
        <w:numPr>
          <w:ilvl w:val="0"/>
          <w:numId w:val="5"/>
        </w:numPr>
        <w:rPr>
          <w:rFonts w:ascii="Arial" w:cs="Arial" w:eastAsia="Arial" w:hAnsi="Arial"/>
          <w:sz w:val="13"/>
          <w:szCs w:val="13"/>
          <w:color w:val="auto"/>
        </w:rPr>
      </w:pPr>
      <w:r>
        <w:rPr>
          <w:rFonts w:ascii="Arial" w:cs="Arial" w:eastAsia="Arial" w:hAnsi="Arial"/>
          <w:sz w:val="13"/>
          <w:szCs w:val="13"/>
          <w:color w:val="auto"/>
        </w:rPr>
        <w:t>The entity has a legal structure that has been established to conduct business activities and to hold assets; such entity can be in the form of a partnership, limited liability company, or corporation, among others; and</w:t>
      </w:r>
    </w:p>
    <w:p>
      <w:pPr>
        <w:ind w:left="1420" w:right="779" w:hanging="267"/>
        <w:spacing w:after="0" w:line="259" w:lineRule="auto"/>
        <w:tabs>
          <w:tab w:leader="none" w:pos="1420" w:val="left"/>
        </w:tabs>
        <w:numPr>
          <w:ilvl w:val="0"/>
          <w:numId w:val="5"/>
        </w:numPr>
        <w:rPr>
          <w:rFonts w:ascii="Arial" w:cs="Arial" w:eastAsia="Arial" w:hAnsi="Arial"/>
          <w:sz w:val="13"/>
          <w:szCs w:val="13"/>
          <w:color w:val="auto"/>
        </w:rPr>
      </w:pPr>
      <w:r>
        <w:rPr>
          <w:rFonts w:ascii="Arial" w:cs="Arial" w:eastAsia="Arial" w:hAnsi="Arial"/>
          <w:sz w:val="13"/>
          <w:szCs w:val="13"/>
          <w:color w:val="auto"/>
        </w:rPr>
        <w:t>We have a variable interest in the legal entity — i.e., variable interests that are contractual, such as equity ownership, or other financial interests that change with changes in the fair value of the entity’s net assets.</w:t>
      </w:r>
    </w:p>
    <w:p>
      <w:pPr>
        <w:spacing w:after="0" w:line="132" w:lineRule="exact"/>
        <w:rPr>
          <w:sz w:val="20"/>
          <w:szCs w:val="20"/>
          <w:color w:val="auto"/>
        </w:rPr>
      </w:pPr>
    </w:p>
    <w:p>
      <w:pPr>
        <w:ind w:left="640" w:right="699" w:firstLine="516"/>
        <w:spacing w:after="0" w:line="265" w:lineRule="auto"/>
        <w:rPr>
          <w:sz w:val="20"/>
          <w:szCs w:val="20"/>
          <w:color w:val="auto"/>
        </w:rPr>
      </w:pPr>
      <w:r>
        <w:rPr>
          <w:rFonts w:ascii="Arial" w:cs="Arial" w:eastAsia="Arial" w:hAnsi="Arial"/>
          <w:sz w:val="13"/>
          <w:szCs w:val="13"/>
          <w:color w:val="auto"/>
        </w:rPr>
        <w:t>If an entity does not meet both criteria above, we apply other accounting literature, such as the equity method of accounting. If an entity does meet both criteria above, we evaluate such entity for consolidation under either the variable interest model if the legal entity meets any of the characteristics below to qualify as a VIE, or under the voting model for all other legal entities that are not VIEs.</w:t>
      </w:r>
    </w:p>
    <w:p>
      <w:pPr>
        <w:spacing w:after="0" w:line="74" w:lineRule="exact"/>
        <w:rPr>
          <w:sz w:val="20"/>
          <w:szCs w:val="20"/>
          <w:color w:val="auto"/>
        </w:rPr>
      </w:pPr>
    </w:p>
    <w:p>
      <w:pPr>
        <w:ind w:left="1160"/>
        <w:spacing w:after="0"/>
        <w:rPr>
          <w:sz w:val="20"/>
          <w:szCs w:val="20"/>
          <w:color w:val="auto"/>
        </w:rPr>
      </w:pPr>
      <w:r>
        <w:rPr>
          <w:rFonts w:ascii="Arial" w:cs="Arial" w:eastAsia="Arial" w:hAnsi="Arial"/>
          <w:sz w:val="13"/>
          <w:szCs w:val="13"/>
          <w:color w:val="auto"/>
        </w:rPr>
        <w:t>A legal entity is determined to be a VIE if it has any of the following three characteristics:</w:t>
      </w:r>
    </w:p>
    <w:p>
      <w:pPr>
        <w:spacing w:after="0" w:line="151" w:lineRule="exact"/>
        <w:rPr>
          <w:sz w:val="20"/>
          <w:szCs w:val="20"/>
          <w:color w:val="auto"/>
        </w:rPr>
      </w:pPr>
    </w:p>
    <w:p>
      <w:pPr>
        <w:ind w:left="1420" w:hanging="267"/>
        <w:spacing w:after="0"/>
        <w:tabs>
          <w:tab w:leader="none" w:pos="1420" w:val="left"/>
        </w:tabs>
        <w:numPr>
          <w:ilvl w:val="0"/>
          <w:numId w:val="6"/>
        </w:numPr>
        <w:rPr>
          <w:rFonts w:ascii="Arial" w:cs="Arial" w:eastAsia="Arial" w:hAnsi="Arial"/>
          <w:sz w:val="13"/>
          <w:szCs w:val="13"/>
          <w:color w:val="auto"/>
        </w:rPr>
      </w:pPr>
      <w:r>
        <w:rPr>
          <w:rFonts w:ascii="Arial" w:cs="Arial" w:eastAsia="Arial" w:hAnsi="Arial"/>
          <w:sz w:val="13"/>
          <w:szCs w:val="13"/>
          <w:color w:val="auto"/>
        </w:rPr>
        <w:t>The entity does not have sufficient equity to finance its activities without additional subordinated financial support;</w:t>
      </w:r>
    </w:p>
    <w:p>
      <w:pPr>
        <w:spacing w:after="0" w:line="19" w:lineRule="exact"/>
        <w:rPr>
          <w:rFonts w:ascii="Arial" w:cs="Arial" w:eastAsia="Arial" w:hAnsi="Arial"/>
          <w:sz w:val="13"/>
          <w:szCs w:val="13"/>
          <w:color w:val="auto"/>
        </w:rPr>
      </w:pPr>
    </w:p>
    <w:p>
      <w:pPr>
        <w:ind w:left="1420" w:right="1159" w:hanging="267"/>
        <w:spacing w:after="0" w:line="249" w:lineRule="auto"/>
        <w:tabs>
          <w:tab w:leader="none" w:pos="1420" w:val="left"/>
        </w:tabs>
        <w:numPr>
          <w:ilvl w:val="0"/>
          <w:numId w:val="6"/>
        </w:numPr>
        <w:rPr>
          <w:rFonts w:ascii="Arial" w:cs="Arial" w:eastAsia="Arial" w:hAnsi="Arial"/>
          <w:sz w:val="13"/>
          <w:szCs w:val="13"/>
          <w:color w:val="auto"/>
        </w:rPr>
      </w:pPr>
      <w:r>
        <w:rPr>
          <w:rFonts w:ascii="Arial" w:cs="Arial" w:eastAsia="Arial" w:hAnsi="Arial"/>
          <w:sz w:val="13"/>
          <w:szCs w:val="13"/>
          <w:color w:val="auto"/>
        </w:rPr>
        <w:t>The entity is established with non-substantive voting rights (i.e., the entity deprives the majority economic interest holder(s) of voting rights); or</w:t>
      </w:r>
    </w:p>
    <w:p>
      <w:pPr>
        <w:spacing w:after="0" w:line="1" w:lineRule="exact"/>
        <w:rPr>
          <w:rFonts w:ascii="Arial" w:cs="Arial" w:eastAsia="Arial" w:hAnsi="Arial"/>
          <w:sz w:val="13"/>
          <w:szCs w:val="13"/>
          <w:color w:val="auto"/>
        </w:rPr>
      </w:pPr>
    </w:p>
    <w:p>
      <w:pPr>
        <w:ind w:left="1420" w:right="719" w:hanging="267"/>
        <w:spacing w:after="0" w:line="244" w:lineRule="auto"/>
        <w:tabs>
          <w:tab w:leader="none" w:pos="1420" w:val="left"/>
        </w:tabs>
        <w:numPr>
          <w:ilvl w:val="0"/>
          <w:numId w:val="6"/>
        </w:numPr>
        <w:rPr>
          <w:rFonts w:ascii="Arial" w:cs="Arial" w:eastAsia="Arial" w:hAnsi="Arial"/>
          <w:sz w:val="13"/>
          <w:szCs w:val="13"/>
          <w:color w:val="auto"/>
        </w:rPr>
      </w:pPr>
      <w:r>
        <w:rPr>
          <w:rFonts w:ascii="Arial" w:cs="Arial" w:eastAsia="Arial" w:hAnsi="Arial"/>
          <w:sz w:val="13"/>
          <w:szCs w:val="13"/>
          <w:color w:val="auto"/>
        </w:rPr>
        <w:t>The equity holders, as a group, lack the characteristics of a controlling financial interest. Equity holders meet this criterion if they lack any of the following:</w:t>
      </w:r>
    </w:p>
    <w:p>
      <w:pPr>
        <w:spacing w:after="0" w:line="1" w:lineRule="exact"/>
        <w:rPr>
          <w:rFonts w:ascii="Arial" w:cs="Arial" w:eastAsia="Arial" w:hAnsi="Arial"/>
          <w:sz w:val="13"/>
          <w:szCs w:val="13"/>
          <w:color w:val="auto"/>
        </w:rPr>
      </w:pPr>
    </w:p>
    <w:p>
      <w:pPr>
        <w:ind w:left="1660" w:right="799" w:hanging="249"/>
        <w:spacing w:after="0" w:line="249" w:lineRule="auto"/>
        <w:tabs>
          <w:tab w:leader="none" w:pos="1660" w:val="left"/>
        </w:tabs>
        <w:numPr>
          <w:ilvl w:val="1"/>
          <w:numId w:val="6"/>
        </w:numPr>
        <w:rPr>
          <w:rFonts w:ascii="Arial" w:cs="Arial" w:eastAsia="Arial" w:hAnsi="Arial"/>
          <w:sz w:val="13"/>
          <w:szCs w:val="13"/>
          <w:color w:val="auto"/>
        </w:rPr>
      </w:pPr>
      <w:r>
        <w:rPr>
          <w:rFonts w:ascii="Arial" w:cs="Arial" w:eastAsia="Arial" w:hAnsi="Arial"/>
          <w:sz w:val="13"/>
          <w:szCs w:val="13"/>
          <w:color w:val="auto"/>
        </w:rPr>
        <w:t>The power, through voting rights or similar rights, to direct the activities of the entity that most significantly influence the entity’s economic performance, as evidenced by:</w:t>
      </w:r>
    </w:p>
    <w:p>
      <w:pPr>
        <w:spacing w:after="0" w:line="1" w:lineRule="exact"/>
        <w:rPr>
          <w:rFonts w:ascii="Arial" w:cs="Arial" w:eastAsia="Arial" w:hAnsi="Arial"/>
          <w:sz w:val="13"/>
          <w:szCs w:val="13"/>
          <w:color w:val="auto"/>
        </w:rPr>
      </w:pPr>
    </w:p>
    <w:p>
      <w:pPr>
        <w:ind w:left="1920" w:hanging="251"/>
        <w:spacing w:after="0"/>
        <w:tabs>
          <w:tab w:leader="none" w:pos="1920" w:val="left"/>
        </w:tabs>
        <w:numPr>
          <w:ilvl w:val="2"/>
          <w:numId w:val="6"/>
        </w:numPr>
        <w:rPr>
          <w:rFonts w:ascii="Arial" w:cs="Arial" w:eastAsia="Arial" w:hAnsi="Arial"/>
          <w:sz w:val="13"/>
          <w:szCs w:val="13"/>
          <w:color w:val="auto"/>
        </w:rPr>
      </w:pPr>
      <w:r>
        <w:rPr>
          <w:rFonts w:ascii="Arial" w:cs="Arial" w:eastAsia="Arial" w:hAnsi="Arial"/>
          <w:sz w:val="13"/>
          <w:szCs w:val="13"/>
          <w:color w:val="auto"/>
        </w:rPr>
        <w:t>Substantive participating rights in day-to-day management of the entity’s activities; or</w:t>
      </w:r>
    </w:p>
    <w:p>
      <w:pPr>
        <w:spacing w:after="0" w:line="7" w:lineRule="exact"/>
        <w:rPr>
          <w:rFonts w:ascii="Arial" w:cs="Arial" w:eastAsia="Arial" w:hAnsi="Arial"/>
          <w:sz w:val="13"/>
          <w:szCs w:val="13"/>
          <w:color w:val="auto"/>
        </w:rPr>
      </w:pPr>
    </w:p>
    <w:p>
      <w:pPr>
        <w:ind w:left="1920" w:hanging="251"/>
        <w:spacing w:after="0"/>
        <w:tabs>
          <w:tab w:leader="none" w:pos="1920" w:val="left"/>
        </w:tabs>
        <w:numPr>
          <w:ilvl w:val="2"/>
          <w:numId w:val="6"/>
        </w:numPr>
        <w:rPr>
          <w:rFonts w:ascii="Arial" w:cs="Arial" w:eastAsia="Arial" w:hAnsi="Arial"/>
          <w:sz w:val="13"/>
          <w:szCs w:val="13"/>
          <w:color w:val="auto"/>
        </w:rPr>
      </w:pPr>
      <w:r>
        <w:rPr>
          <w:rFonts w:ascii="Arial" w:cs="Arial" w:eastAsia="Arial" w:hAnsi="Arial"/>
          <w:sz w:val="13"/>
          <w:szCs w:val="13"/>
          <w:color w:val="auto"/>
        </w:rPr>
        <w:t>Substantive kick-out rights over the party responsible for significant decisions;</w:t>
      </w:r>
    </w:p>
    <w:p>
      <w:pPr>
        <w:spacing w:after="0" w:line="5" w:lineRule="exact"/>
        <w:rPr>
          <w:rFonts w:ascii="Arial" w:cs="Arial" w:eastAsia="Arial" w:hAnsi="Arial"/>
          <w:sz w:val="13"/>
          <w:szCs w:val="13"/>
          <w:color w:val="auto"/>
        </w:rPr>
      </w:pPr>
    </w:p>
    <w:p>
      <w:pPr>
        <w:ind w:left="1660" w:hanging="249"/>
        <w:spacing w:after="0"/>
        <w:tabs>
          <w:tab w:leader="none" w:pos="1660" w:val="left"/>
        </w:tabs>
        <w:numPr>
          <w:ilvl w:val="1"/>
          <w:numId w:val="6"/>
        </w:numPr>
        <w:rPr>
          <w:rFonts w:ascii="Arial" w:cs="Arial" w:eastAsia="Arial" w:hAnsi="Arial"/>
          <w:sz w:val="13"/>
          <w:szCs w:val="13"/>
          <w:color w:val="auto"/>
        </w:rPr>
      </w:pPr>
      <w:r>
        <w:rPr>
          <w:rFonts w:ascii="Arial" w:cs="Arial" w:eastAsia="Arial" w:hAnsi="Arial"/>
          <w:sz w:val="13"/>
          <w:szCs w:val="13"/>
          <w:color w:val="auto"/>
        </w:rPr>
        <w:t>The obligation to absorb the entity’s expected losses; or</w:t>
      </w:r>
    </w:p>
    <w:p>
      <w:pPr>
        <w:ind w:left="1660" w:hanging="249"/>
        <w:spacing w:after="0"/>
        <w:tabs>
          <w:tab w:leader="none" w:pos="1660" w:val="left"/>
        </w:tabs>
        <w:numPr>
          <w:ilvl w:val="1"/>
          <w:numId w:val="6"/>
        </w:numPr>
        <w:rPr>
          <w:rFonts w:ascii="Arial" w:cs="Arial" w:eastAsia="Arial" w:hAnsi="Arial"/>
          <w:sz w:val="13"/>
          <w:szCs w:val="13"/>
          <w:color w:val="auto"/>
        </w:rPr>
      </w:pPr>
      <w:r>
        <w:rPr>
          <w:rFonts w:ascii="Arial" w:cs="Arial" w:eastAsia="Arial" w:hAnsi="Arial"/>
          <w:sz w:val="13"/>
          <w:szCs w:val="13"/>
          <w:color w:val="auto"/>
        </w:rPr>
        <w:t>The right to receive the entity’s expected residual returns.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188595</wp:posOffset>
            </wp:positionV>
            <wp:extent cx="5584190" cy="64954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584190" cy="6495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900" w:hanging="262"/>
        <w:spacing w:after="0"/>
        <w:tabs>
          <w:tab w:leader="none" w:pos="900" w:val="left"/>
        </w:tabs>
        <w:numPr>
          <w:ilvl w:val="0"/>
          <w:numId w:val="7"/>
        </w:numPr>
        <w:rPr>
          <w:rFonts w:ascii="Arial" w:cs="Arial" w:eastAsia="Arial" w:hAnsi="Arial"/>
          <w:sz w:val="13"/>
          <w:szCs w:val="13"/>
          <w:b w:val="1"/>
          <w:bCs w:val="1"/>
          <w:color w:val="00497F"/>
        </w:rPr>
      </w:pPr>
      <w:r>
        <w:rPr>
          <w:rFonts w:ascii="Arial" w:cs="Arial" w:eastAsia="Arial" w:hAnsi="Arial"/>
          <w:sz w:val="13"/>
          <w:szCs w:val="13"/>
          <w:b w:val="1"/>
          <w:bCs w:val="1"/>
          <w:color w:val="00497F"/>
        </w:rPr>
        <w:t>SUMMARY OF SIGNIFICANT ACCOUNTING POLICIES (continued)</w:t>
      </w:r>
    </w:p>
    <w:p>
      <w:pPr>
        <w:spacing w:after="0" w:line="119" w:lineRule="exact"/>
        <w:rPr>
          <w:sz w:val="20"/>
          <w:szCs w:val="20"/>
          <w:color w:val="auto"/>
        </w:rPr>
      </w:pPr>
    </w:p>
    <w:p>
      <w:pPr>
        <w:ind w:left="640" w:right="659" w:firstLine="516"/>
        <w:spacing w:after="0" w:line="285" w:lineRule="auto"/>
        <w:rPr>
          <w:sz w:val="20"/>
          <w:szCs w:val="20"/>
          <w:color w:val="auto"/>
        </w:rPr>
      </w:pPr>
      <w:r>
        <w:rPr>
          <w:rFonts w:ascii="Arial" w:cs="Arial" w:eastAsia="Arial" w:hAnsi="Arial"/>
          <w:sz w:val="12"/>
          <w:szCs w:val="12"/>
          <w:color w:val="auto"/>
        </w:rPr>
        <w:t>For an entity, including our real estate joint ventures, structured as a limited partnership or a limited liability company, our evaluation of whether the equity holders (equity partners other than the general partner or the managing member of a joint venture) lack the characteristics of a controlling financial interest includes the evaluation of whether the limited partners or non-managing members (the noncontrolling equity holders) lack both substantive participating rights and substantive kick-out rights, defined as follows:</w:t>
      </w:r>
    </w:p>
    <w:p>
      <w:pPr>
        <w:spacing w:after="0" w:line="118" w:lineRule="exact"/>
        <w:rPr>
          <w:sz w:val="20"/>
          <w:szCs w:val="20"/>
          <w:color w:val="auto"/>
        </w:rPr>
      </w:pPr>
    </w:p>
    <w:p>
      <w:pPr>
        <w:ind w:left="1420" w:right="899" w:hanging="267"/>
        <w:spacing w:after="0" w:line="277" w:lineRule="auto"/>
        <w:tabs>
          <w:tab w:leader="none" w:pos="1420" w:val="left"/>
        </w:tabs>
        <w:numPr>
          <w:ilvl w:val="0"/>
          <w:numId w:val="8"/>
        </w:numPr>
        <w:rPr>
          <w:rFonts w:ascii="Arial" w:cs="Arial" w:eastAsia="Arial" w:hAnsi="Arial"/>
          <w:sz w:val="12"/>
          <w:szCs w:val="12"/>
          <w:color w:val="auto"/>
        </w:rPr>
      </w:pPr>
      <w:r>
        <w:rPr>
          <w:rFonts w:ascii="Arial" w:cs="Arial" w:eastAsia="Arial" w:hAnsi="Arial"/>
          <w:sz w:val="12"/>
          <w:szCs w:val="12"/>
          <w:color w:val="auto"/>
        </w:rPr>
        <w:t>Participating rights provide the noncontrolling equity holders the ability to direct significant financial and operating decisions made in the ordinary course of business that most significantly influence the entity’s economic performance.</w:t>
      </w:r>
    </w:p>
    <w:p>
      <w:pPr>
        <w:ind w:left="1420" w:hanging="267"/>
        <w:spacing w:after="0"/>
        <w:tabs>
          <w:tab w:leader="none" w:pos="1420" w:val="left"/>
        </w:tabs>
        <w:numPr>
          <w:ilvl w:val="0"/>
          <w:numId w:val="8"/>
        </w:numPr>
        <w:rPr>
          <w:rFonts w:ascii="Arial" w:cs="Arial" w:eastAsia="Arial" w:hAnsi="Arial"/>
          <w:sz w:val="13"/>
          <w:szCs w:val="13"/>
          <w:color w:val="auto"/>
        </w:rPr>
      </w:pPr>
      <w:r>
        <w:rPr>
          <w:rFonts w:ascii="Arial" w:cs="Arial" w:eastAsia="Arial" w:hAnsi="Arial"/>
          <w:sz w:val="13"/>
          <w:szCs w:val="13"/>
          <w:color w:val="auto"/>
        </w:rPr>
        <w:t>Kick-out rights allow the noncontrolling equity holders to remove the general partner or managing member without cause.</w:t>
      </w:r>
    </w:p>
    <w:p>
      <w:pPr>
        <w:spacing w:after="0" w:line="154" w:lineRule="exact"/>
        <w:rPr>
          <w:sz w:val="20"/>
          <w:szCs w:val="20"/>
          <w:color w:val="auto"/>
        </w:rPr>
      </w:pPr>
    </w:p>
    <w:p>
      <w:pPr>
        <w:ind w:left="640" w:right="659" w:firstLine="516"/>
        <w:spacing w:after="0" w:line="256" w:lineRule="auto"/>
        <w:rPr>
          <w:sz w:val="20"/>
          <w:szCs w:val="20"/>
          <w:color w:val="auto"/>
        </w:rPr>
      </w:pPr>
      <w:r>
        <w:rPr>
          <w:rFonts w:ascii="Arial" w:cs="Arial" w:eastAsia="Arial" w:hAnsi="Arial"/>
          <w:sz w:val="13"/>
          <w:szCs w:val="13"/>
          <w:color w:val="auto"/>
        </w:rPr>
        <w:t>If we conclude that any of the three characteristics of a VIE are met, including that the equity holders lack the characteristics of a controlling financial interest because they lack both substantive participating rights and substantive kick-out rights, we conclude that the entity is a VIE and evaluate it for consolidation under the variable interest model.</w:t>
      </w:r>
    </w:p>
    <w:p>
      <w:pPr>
        <w:spacing w:after="0" w:line="134"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00497F"/>
        </w:rPr>
        <w:t>Variable interest model</w:t>
      </w:r>
    </w:p>
    <w:p>
      <w:pPr>
        <w:spacing w:after="0" w:line="162" w:lineRule="exact"/>
        <w:rPr>
          <w:sz w:val="20"/>
          <w:szCs w:val="20"/>
          <w:color w:val="auto"/>
        </w:rPr>
      </w:pPr>
    </w:p>
    <w:p>
      <w:pPr>
        <w:ind w:left="640" w:right="719" w:firstLine="516"/>
        <w:spacing w:after="0" w:line="253" w:lineRule="auto"/>
        <w:rPr>
          <w:sz w:val="20"/>
          <w:szCs w:val="20"/>
          <w:color w:val="auto"/>
        </w:rPr>
      </w:pPr>
      <w:r>
        <w:rPr>
          <w:rFonts w:ascii="Arial" w:cs="Arial" w:eastAsia="Arial" w:hAnsi="Arial"/>
          <w:sz w:val="13"/>
          <w:szCs w:val="13"/>
          <w:color w:val="auto"/>
        </w:rPr>
        <w:t>If an entity is determined to be a VIE, we evaluate whether we are the primary beneficiary. The primary beneficiary analysis is a qualitative analysis based on power and benefits. We consolidate a VIE if we have both power and benefits — that is, (i) we have the power to direct the activities of a VIE that most significantly influence the VIE’s economic performance (power) and (ii) we have the obligation to absorb losses of or the right to receive benefits from the VIE that could potentially be significant to the VIE (benefits). We consolidate VIEs whenever we determine that we are the primary beneficiary. Refer to Note 4 – “Consolidated and unconsolidated real estate joint ventures” and Note 7 – “Investments” to our unaudited consolidated financial statements for information on specific entities that qualify as VIEs. If we have a variable interest in a VIE but are not the primary beneficiary, we account for our investment using the equity method.</w:t>
      </w:r>
    </w:p>
    <w:p>
      <w:pPr>
        <w:spacing w:after="0" w:line="135"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00497F"/>
        </w:rPr>
        <w:t>Voting model</w:t>
      </w:r>
    </w:p>
    <w:p>
      <w:pPr>
        <w:spacing w:after="0" w:line="151" w:lineRule="exact"/>
        <w:rPr>
          <w:sz w:val="20"/>
          <w:szCs w:val="20"/>
          <w:color w:val="auto"/>
        </w:rPr>
      </w:pPr>
    </w:p>
    <w:p>
      <w:pPr>
        <w:ind w:left="640" w:right="659" w:firstLine="516"/>
        <w:spacing w:after="0" w:line="254" w:lineRule="auto"/>
        <w:rPr>
          <w:sz w:val="20"/>
          <w:szCs w:val="20"/>
          <w:color w:val="auto"/>
        </w:rPr>
      </w:pPr>
      <w:r>
        <w:rPr>
          <w:rFonts w:ascii="Arial" w:cs="Arial" w:eastAsia="Arial" w:hAnsi="Arial"/>
          <w:sz w:val="13"/>
          <w:szCs w:val="13"/>
          <w:color w:val="auto"/>
        </w:rPr>
        <w:t>If a legal entity fails to meet any of the three characteristics of a VIE (i.e., insufficiency of equity, existence of non-substantive voting rights, or lack of a controlling financial interest), we then evaluate such entity under the voting model. Under the voting model, we consolidate the entity if we determine that we, directly or indirectly, have greater than 50% of the voting shares (or own a majority of the limited partnership’s kick-out rights through voting interests), and that other equity holders do not have substantive participating rights. Refer to Note 4 – “Consolidated and unconsolidated real estate joint ventures” to our unaudited consolidated financial statements for information on specific joint ventures that qualify for evaluation under the voting model.</w:t>
      </w:r>
    </w:p>
    <w:p>
      <w:pPr>
        <w:spacing w:after="0" w:line="135" w:lineRule="exact"/>
        <w:rPr>
          <w:sz w:val="20"/>
          <w:szCs w:val="20"/>
          <w:color w:val="auto"/>
        </w:rPr>
      </w:pPr>
    </w:p>
    <w:p>
      <w:pPr>
        <w:ind w:left="640"/>
        <w:spacing w:after="0"/>
        <w:rPr>
          <w:sz w:val="20"/>
          <w:szCs w:val="20"/>
          <w:color w:val="auto"/>
        </w:rPr>
      </w:pPr>
      <w:r>
        <w:rPr>
          <w:rFonts w:ascii="Arial" w:cs="Arial" w:eastAsia="Arial" w:hAnsi="Arial"/>
          <w:sz w:val="13"/>
          <w:szCs w:val="13"/>
          <w:b w:val="1"/>
          <w:bCs w:val="1"/>
          <w:u w:val="single" w:color="auto"/>
          <w:color w:val="00497F"/>
        </w:rPr>
        <w:t>Use of estimates</w:t>
      </w:r>
    </w:p>
    <w:p>
      <w:pPr>
        <w:spacing w:after="0" w:line="162" w:lineRule="exact"/>
        <w:rPr>
          <w:sz w:val="20"/>
          <w:szCs w:val="20"/>
          <w:color w:val="auto"/>
        </w:rPr>
      </w:pPr>
    </w:p>
    <w:p>
      <w:pPr>
        <w:ind w:left="640" w:right="679" w:firstLine="516"/>
        <w:spacing w:after="0" w:line="257" w:lineRule="auto"/>
        <w:rPr>
          <w:sz w:val="20"/>
          <w:szCs w:val="20"/>
          <w:color w:val="auto"/>
        </w:rPr>
      </w:pPr>
      <w:r>
        <w:rPr>
          <w:rFonts w:ascii="Arial" w:cs="Arial" w:eastAsia="Arial" w:hAnsi="Arial"/>
          <w:sz w:val="13"/>
          <w:szCs w:val="13"/>
          <w:color w:val="auto"/>
        </w:rPr>
        <w:t>The preparation of consolidated financial statements in conformity with GAAP requires us to make estimates and assumptions that affect the reported amounts of assets, liabilities, and equity; the disclosure of contingent assets and liabilities as of the date of the consolidated financial statements; and the amounts of revenues and expenses during the reporting period. Actual results could materially differ from those estimates.</w:t>
      </w:r>
    </w:p>
    <w:p>
      <w:pPr>
        <w:spacing w:after="0" w:line="133" w:lineRule="exact"/>
        <w:rPr>
          <w:sz w:val="20"/>
          <w:szCs w:val="20"/>
          <w:color w:val="auto"/>
        </w:rPr>
      </w:pPr>
    </w:p>
    <w:p>
      <w:pPr>
        <w:ind w:left="640"/>
        <w:spacing w:after="0"/>
        <w:rPr>
          <w:sz w:val="20"/>
          <w:szCs w:val="20"/>
          <w:color w:val="auto"/>
        </w:rPr>
      </w:pPr>
      <w:r>
        <w:rPr>
          <w:rFonts w:ascii="Arial" w:cs="Arial" w:eastAsia="Arial" w:hAnsi="Arial"/>
          <w:sz w:val="13"/>
          <w:szCs w:val="13"/>
          <w:b w:val="1"/>
          <w:bCs w:val="1"/>
          <w:u w:val="single" w:color="auto"/>
          <w:color w:val="00497F"/>
        </w:rPr>
        <w:t>Investments in real estate</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00497F"/>
        </w:rPr>
        <w:t>Evaluation of business combination or asset acquisition</w:t>
      </w:r>
    </w:p>
    <w:p>
      <w:pPr>
        <w:spacing w:after="0" w:line="162" w:lineRule="exact"/>
        <w:rPr>
          <w:sz w:val="20"/>
          <w:szCs w:val="20"/>
          <w:color w:val="auto"/>
        </w:rPr>
      </w:pPr>
    </w:p>
    <w:p>
      <w:pPr>
        <w:jc w:val="both"/>
        <w:ind w:left="640" w:right="679" w:firstLine="516"/>
        <w:spacing w:after="0" w:line="253" w:lineRule="auto"/>
        <w:rPr>
          <w:sz w:val="20"/>
          <w:szCs w:val="20"/>
          <w:color w:val="auto"/>
        </w:rPr>
      </w:pPr>
      <w:r>
        <w:rPr>
          <w:rFonts w:ascii="Arial" w:cs="Arial" w:eastAsia="Arial" w:hAnsi="Arial"/>
          <w:sz w:val="13"/>
          <w:szCs w:val="13"/>
          <w:color w:val="auto"/>
        </w:rPr>
        <w:t>We evaluate each acquisition of real estate or in-substance real estate (including equity interests in entities that predominantly hold real estate assets) to determine whether the integrated set of assets and activities acquired meets the definition of a business and needs to be accounted for as a business combination. An acquisition of an integrated set of assets and activities that does not meet the definition of a business is accounted for as an asset acquisition. If either of the following criteria is met, the integrated set of assets and activities acquired would not qualify as a business:</w:t>
      </w:r>
    </w:p>
    <w:p>
      <w:pPr>
        <w:spacing w:after="0" w:line="136" w:lineRule="exact"/>
        <w:rPr>
          <w:sz w:val="20"/>
          <w:szCs w:val="20"/>
          <w:color w:val="auto"/>
        </w:rPr>
      </w:pPr>
    </w:p>
    <w:p>
      <w:pPr>
        <w:ind w:left="1420" w:right="639" w:hanging="267"/>
        <w:spacing w:after="0" w:line="256" w:lineRule="auto"/>
        <w:tabs>
          <w:tab w:leader="none" w:pos="1420" w:val="left"/>
        </w:tabs>
        <w:numPr>
          <w:ilvl w:val="0"/>
          <w:numId w:val="9"/>
        </w:numPr>
        <w:rPr>
          <w:rFonts w:ascii="Arial" w:cs="Arial" w:eastAsia="Arial" w:hAnsi="Arial"/>
          <w:sz w:val="13"/>
          <w:szCs w:val="13"/>
          <w:color w:val="auto"/>
        </w:rPr>
      </w:pPr>
      <w:r>
        <w:rPr>
          <w:rFonts w:ascii="Arial" w:cs="Arial" w:eastAsia="Arial" w:hAnsi="Arial"/>
          <w:sz w:val="13"/>
          <w:szCs w:val="13"/>
          <w:color w:val="auto"/>
        </w:rPr>
        <w:t>Substantially all of the fair value of the gross assets acquired is concentrated in either a single identifiable asset or a group of similar identifiable assets; or</w:t>
      </w:r>
    </w:p>
    <w:p>
      <w:pPr>
        <w:ind w:left="1420" w:right="999" w:hanging="267"/>
        <w:spacing w:after="0" w:line="301" w:lineRule="auto"/>
        <w:tabs>
          <w:tab w:leader="none" w:pos="1420" w:val="left"/>
        </w:tabs>
        <w:numPr>
          <w:ilvl w:val="0"/>
          <w:numId w:val="9"/>
        </w:numPr>
        <w:rPr>
          <w:rFonts w:ascii="Arial" w:cs="Arial" w:eastAsia="Arial" w:hAnsi="Arial"/>
          <w:sz w:val="12"/>
          <w:szCs w:val="12"/>
          <w:color w:val="auto"/>
        </w:rPr>
      </w:pPr>
      <w:r>
        <w:rPr>
          <w:rFonts w:ascii="Arial" w:cs="Arial" w:eastAsia="Arial" w:hAnsi="Arial"/>
          <w:sz w:val="12"/>
          <w:szCs w:val="12"/>
          <w:color w:val="auto"/>
        </w:rPr>
        <w:t>The integrated set of assets and activities is lacking, at a minimum, an input and a substantive process that together significantly contribute to the ability to create outputs (i.e., revenue generated before and after the transaction).</w:t>
      </w:r>
    </w:p>
    <w:p>
      <w:pPr>
        <w:spacing w:after="0" w:line="108" w:lineRule="exact"/>
        <w:rPr>
          <w:sz w:val="20"/>
          <w:szCs w:val="20"/>
          <w:color w:val="auto"/>
        </w:rPr>
      </w:pPr>
    </w:p>
    <w:p>
      <w:pPr>
        <w:ind w:left="1160"/>
        <w:spacing w:after="0"/>
        <w:rPr>
          <w:sz w:val="20"/>
          <w:szCs w:val="20"/>
          <w:color w:val="auto"/>
        </w:rPr>
      </w:pPr>
      <w:r>
        <w:rPr>
          <w:rFonts w:ascii="Arial" w:cs="Arial" w:eastAsia="Arial" w:hAnsi="Arial"/>
          <w:sz w:val="13"/>
          <w:szCs w:val="13"/>
          <w:color w:val="auto"/>
        </w:rPr>
        <w:t>An acquired process is considered substantive if:</w:t>
      </w:r>
    </w:p>
    <w:p>
      <w:pPr>
        <w:spacing w:after="0" w:line="162" w:lineRule="exact"/>
        <w:rPr>
          <w:sz w:val="20"/>
          <w:szCs w:val="20"/>
          <w:color w:val="auto"/>
        </w:rPr>
      </w:pPr>
    </w:p>
    <w:p>
      <w:pPr>
        <w:ind w:left="1420" w:right="979" w:hanging="267"/>
        <w:spacing w:after="0" w:line="256" w:lineRule="auto"/>
        <w:tabs>
          <w:tab w:leader="none" w:pos="1420" w:val="left"/>
        </w:tabs>
        <w:numPr>
          <w:ilvl w:val="0"/>
          <w:numId w:val="10"/>
        </w:numPr>
        <w:rPr>
          <w:rFonts w:ascii="Arial" w:cs="Arial" w:eastAsia="Arial" w:hAnsi="Arial"/>
          <w:sz w:val="13"/>
          <w:szCs w:val="13"/>
          <w:color w:val="auto"/>
        </w:rPr>
      </w:pPr>
      <w:r>
        <w:rPr>
          <w:rFonts w:ascii="Arial" w:cs="Arial" w:eastAsia="Arial" w:hAnsi="Arial"/>
          <w:sz w:val="13"/>
          <w:szCs w:val="13"/>
          <w:color w:val="auto"/>
        </w:rPr>
        <w:t>The process includes an organized workforce (or includes an acquired contract that provides access to an organized workforce) that is skilled, knowledgeable, and experienced in performing the process;</w:t>
      </w:r>
    </w:p>
    <w:p>
      <w:pPr>
        <w:ind w:left="1420" w:hanging="267"/>
        <w:spacing w:after="0"/>
        <w:tabs>
          <w:tab w:leader="none" w:pos="1420" w:val="left"/>
        </w:tabs>
        <w:numPr>
          <w:ilvl w:val="0"/>
          <w:numId w:val="10"/>
        </w:numPr>
        <w:rPr>
          <w:rFonts w:ascii="Arial" w:cs="Arial" w:eastAsia="Arial" w:hAnsi="Arial"/>
          <w:sz w:val="13"/>
          <w:szCs w:val="13"/>
          <w:color w:val="auto"/>
        </w:rPr>
      </w:pPr>
      <w:r>
        <w:rPr>
          <w:rFonts w:ascii="Arial" w:cs="Arial" w:eastAsia="Arial" w:hAnsi="Arial"/>
          <w:sz w:val="13"/>
          <w:szCs w:val="13"/>
          <w:color w:val="auto"/>
        </w:rPr>
        <w:t>The process cannot be replaced without significant cost, effort, or delay; or</w:t>
      </w:r>
    </w:p>
    <w:p>
      <w:pPr>
        <w:spacing w:after="0" w:line="5" w:lineRule="exact"/>
        <w:rPr>
          <w:rFonts w:ascii="Arial" w:cs="Arial" w:eastAsia="Arial" w:hAnsi="Arial"/>
          <w:sz w:val="13"/>
          <w:szCs w:val="13"/>
          <w:color w:val="auto"/>
        </w:rPr>
      </w:pPr>
    </w:p>
    <w:p>
      <w:pPr>
        <w:ind w:left="1420" w:hanging="267"/>
        <w:spacing w:after="0"/>
        <w:tabs>
          <w:tab w:leader="none" w:pos="1420" w:val="left"/>
        </w:tabs>
        <w:numPr>
          <w:ilvl w:val="0"/>
          <w:numId w:val="10"/>
        </w:numPr>
        <w:rPr>
          <w:rFonts w:ascii="Arial" w:cs="Arial" w:eastAsia="Arial" w:hAnsi="Arial"/>
          <w:sz w:val="13"/>
          <w:szCs w:val="13"/>
          <w:color w:val="auto"/>
        </w:rPr>
      </w:pPr>
      <w:r>
        <w:rPr>
          <w:rFonts w:ascii="Arial" w:cs="Arial" w:eastAsia="Arial" w:hAnsi="Arial"/>
          <w:sz w:val="13"/>
          <w:szCs w:val="13"/>
          <w:color w:val="auto"/>
        </w:rPr>
        <w:t>The process is considered unique or scarce.</w:t>
      </w:r>
    </w:p>
    <w:p>
      <w:pPr>
        <w:sectPr>
          <w:pgSz w:w="11900" w:h="16879" w:orient="portrait"/>
          <w:cols w:equalWidth="0" w:num="1">
            <w:col w:w="9019"/>
          </w:cols>
          <w:pgMar w:left="1440" w:top="118" w:right="1440" w:bottom="0" w:gutter="0" w:footer="0" w:header="0"/>
        </w:sectPr>
      </w:pPr>
    </w:p>
    <w:bookmarkStart w:id="9" w:name="page10"/>
    <w:bookmarkEnd w:id="9"/>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982345</wp:posOffset>
            </wp:positionH>
            <wp:positionV relativeFrom="page">
              <wp:posOffset>88900</wp:posOffset>
            </wp:positionV>
            <wp:extent cx="5584190" cy="7188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584190" cy="71882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188595</wp:posOffset>
            </wp:positionV>
            <wp:extent cx="5584190" cy="72205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900" w:hanging="262"/>
        <w:spacing w:after="0"/>
        <w:tabs>
          <w:tab w:leader="none" w:pos="900" w:val="left"/>
        </w:tabs>
        <w:numPr>
          <w:ilvl w:val="0"/>
          <w:numId w:val="11"/>
        </w:numPr>
        <w:rPr>
          <w:rFonts w:ascii="Arial" w:cs="Arial" w:eastAsia="Arial" w:hAnsi="Arial"/>
          <w:sz w:val="13"/>
          <w:szCs w:val="13"/>
          <w:b w:val="1"/>
          <w:bCs w:val="1"/>
          <w:color w:val="00497F"/>
        </w:rPr>
      </w:pPr>
      <w:r>
        <w:rPr>
          <w:rFonts w:ascii="Arial" w:cs="Arial" w:eastAsia="Arial" w:hAnsi="Arial"/>
          <w:sz w:val="13"/>
          <w:szCs w:val="13"/>
          <w:b w:val="1"/>
          <w:bCs w:val="1"/>
          <w:color w:val="00497F"/>
        </w:rPr>
        <w:t>SUMMARY OF SIGNIFICANT ACCOUNTING POLICIES (continued)</w:t>
      </w:r>
    </w:p>
    <w:p>
      <w:pPr>
        <w:spacing w:after="0" w:line="119" w:lineRule="exact"/>
        <w:rPr>
          <w:sz w:val="20"/>
          <w:szCs w:val="20"/>
          <w:color w:val="auto"/>
        </w:rPr>
      </w:pPr>
    </w:p>
    <w:p>
      <w:pPr>
        <w:ind w:left="640" w:right="659" w:firstLine="516"/>
        <w:spacing w:after="0" w:line="254" w:lineRule="auto"/>
        <w:rPr>
          <w:sz w:val="20"/>
          <w:szCs w:val="20"/>
          <w:color w:val="auto"/>
        </w:rPr>
      </w:pPr>
      <w:r>
        <w:rPr>
          <w:rFonts w:ascii="Arial" w:cs="Arial" w:eastAsia="Arial" w:hAnsi="Arial"/>
          <w:sz w:val="13"/>
          <w:szCs w:val="13"/>
          <w:color w:val="auto"/>
        </w:rPr>
        <w:t>Generally, our acquisitions of real estate or in-substance real estate do not meet the definition of a business because substantially all of the fair value is concentrated in a single identifiable asset or group of similar identifiable assets (i.e., land, buildings, and related intangible assets) or because the acquisition does not include a substantive process in the form of an acquired workforce or an acquired contract that cannot be replaced without significant cost, effort, or delay. When evaluating acquired service or management contracts, we consider the nature of the services performed, the terms of the contract relative to similar arm’s-length contracts, and the availability of comparable vendors in evaluating whether the acquired contract constitutes a substantive process.</w:t>
      </w:r>
    </w:p>
    <w:p>
      <w:pPr>
        <w:spacing w:after="0" w:line="135"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00497F"/>
        </w:rPr>
        <w:t>Recognition of real estate acquired</w:t>
      </w:r>
    </w:p>
    <w:p>
      <w:pPr>
        <w:spacing w:after="0" w:line="162" w:lineRule="exact"/>
        <w:rPr>
          <w:sz w:val="20"/>
          <w:szCs w:val="20"/>
          <w:color w:val="auto"/>
        </w:rPr>
      </w:pPr>
    </w:p>
    <w:p>
      <w:pPr>
        <w:jc w:val="both"/>
        <w:ind w:left="640" w:right="679" w:firstLine="516"/>
        <w:spacing w:after="0" w:line="257" w:lineRule="auto"/>
        <w:rPr>
          <w:sz w:val="20"/>
          <w:szCs w:val="20"/>
          <w:color w:val="auto"/>
        </w:rPr>
      </w:pPr>
      <w:r>
        <w:rPr>
          <w:rFonts w:ascii="Arial" w:cs="Arial" w:eastAsia="Arial" w:hAnsi="Arial"/>
          <w:sz w:val="13"/>
          <w:szCs w:val="13"/>
          <w:color w:val="auto"/>
        </w:rPr>
        <w:t>We evaluate each acquisition of real estate or in-substance real estate (including equity interests in entities that predominantly hold real estate assets) to determine whether the integrated set of assets and activities acquired meets the definition of a business and needs to be accounted for as a business combination. An acquisition of an integrated set of assets and activities that does not meet the definition of a business is accounted for as an asset acquisition.</w:t>
      </w:r>
    </w:p>
    <w:p>
      <w:pPr>
        <w:spacing w:after="0" w:line="133" w:lineRule="exact"/>
        <w:rPr>
          <w:sz w:val="20"/>
          <w:szCs w:val="20"/>
          <w:color w:val="auto"/>
        </w:rPr>
      </w:pPr>
    </w:p>
    <w:p>
      <w:pPr>
        <w:ind w:left="640" w:right="759" w:firstLine="516"/>
        <w:spacing w:after="0" w:line="251" w:lineRule="auto"/>
        <w:rPr>
          <w:sz w:val="20"/>
          <w:szCs w:val="20"/>
          <w:color w:val="auto"/>
        </w:rPr>
      </w:pPr>
      <w:r>
        <w:rPr>
          <w:rFonts w:ascii="Arial" w:cs="Arial" w:eastAsia="Arial" w:hAnsi="Arial"/>
          <w:sz w:val="13"/>
          <w:szCs w:val="13"/>
          <w:color w:val="auto"/>
        </w:rPr>
        <w:t>For acquisitions of real estate or in-substance real estate that are accounted for as business combinations, we allocate the acquisition consideration (excluding acquisition costs) to the assets acquired, liabilities assumed, noncontrolling interests, and previously existing ownership interests at fair value as of the acquisition date. Assets include intangible assets such as tenant relationships, acquired in-place leases, and favorable intangibles associated with in-place leases in which we are the lessor. Liabilities include unfavorable intangibles associated with in-place leases in which we are the lessor. In addition, for acquired in-place finance or operating leases in which we are the lessee, acquisition consideration is allocated to lease liabilities and related right-of-use assets, adjusted to reflect favorable or unfavorable terms of the lease when compared with market terms. Any excess (deficit) of the consideration transferred relative to the fair value of the net assets acquired is accounted for as goodwill (bargain purchase gain). Acquisition costs related to business combinations are expensed as incurred.</w:t>
      </w:r>
    </w:p>
    <w:p>
      <w:pPr>
        <w:spacing w:after="0" w:line="139" w:lineRule="exact"/>
        <w:rPr>
          <w:sz w:val="20"/>
          <w:szCs w:val="20"/>
          <w:color w:val="auto"/>
        </w:rPr>
      </w:pPr>
    </w:p>
    <w:p>
      <w:pPr>
        <w:ind w:left="640" w:right="679" w:firstLine="516"/>
        <w:spacing w:after="0" w:line="251" w:lineRule="auto"/>
        <w:rPr>
          <w:sz w:val="20"/>
          <w:szCs w:val="20"/>
          <w:color w:val="auto"/>
        </w:rPr>
      </w:pPr>
      <w:r>
        <w:rPr>
          <w:rFonts w:ascii="Arial" w:cs="Arial" w:eastAsia="Arial" w:hAnsi="Arial"/>
          <w:sz w:val="13"/>
          <w:szCs w:val="13"/>
          <w:color w:val="auto"/>
        </w:rPr>
        <w:t>Generally, we expect that acquisitions of real estate or in-substance real estate will not meet the definition of a business because substantially all of the fair value is concentrated in a single identifiable asset or group of similar identifiable assets (i.e., land, buildings, and related intangible assets). The accounting model for asset acquisitions is similar to the accounting model for business combinations, except that the acquisition consideration (including acquisition costs) is allocated to the individual assets acquired and liabilities assumed on a relative fair value basis. Any excess (deficit) of the consideration transferred relative to the sum of the fair value of the assets acquired and liabilities assumed is allocated to the individual assets and liabilities based on their relative fair values. As a result, asset acquisitions do not result in the recognition of goodwill or a bargain purchase gain. Incremental and external direct acquisition costs related to acquisitions of real estate or in-substance real estate (such as legal and other third-party services) are capitalized.</w:t>
      </w:r>
    </w:p>
    <w:p>
      <w:pPr>
        <w:spacing w:after="0" w:line="139" w:lineRule="exact"/>
        <w:rPr>
          <w:sz w:val="20"/>
          <w:szCs w:val="20"/>
          <w:color w:val="auto"/>
        </w:rPr>
      </w:pPr>
    </w:p>
    <w:p>
      <w:pPr>
        <w:ind w:left="640" w:right="659" w:firstLine="516"/>
        <w:spacing w:after="0" w:line="251" w:lineRule="auto"/>
        <w:rPr>
          <w:sz w:val="20"/>
          <w:szCs w:val="20"/>
          <w:color w:val="auto"/>
        </w:rPr>
      </w:pPr>
      <w:r>
        <w:rPr>
          <w:rFonts w:ascii="Arial" w:cs="Arial" w:eastAsia="Arial" w:hAnsi="Arial"/>
          <w:sz w:val="13"/>
          <w:szCs w:val="13"/>
          <w:color w:val="auto"/>
        </w:rPr>
        <w:t>We exercise judgment to determine the key assumptions used to allocate the purchase price of real estate acquired among its components. The allocation of the consideration to the various components of properties acquired during the year can have an effect on our net income due to the useful depreciable and amortizable lives applicable to each component and the recognition of the related depreciation and amortization expense in our consolidated statements of operations. We apply judgment in utilizing available comparable market information to assess relative fair value. We assess the relative fair values of tangible and intangible assets and liabilities based on available comparable market information, including estimated replacement costs, rental rates, and recent market transactions. In addition, we may use estimated cash flow projections that utilize appropriate discount and capitalization rates. Estimates of future cash flows are based on a number of factors, including the historical operating results, known and anticipated trends, and market/economic conditions that may affect the property.</w:t>
      </w:r>
    </w:p>
    <w:p>
      <w:pPr>
        <w:spacing w:after="0" w:line="139" w:lineRule="exact"/>
        <w:rPr>
          <w:sz w:val="20"/>
          <w:szCs w:val="20"/>
          <w:color w:val="auto"/>
        </w:rPr>
      </w:pPr>
    </w:p>
    <w:p>
      <w:pPr>
        <w:ind w:left="640" w:right="679" w:firstLine="516"/>
        <w:spacing w:after="0" w:line="250" w:lineRule="auto"/>
        <w:rPr>
          <w:sz w:val="20"/>
          <w:szCs w:val="20"/>
          <w:color w:val="auto"/>
        </w:rPr>
      </w:pPr>
      <w:r>
        <w:rPr>
          <w:rFonts w:ascii="Arial" w:cs="Arial" w:eastAsia="Arial" w:hAnsi="Arial"/>
          <w:sz w:val="13"/>
          <w:szCs w:val="13"/>
          <w:color w:val="auto"/>
        </w:rPr>
        <w:t>The value of tangible assets acquired is based upon our estimation of fair value on an “as if vacant” basis. The value of acquired in-place leases includes the estimated costs during the hypothetical lease-up period and other costs that would have been incurred in the execution of similar leases under the market conditions at the acquisition date of the acquired in-place lease. If there is a bargain fixed-rate renewal option for the period beyond the noncancelable lease term of an in-place lease, we evaluate intangible factors, such as the business conditions in the industry in which the lessee operates, the economic conditions in the area in which the property is located, and the ability of the lessee to sublease the property during the renewal term, in order to determine the likelihood that the lessee will renew. When we determine that there is reasonable assurance that such bargain purchase option will be exercised, we consider the option in determining the intangible value of such lease and its related amortization period. We also recognize the relative fair values of assets acquired, the liabilities assumed, and any noncontrolling interest in acquisitions of less than a 100% interest when the acquisition constitutes a change in control of the acquired entity.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188595</wp:posOffset>
            </wp:positionV>
            <wp:extent cx="5584190" cy="2451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584190" cy="2451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640" w:right="4099" w:hanging="2"/>
        <w:spacing w:after="0" w:line="465" w:lineRule="auto"/>
        <w:tabs>
          <w:tab w:leader="none" w:pos="898" w:val="left"/>
        </w:tabs>
        <w:numPr>
          <w:ilvl w:val="0"/>
          <w:numId w:val="12"/>
        </w:numPr>
        <w:rPr>
          <w:rFonts w:ascii="Arial" w:cs="Arial" w:eastAsia="Arial" w:hAnsi="Arial"/>
          <w:sz w:val="13"/>
          <w:szCs w:val="13"/>
          <w:b w:val="1"/>
          <w:bCs w:val="1"/>
          <w:color w:val="00497F"/>
        </w:rPr>
      </w:pPr>
      <w:r>
        <w:rPr>
          <w:rFonts w:ascii="Arial" w:cs="Arial" w:eastAsia="Arial" w:hAnsi="Arial"/>
          <w:sz w:val="13"/>
          <w:szCs w:val="13"/>
          <w:b w:val="1"/>
          <w:bCs w:val="1"/>
          <w:color w:val="00497F"/>
        </w:rPr>
        <w:t>SUMMARY OF SIGNIFICANT ACCOUNTING POLICIES (continued) Depreciation and amortization</w:t>
      </w:r>
    </w:p>
    <w:p>
      <w:pPr>
        <w:spacing w:after="0" w:line="1" w:lineRule="exact"/>
        <w:rPr>
          <w:sz w:val="20"/>
          <w:szCs w:val="20"/>
          <w:color w:val="auto"/>
        </w:rPr>
      </w:pPr>
    </w:p>
    <w:p>
      <w:pPr>
        <w:ind w:left="640" w:right="719" w:firstLine="516"/>
        <w:spacing w:after="0" w:line="274" w:lineRule="auto"/>
        <w:rPr>
          <w:sz w:val="20"/>
          <w:szCs w:val="20"/>
          <w:color w:val="auto"/>
        </w:rPr>
      </w:pPr>
      <w:r>
        <w:rPr>
          <w:rFonts w:ascii="Arial" w:cs="Arial" w:eastAsia="Arial" w:hAnsi="Arial"/>
          <w:sz w:val="12"/>
          <w:szCs w:val="12"/>
          <w:color w:val="auto"/>
        </w:rPr>
        <w:t>The values allocated to buildings and building improvements, land improvements, tenant improvements, and equipment are depreciated on a straight-line basis. For buildings and building improvements, we depreciate using the shorter of the respective ground lease terms or their estimated useful lives, not to exceed 40 years. Land improvements are depreciated over their estimated useful lives, not to exceed 20 years. Tenant improvements are depreciated over their respective lease terms or estimated useful lives, and equipment is depreciated over the shorter of the lease term or its estimated useful life. The values of the right-of-use assets are amortized on a straight-line basis over the remaining terms of each related lease. The values of acquired in-place leases and associated favorable intangibles (i.e., acquired above-market leases) are classified in other assets in our consolidated balance sheets and are amortized over the remaining terms of the related leases as a reduction of income from rentals in our consolidated statements of operations. The values of unfavorable intangibles (i.e., acquired below-market leases) associated with acquired in-place leases are classified in accounts payable, accrued expenses, and other liabilities in our consolidated balance sheets and are amortized over the remaining terms of the related leases as an increase in income from rentals in our consolidated statements of operations.</w:t>
      </w:r>
    </w:p>
    <w:p>
      <w:pPr>
        <w:spacing w:after="0" w:line="125"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00497F"/>
        </w:rPr>
        <w:t>Capitalized project costs</w:t>
      </w:r>
    </w:p>
    <w:p>
      <w:pPr>
        <w:spacing w:after="0" w:line="151" w:lineRule="exact"/>
        <w:rPr>
          <w:sz w:val="20"/>
          <w:szCs w:val="20"/>
          <w:color w:val="auto"/>
        </w:rPr>
      </w:pPr>
    </w:p>
    <w:p>
      <w:pPr>
        <w:ind w:left="640" w:right="659" w:firstLine="516"/>
        <w:spacing w:after="0" w:line="291" w:lineRule="auto"/>
        <w:rPr>
          <w:sz w:val="20"/>
          <w:szCs w:val="20"/>
          <w:color w:val="auto"/>
        </w:rPr>
      </w:pPr>
      <w:r>
        <w:rPr>
          <w:rFonts w:ascii="Arial" w:cs="Arial" w:eastAsia="Arial" w:hAnsi="Arial"/>
          <w:sz w:val="12"/>
          <w:szCs w:val="12"/>
          <w:color w:val="auto"/>
        </w:rPr>
        <w:t>We capitalize project costs, including pre-construction costs, interest, property taxes, insurance, and other costs directly related and essential to the development, redevelopment, pre-construction, or construction of a project. Capitalization of development, redevelopment, pre-construction, and construction costs is required while activities are ongoing to prepare an asset for its intended use. Fluctuations in our development, redevelopment, pre-construction, and construction activities could result in significant changes to total</w:t>
      </w:r>
    </w:p>
    <w:p>
      <w:pPr>
        <w:sectPr>
          <w:pgSz w:w="11900" w:h="16946" w:orient="portrait"/>
          <w:cols w:equalWidth="0" w:num="1">
            <w:col w:w="9019"/>
          </w:cols>
          <w:pgMar w:left="1440" w:top="924" w:right="1440" w:bottom="0" w:gutter="0" w:footer="0" w:header="0"/>
        </w:sectPr>
      </w:pPr>
    </w:p>
    <w:bookmarkStart w:id="10" w:name="page11"/>
    <w:bookmarkEnd w:id="10"/>
    <w:p>
      <w:pPr>
        <w:spacing w:after="0" w:line="110" w:lineRule="exact"/>
        <w:rPr>
          <w:sz w:val="20"/>
          <w:szCs w:val="20"/>
          <w:color w:val="auto"/>
        </w:rPr>
      </w:pPr>
    </w:p>
    <w:p>
      <w:pPr>
        <w:ind w:left="640" w:right="719"/>
        <w:spacing w:after="0" w:line="257" w:lineRule="auto"/>
        <w:rPr>
          <w:sz w:val="20"/>
          <w:szCs w:val="20"/>
          <w:color w:val="auto"/>
        </w:rPr>
      </w:pPr>
      <w:r>
        <w:rPr>
          <w:rFonts w:ascii="Arial" w:cs="Arial" w:eastAsia="Arial" w:hAnsi="Arial"/>
          <w:sz w:val="13"/>
          <w:szCs w:val="13"/>
          <w:color w:val="auto"/>
        </w:rPr>
        <w:t>expenses and net income. Costs incurred after a project is substantially complete and ready for its intended use are expensed as incurred. Should development, redevelopment, pre-construction, or construction activity cease, interest, property taxes, insurance, and certain other costs would no longer be eligible for capitalization and would be expensed as incurred. Expenditures for repairs and maintenance are expensed as incurred.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-399415</wp:posOffset>
            </wp:positionV>
            <wp:extent cx="5584190" cy="47631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584190" cy="4763135"/>
                    </a:xfrm>
                    <a:prstGeom prst="rect">
                      <a:avLst/>
                    </a:prstGeom>
                    <a:noFill/>
                  </pic:spPr>
                </pic:pic>
              </a:graphicData>
            </a:graphic>
          </wp:anchor>
        </w:drawing>
      </w:r>
    </w:p>
    <w:p>
      <w:pPr>
        <w:spacing w:after="0" w:line="113"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00497F"/>
        </w:rPr>
        <w:t>Real estate sales</w:t>
      </w:r>
    </w:p>
    <w:p>
      <w:pPr>
        <w:spacing w:after="0" w:line="162" w:lineRule="exact"/>
        <w:rPr>
          <w:sz w:val="20"/>
          <w:szCs w:val="20"/>
          <w:color w:val="auto"/>
        </w:rPr>
      </w:pPr>
    </w:p>
    <w:p>
      <w:pPr>
        <w:ind w:left="640" w:right="699" w:firstLine="516"/>
        <w:spacing w:after="0" w:line="250" w:lineRule="auto"/>
        <w:rPr>
          <w:sz w:val="20"/>
          <w:szCs w:val="20"/>
          <w:color w:val="auto"/>
        </w:rPr>
      </w:pPr>
      <w:r>
        <w:rPr>
          <w:rFonts w:ascii="Arial" w:cs="Arial" w:eastAsia="Arial" w:hAnsi="Arial"/>
          <w:sz w:val="13"/>
          <w:szCs w:val="13"/>
          <w:color w:val="auto"/>
        </w:rPr>
        <w:t>A property is classified as held for sale when all of the following criteria for a plan of sale have been met: (i) management, having the authority to approve the action, commits to a plan to sell the property; (ii) the property is available for immediate sale in its present condition, subject only to terms that are usual and customary; (iii) an active program to locate a buyer and other actions required to complete the plan to sell have been initiated; (iv) the sale of the property is probable and is expected to be completed within one year; (v) the property is being actively marketed for sale at a price that is reasonable in relation to its current fair value; and</w:t>
      </w:r>
    </w:p>
    <w:p>
      <w:pPr>
        <w:spacing w:after="0" w:line="2" w:lineRule="exact"/>
        <w:rPr>
          <w:sz w:val="20"/>
          <w:szCs w:val="20"/>
          <w:color w:val="auto"/>
        </w:rPr>
      </w:pPr>
    </w:p>
    <w:p>
      <w:pPr>
        <w:ind w:left="640" w:right="719" w:hanging="2"/>
        <w:spacing w:after="0" w:line="259" w:lineRule="auto"/>
        <w:tabs>
          <w:tab w:leader="none" w:pos="855" w:val="left"/>
        </w:tabs>
        <w:numPr>
          <w:ilvl w:val="0"/>
          <w:numId w:val="13"/>
        </w:numPr>
        <w:rPr>
          <w:rFonts w:ascii="Arial" w:cs="Arial" w:eastAsia="Arial" w:hAnsi="Arial"/>
          <w:sz w:val="13"/>
          <w:szCs w:val="13"/>
          <w:color w:val="auto"/>
        </w:rPr>
      </w:pPr>
      <w:r>
        <w:rPr>
          <w:rFonts w:ascii="Arial" w:cs="Arial" w:eastAsia="Arial" w:hAnsi="Arial"/>
          <w:sz w:val="13"/>
          <w:szCs w:val="13"/>
          <w:color w:val="auto"/>
        </w:rPr>
        <w:t>actions necessary to complete the plan of sale indicate that it is unlikely that significant changes to the plan will be made or that the plan will be withdrawn. Depreciation of assets ceases upon designation of a property as held for sale. Refer to Note 15 – “Assets classified as held for sale” to our unaudited consolidated financial statements for additional details.</w:t>
      </w:r>
    </w:p>
    <w:p>
      <w:pPr>
        <w:spacing w:after="0" w:line="121" w:lineRule="exact"/>
        <w:rPr>
          <w:sz w:val="20"/>
          <w:szCs w:val="20"/>
          <w:color w:val="auto"/>
        </w:rPr>
      </w:pPr>
    </w:p>
    <w:p>
      <w:pPr>
        <w:ind w:left="640" w:right="679" w:firstLine="516"/>
        <w:spacing w:after="0" w:line="254" w:lineRule="auto"/>
        <w:rPr>
          <w:sz w:val="20"/>
          <w:szCs w:val="20"/>
          <w:color w:val="auto"/>
        </w:rPr>
      </w:pPr>
      <w:r>
        <w:rPr>
          <w:rFonts w:ascii="Arial" w:cs="Arial" w:eastAsia="Arial" w:hAnsi="Arial"/>
          <w:sz w:val="13"/>
          <w:szCs w:val="13"/>
          <w:color w:val="auto"/>
        </w:rPr>
        <w:t>If the disposal of a property represents a strategic shift that has (or will have) a major effect on our operations or financial results, such as (i) a major line of business, (ii) a major geographic area, (iii) a major equity method investment, or (iv) other major parts of an entity, then the operations of the property, including any interest expense directly attributable to it, are classified as discontinued operations in our consolidated statements of operations, and amounts for all prior periods presented are reclassified from continuing operations to discontinued operations. The disposal of an individual property generally will not represent a strategic shift and therefore will typically not meet the criteria for classification as a discontinued operation.</w:t>
      </w:r>
    </w:p>
    <w:p>
      <w:pPr>
        <w:spacing w:after="0" w:line="135" w:lineRule="exact"/>
        <w:rPr>
          <w:sz w:val="20"/>
          <w:szCs w:val="20"/>
          <w:color w:val="auto"/>
        </w:rPr>
      </w:pPr>
    </w:p>
    <w:p>
      <w:pPr>
        <w:ind w:left="640" w:right="799" w:firstLine="516"/>
        <w:spacing w:after="0" w:line="251" w:lineRule="auto"/>
        <w:rPr>
          <w:sz w:val="20"/>
          <w:szCs w:val="20"/>
          <w:color w:val="auto"/>
        </w:rPr>
      </w:pPr>
      <w:r>
        <w:rPr>
          <w:rFonts w:ascii="Arial" w:cs="Arial" w:eastAsia="Arial" w:hAnsi="Arial"/>
          <w:sz w:val="13"/>
          <w:szCs w:val="13"/>
          <w:color w:val="auto"/>
        </w:rPr>
        <w:t>We recognize gains or losses on real estate sales in accordance with the accounting standard on the derecognition of nonfinancial assets arising from contracts with noncustomers. Our ordinary output activities consist of the leasing of space to our tenants in our operating properties, not the sales of real estate. Therefore, sales of real estate (in which we are the seller) qualify as contracts with noncustomers. In our transactions with noncustomers, we apply certain recognition and measurement principles consistent with our method of recognizing revenue arising from contracts with customers. Derecognition of the asset is based on the transfer of control. If a real estate sales contract includes our ongoing involvement with the property, then we evaluate each promised good or service under the contract to determine whether it represents a separate performance obligation, constitutes a guarantee, or prevents the transfer of control. If a good or service is considered a separate performance obligation, an allocated portion of the transaction price is recognized as revenue as we transfer the related good or service to the buyer.</w:t>
      </w:r>
    </w:p>
    <w:p>
      <w:pPr>
        <w:spacing w:after="0" w:line="139" w:lineRule="exact"/>
        <w:rPr>
          <w:sz w:val="20"/>
          <w:szCs w:val="20"/>
          <w:color w:val="auto"/>
        </w:rPr>
      </w:pPr>
    </w:p>
    <w:p>
      <w:pPr>
        <w:ind w:left="640" w:right="659" w:firstLine="516"/>
        <w:spacing w:after="0" w:line="254" w:lineRule="auto"/>
        <w:rPr>
          <w:sz w:val="20"/>
          <w:szCs w:val="20"/>
          <w:color w:val="auto"/>
        </w:rPr>
      </w:pPr>
      <w:r>
        <w:rPr>
          <w:rFonts w:ascii="Arial" w:cs="Arial" w:eastAsia="Arial" w:hAnsi="Arial"/>
          <w:sz w:val="13"/>
          <w:szCs w:val="13"/>
          <w:color w:val="auto"/>
        </w:rPr>
        <w:t>The recognition of gain or loss on the sale of a partial interest also depends on whether we retain a controlling or noncontrolling interest in the property. If we retain a controlling interest in the property upon completion of the sale, we continue to reflect the asset at its book value, record a noncontrolling interest for the book value of the partial interest sold, and recognize additional paid-in capital for the difference between the consideration received and the partial interest at book value. Conversely, if we retain a noncontrolling interest upon completion of the sale of a partial interest of real estate, we recognize a gain or loss as if 100% of the asset were sold.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188595</wp:posOffset>
            </wp:positionV>
            <wp:extent cx="5584190" cy="56902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584190" cy="5690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640" w:right="4099" w:hanging="2"/>
        <w:spacing w:after="0" w:line="465" w:lineRule="auto"/>
        <w:tabs>
          <w:tab w:leader="none" w:pos="898" w:val="left"/>
        </w:tabs>
        <w:numPr>
          <w:ilvl w:val="0"/>
          <w:numId w:val="14"/>
        </w:numPr>
        <w:rPr>
          <w:rFonts w:ascii="Arial" w:cs="Arial" w:eastAsia="Arial" w:hAnsi="Arial"/>
          <w:sz w:val="13"/>
          <w:szCs w:val="13"/>
          <w:b w:val="1"/>
          <w:bCs w:val="1"/>
          <w:color w:val="00497F"/>
        </w:rPr>
      </w:pPr>
      <w:r>
        <w:rPr>
          <w:rFonts w:ascii="Arial" w:cs="Arial" w:eastAsia="Arial" w:hAnsi="Arial"/>
          <w:sz w:val="13"/>
          <w:szCs w:val="13"/>
          <w:b w:val="1"/>
          <w:bCs w:val="1"/>
          <w:color w:val="00497F"/>
        </w:rPr>
        <w:t xml:space="preserve">SUMMARY OF SIGNIFICANT ACCOUNTING POLICIES (continued) </w:t>
      </w:r>
      <w:r>
        <w:rPr>
          <w:rFonts w:ascii="Arial" w:cs="Arial" w:eastAsia="Arial" w:hAnsi="Arial"/>
          <w:sz w:val="13"/>
          <w:szCs w:val="13"/>
          <w:b w:val="1"/>
          <w:bCs w:val="1"/>
          <w:u w:val="single" w:color="auto"/>
          <w:color w:val="00497F"/>
        </w:rPr>
        <w:t>Impairment of long-lived assets</w:t>
      </w:r>
    </w:p>
    <w:p>
      <w:pPr>
        <w:spacing w:after="0" w:line="1" w:lineRule="exact"/>
        <w:rPr>
          <w:sz w:val="20"/>
          <w:szCs w:val="20"/>
          <w:color w:val="auto"/>
        </w:rPr>
      </w:pPr>
    </w:p>
    <w:p>
      <w:pPr>
        <w:ind w:left="640" w:right="639" w:firstLine="516"/>
        <w:spacing w:after="0" w:line="257" w:lineRule="auto"/>
        <w:rPr>
          <w:sz w:val="20"/>
          <w:szCs w:val="20"/>
          <w:color w:val="auto"/>
        </w:rPr>
      </w:pPr>
      <w:r>
        <w:rPr>
          <w:rFonts w:ascii="Arial" w:cs="Arial" w:eastAsia="Arial" w:hAnsi="Arial"/>
          <w:sz w:val="13"/>
          <w:szCs w:val="13"/>
          <w:color w:val="auto"/>
        </w:rPr>
        <w:t>Prior to and subsequent to the end of each quarter, we review current activities and changes in the business conditions of all of our long-lived assets to determine the existence of any triggering events or impairment indicators requiring an impairment analysis. If triggering events or impairment indicators are identified, we review an estimate of the future undiscounted cash flows, including, if necessary, a probability-weighted approach if multiple outcomes are under consideration.</w:t>
      </w:r>
    </w:p>
    <w:p>
      <w:pPr>
        <w:spacing w:after="0" w:line="133" w:lineRule="exact"/>
        <w:rPr>
          <w:sz w:val="20"/>
          <w:szCs w:val="20"/>
          <w:color w:val="auto"/>
        </w:rPr>
      </w:pPr>
    </w:p>
    <w:p>
      <w:pPr>
        <w:ind w:left="640" w:right="659" w:firstLine="516"/>
        <w:spacing w:after="0" w:line="251" w:lineRule="auto"/>
        <w:rPr>
          <w:sz w:val="20"/>
          <w:szCs w:val="20"/>
          <w:color w:val="auto"/>
        </w:rPr>
      </w:pPr>
      <w:r>
        <w:rPr>
          <w:rFonts w:ascii="Arial" w:cs="Arial" w:eastAsia="Arial" w:hAnsi="Arial"/>
          <w:sz w:val="13"/>
          <w:szCs w:val="13"/>
          <w:color w:val="auto"/>
        </w:rPr>
        <w:t>Long-lived assets to be held and used, including our rental properties, CIP, land held for development, right-of-use assets related to operating leases in which we are the lessee, and intangibles, are individually evaluated for impairment when conditions exist that may indicate that the carrying amount of a long-lived asset may not be recoverable. The carrying amount of a long-lived asset to be held and used is not recoverable if it exceeds the sum of the undiscounted cash flows expected to result from the use and eventual disposition of the asset. Triggering events or impairment indicators for long-lived assets to be held and used are assessed by project and include significant fluctuations in estimated net operating income, occupancy changes, significant near-term lease expirations, current and historical operating and/or cash flow losses, construction costs, estimated completion dates, rental rates, and other market factors. We assess the expected undiscounted cash flows based upon numerous factors, including, but not limited to, construction costs, available market information, current and historical operating results, known trends, current market/economic conditions that may affect the asset, and our assumptions about the use of the asset, including, if necessary, a probability-weighted approach if multiple outcomes are under consideration.</w:t>
      </w:r>
    </w:p>
    <w:p>
      <w:pPr>
        <w:spacing w:after="0" w:line="138" w:lineRule="exact"/>
        <w:rPr>
          <w:sz w:val="20"/>
          <w:szCs w:val="20"/>
          <w:color w:val="auto"/>
        </w:rPr>
      </w:pPr>
    </w:p>
    <w:p>
      <w:pPr>
        <w:ind w:left="640" w:right="659" w:firstLine="516"/>
        <w:spacing w:after="0" w:line="253" w:lineRule="auto"/>
        <w:rPr>
          <w:sz w:val="20"/>
          <w:szCs w:val="20"/>
          <w:color w:val="auto"/>
        </w:rPr>
      </w:pPr>
      <w:r>
        <w:rPr>
          <w:rFonts w:ascii="Arial" w:cs="Arial" w:eastAsia="Arial" w:hAnsi="Arial"/>
          <w:sz w:val="13"/>
          <w:szCs w:val="13"/>
          <w:color w:val="auto"/>
        </w:rPr>
        <w:t>Upon determination that an impairment has occurred, a write-down is recognized to reduce the carrying amount of the asset to its estimated fair value. If an impairment charge is not required to be recognized, the recognition of depreciation or amortization is adjusted prospectively, as necessary, to reduce the carrying amount of the asset to its estimated disposition value over the remaining period that the asset is expected to be held and used. We may adjust depreciation of properties that are expected to be disposed of or redeveloped prior to the end of their useful lives.</w:t>
      </w:r>
    </w:p>
    <w:p>
      <w:pPr>
        <w:spacing w:after="0" w:line="136" w:lineRule="exact"/>
        <w:rPr>
          <w:sz w:val="20"/>
          <w:szCs w:val="20"/>
          <w:color w:val="auto"/>
        </w:rPr>
      </w:pPr>
    </w:p>
    <w:p>
      <w:pPr>
        <w:ind w:left="640" w:right="639" w:firstLine="516"/>
        <w:spacing w:after="0" w:line="257" w:lineRule="auto"/>
        <w:rPr>
          <w:sz w:val="20"/>
          <w:szCs w:val="20"/>
          <w:color w:val="auto"/>
        </w:rPr>
      </w:pPr>
      <w:r>
        <w:rPr>
          <w:rFonts w:ascii="Arial" w:cs="Arial" w:eastAsia="Arial" w:hAnsi="Arial"/>
          <w:sz w:val="13"/>
          <w:szCs w:val="13"/>
          <w:color w:val="auto"/>
        </w:rPr>
        <w:t>We use the held for sale impairment model for our properties classified as held for sale, which is different from the held and used impairment model. Under the held for sale impairment model, an impairment charge is recognized if the carrying amount of the long-lived asset classified as held for sale exceeds its fair value less cost to sell. Because of these two different models, it is possible for a long-lived asset previously classified as held and used to require the recognition of an impairment charge upon classification as held for sale.</w:t>
      </w:r>
    </w:p>
    <w:p>
      <w:pPr>
        <w:spacing w:after="0" w:line="123" w:lineRule="exact"/>
        <w:rPr>
          <w:sz w:val="20"/>
          <w:szCs w:val="20"/>
          <w:color w:val="auto"/>
        </w:rPr>
      </w:pPr>
    </w:p>
    <w:p>
      <w:pPr>
        <w:ind w:left="640"/>
        <w:spacing w:after="0"/>
        <w:rPr>
          <w:sz w:val="20"/>
          <w:szCs w:val="20"/>
          <w:color w:val="auto"/>
        </w:rPr>
      </w:pPr>
      <w:r>
        <w:rPr>
          <w:rFonts w:ascii="Arial" w:cs="Arial" w:eastAsia="Arial" w:hAnsi="Arial"/>
          <w:sz w:val="13"/>
          <w:szCs w:val="13"/>
          <w:b w:val="1"/>
          <w:bCs w:val="1"/>
          <w:u w:val="single" w:color="auto"/>
          <w:color w:val="00497F"/>
        </w:rPr>
        <w:t>International operations</w:t>
      </w:r>
    </w:p>
    <w:p>
      <w:pPr>
        <w:spacing w:after="0" w:line="162" w:lineRule="exact"/>
        <w:rPr>
          <w:sz w:val="20"/>
          <w:szCs w:val="20"/>
          <w:color w:val="auto"/>
        </w:rPr>
      </w:pPr>
    </w:p>
    <w:p>
      <w:pPr>
        <w:ind w:left="640" w:right="819" w:firstLine="516"/>
        <w:spacing w:after="0" w:line="254" w:lineRule="auto"/>
        <w:rPr>
          <w:sz w:val="20"/>
          <w:szCs w:val="20"/>
          <w:color w:val="auto"/>
        </w:rPr>
      </w:pPr>
      <w:r>
        <w:rPr>
          <w:rFonts w:ascii="Arial" w:cs="Arial" w:eastAsia="Arial" w:hAnsi="Arial"/>
          <w:sz w:val="13"/>
          <w:szCs w:val="13"/>
          <w:color w:val="auto"/>
        </w:rPr>
        <w:t>In addition to operating properties in the U.S., we have 12 properties in Canada. The functional currency for our subsidiaries operating in the U.S. is the U.S. dollar. The local currency of a foreign subsidiary serves as its functional currency. The assets and liabilities of our foreign subsidiaries are translated into U.S. dollars at the exchange rate in effect as of the financial statement date. Revenue and expense accounts of our foreign subsidiaries are translated using the weighted-average exchange rate for the periods presented. Gains or losses resulting from the translation are classified in accumulated other comprehensive income (loss) as a separate component of total equity and are excluded from net income (loss).</w:t>
      </w:r>
    </w:p>
    <w:p>
      <w:pPr>
        <w:spacing w:after="0" w:line="135" w:lineRule="exact"/>
        <w:rPr>
          <w:sz w:val="20"/>
          <w:szCs w:val="20"/>
          <w:color w:val="auto"/>
        </w:rPr>
      </w:pPr>
    </w:p>
    <w:p>
      <w:pPr>
        <w:ind w:left="640" w:right="679" w:firstLine="516"/>
        <w:spacing w:after="0" w:line="257" w:lineRule="auto"/>
        <w:rPr>
          <w:sz w:val="20"/>
          <w:szCs w:val="20"/>
          <w:color w:val="auto"/>
        </w:rPr>
      </w:pPr>
      <w:r>
        <w:rPr>
          <w:rFonts w:ascii="Arial" w:cs="Arial" w:eastAsia="Arial" w:hAnsi="Arial"/>
          <w:sz w:val="13"/>
          <w:szCs w:val="13"/>
          <w:color w:val="auto"/>
        </w:rPr>
        <w:t>Whenever a foreign investment meets the criteria for classification as held for sale, we evaluate the recoverability of the investment under the held for sale impairment model. We may recognize an impairment charge if the carrying amount of the investment exceeds its fair value less cost to sell. In determining an investment’s carrying amount, we consider its net book value and any cumulative unrealized foreign currency translation adjustment related to the investment.</w:t>
      </w:r>
    </w:p>
    <w:p>
      <w:pPr>
        <w:spacing w:after="0" w:line="133" w:lineRule="exact"/>
        <w:rPr>
          <w:sz w:val="20"/>
          <w:szCs w:val="20"/>
          <w:color w:val="auto"/>
        </w:rPr>
      </w:pPr>
    </w:p>
    <w:p>
      <w:pPr>
        <w:ind w:left="640" w:right="939" w:firstLine="516"/>
        <w:spacing w:after="0" w:line="265" w:lineRule="auto"/>
        <w:rPr>
          <w:sz w:val="20"/>
          <w:szCs w:val="20"/>
          <w:color w:val="auto"/>
        </w:rPr>
      </w:pPr>
      <w:r>
        <w:rPr>
          <w:rFonts w:ascii="Arial" w:cs="Arial" w:eastAsia="Arial" w:hAnsi="Arial"/>
          <w:sz w:val="13"/>
          <w:szCs w:val="13"/>
          <w:color w:val="auto"/>
        </w:rPr>
        <w:t>The appropriate amounts of foreign exchange rate gains or losses classified in accumulated other comprehensive income (loss) are reclassified to net income (loss) when realized upon the sale of our investment or upon the complete or substantially complete liquidation of our investment.</w:t>
      </w:r>
    </w:p>
    <w:p>
      <w:pPr>
        <w:spacing w:after="0" w:line="128" w:lineRule="exact"/>
        <w:rPr>
          <w:sz w:val="20"/>
          <w:szCs w:val="20"/>
          <w:color w:val="auto"/>
        </w:rPr>
      </w:pPr>
    </w:p>
    <w:p>
      <w:pPr>
        <w:ind w:left="640"/>
        <w:spacing w:after="0"/>
        <w:rPr>
          <w:sz w:val="20"/>
          <w:szCs w:val="20"/>
          <w:color w:val="auto"/>
        </w:rPr>
      </w:pPr>
      <w:r>
        <w:rPr>
          <w:rFonts w:ascii="Arial" w:cs="Arial" w:eastAsia="Arial" w:hAnsi="Arial"/>
          <w:sz w:val="13"/>
          <w:szCs w:val="13"/>
          <w:b w:val="1"/>
          <w:bCs w:val="1"/>
          <w:u w:val="single" w:color="auto"/>
          <w:color w:val="00497F"/>
        </w:rPr>
        <w:t>Investments</w:t>
      </w:r>
    </w:p>
    <w:p>
      <w:pPr>
        <w:spacing w:after="0" w:line="151" w:lineRule="exact"/>
        <w:rPr>
          <w:sz w:val="20"/>
          <w:szCs w:val="20"/>
          <w:color w:val="auto"/>
        </w:rPr>
      </w:pPr>
    </w:p>
    <w:p>
      <w:pPr>
        <w:ind w:left="640" w:right="659" w:firstLine="516"/>
        <w:spacing w:after="0" w:line="289" w:lineRule="auto"/>
        <w:rPr>
          <w:sz w:val="20"/>
          <w:szCs w:val="20"/>
          <w:color w:val="auto"/>
        </w:rPr>
      </w:pPr>
      <w:r>
        <w:rPr>
          <w:rFonts w:ascii="Arial" w:cs="Arial" w:eastAsia="Arial" w:hAnsi="Arial"/>
          <w:sz w:val="13"/>
          <w:szCs w:val="13"/>
          <w:color w:val="auto"/>
        </w:rPr>
        <w:t>We hold investments in publicly traded companies and privately held entities primarily involved in the life science industry. As a REIT, we generally limit our ownership of each individual entity’s voting stock to less than 10%. We evaluate each investment to</w:t>
      </w:r>
    </w:p>
    <w:p>
      <w:pPr>
        <w:sectPr>
          <w:pgSz w:w="11900" w:h="16949" w:orient="portrait"/>
          <w:cols w:equalWidth="0" w:num="1">
            <w:col w:w="9019"/>
          </w:cols>
          <w:pgMar w:left="1440" w:top="129" w:right="1440" w:bottom="0" w:gutter="0" w:footer="0" w:header="0"/>
        </w:sectPr>
      </w:pPr>
    </w:p>
    <w:bookmarkStart w:id="11" w:name="page12"/>
    <w:bookmarkEnd w:id="11"/>
    <w:p>
      <w:pPr>
        <w:ind w:left="640" w:right="679"/>
        <w:spacing w:after="0" w:line="255" w:lineRule="auto"/>
        <w:rPr>
          <w:sz w:val="20"/>
          <w:szCs w:val="20"/>
          <w:color w:val="auto"/>
        </w:rPr>
      </w:pPr>
      <w:r>
        <w:rPr>
          <w:rFonts w:ascii="Arial" w:cs="Arial" w:eastAsia="Arial" w:hAnsi="Arial"/>
          <w:sz w:val="13"/>
          <w:szCs w:val="13"/>
          <w:color w:val="auto"/>
        </w:rPr>
        <w:t>determine whether we have the ability to exercise significant influence, but not control, over an investee. We evaluate investments in which our ownership is equal to or greater than 20%, but less than or equal to 50%, of an investee’s voting stock with a presumption that we have this ability. For our investments in limited partnerships that maintain specific ownership accounts, we presume that such ability exists when our ownership interest exceeds 3% to 5%. In addition to our ownership interest, we consider whether we have a board seat or whether we participate in the investee’s policy-making process, among other criteria, to determine if we have the ability to exert significant influence, but not control, over an investee. If we determine that we have such ability, we account for the investment under the equity method, as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-698500</wp:posOffset>
            </wp:positionV>
            <wp:extent cx="5584190" cy="15233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584190" cy="1523365"/>
                    </a:xfrm>
                    <a:prstGeom prst="rect">
                      <a:avLst/>
                    </a:prstGeom>
                    <a:noFill/>
                  </pic:spPr>
                </pic:pic>
              </a:graphicData>
            </a:graphic>
          </wp:anchor>
        </w:drawing>
      </w:r>
    </w:p>
    <w:p>
      <w:pPr>
        <w:spacing w:after="0" w:line="103" w:lineRule="exact"/>
        <w:rPr>
          <w:sz w:val="20"/>
          <w:szCs w:val="20"/>
          <w:color w:val="auto"/>
        </w:rPr>
      </w:pPr>
    </w:p>
    <w:p>
      <w:pPr>
        <w:ind w:left="640" w:right="979" w:firstLine="516"/>
        <w:spacing w:after="0" w:line="289" w:lineRule="auto"/>
        <w:rPr>
          <w:sz w:val="20"/>
          <w:szCs w:val="20"/>
          <w:color w:val="auto"/>
        </w:rPr>
      </w:pPr>
      <w:r>
        <w:rPr>
          <w:rFonts w:ascii="Arial" w:cs="Arial" w:eastAsia="Arial" w:hAnsi="Arial"/>
          <w:sz w:val="13"/>
          <w:szCs w:val="13"/>
          <w:color w:val="auto"/>
        </w:rPr>
        <w:t>From time to time we may hold equity investments that are subject to contractual sale restrictions. We do not recognize a discount related to a contractual sale restriction.</w:t>
      </w: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188595</wp:posOffset>
            </wp:positionV>
            <wp:extent cx="5584190" cy="72205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640" w:right="4099" w:hanging="2"/>
        <w:spacing w:after="0" w:line="465" w:lineRule="auto"/>
        <w:tabs>
          <w:tab w:leader="none" w:pos="898" w:val="left"/>
        </w:tabs>
        <w:numPr>
          <w:ilvl w:val="0"/>
          <w:numId w:val="15"/>
        </w:numPr>
        <w:rPr>
          <w:rFonts w:ascii="Arial" w:cs="Arial" w:eastAsia="Arial" w:hAnsi="Arial"/>
          <w:sz w:val="13"/>
          <w:szCs w:val="13"/>
          <w:b w:val="1"/>
          <w:bCs w:val="1"/>
          <w:color w:val="00497F"/>
        </w:rPr>
      </w:pPr>
      <w:r>
        <w:rPr>
          <w:rFonts w:ascii="Arial" w:cs="Arial" w:eastAsia="Arial" w:hAnsi="Arial"/>
          <w:sz w:val="13"/>
          <w:szCs w:val="13"/>
          <w:b w:val="1"/>
          <w:bCs w:val="1"/>
          <w:color w:val="00497F"/>
        </w:rPr>
        <w:t>SUMMARY OF SIGNIFICANT ACCOUNTING POLICIES (continued) Investments accounted for under the equity method</w:t>
      </w:r>
    </w:p>
    <w:p>
      <w:pPr>
        <w:spacing w:after="0" w:line="1" w:lineRule="exact"/>
        <w:rPr>
          <w:sz w:val="20"/>
          <w:szCs w:val="20"/>
          <w:color w:val="auto"/>
        </w:rPr>
      </w:pPr>
    </w:p>
    <w:p>
      <w:pPr>
        <w:ind w:left="640" w:right="679" w:firstLine="516"/>
        <w:spacing w:after="0" w:line="257" w:lineRule="auto"/>
        <w:rPr>
          <w:sz w:val="20"/>
          <w:szCs w:val="20"/>
          <w:color w:val="auto"/>
        </w:rPr>
      </w:pPr>
      <w:r>
        <w:rPr>
          <w:rFonts w:ascii="Arial" w:cs="Arial" w:eastAsia="Arial" w:hAnsi="Arial"/>
          <w:sz w:val="13"/>
          <w:szCs w:val="13"/>
          <w:color w:val="auto"/>
        </w:rPr>
        <w:t>Under the equity method of accounting, we initially recognize our investment at cost and subsequently adjust the carrying amount of the investment for our share of earnings or losses reported by the investee, distributions received, and other-than-temporary impairments. For more information about our investments accounted for under the equity method, refer to Note 7 – “Investments” to our unaudited consolidated financial statements.</w:t>
      </w:r>
    </w:p>
    <w:p>
      <w:pPr>
        <w:spacing w:after="0" w:line="133"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00497F"/>
        </w:rPr>
        <w:t>Investments that do not qualify for the equity method of accounting</w:t>
      </w:r>
    </w:p>
    <w:p>
      <w:pPr>
        <w:spacing w:after="0" w:line="162" w:lineRule="exact"/>
        <w:rPr>
          <w:sz w:val="20"/>
          <w:szCs w:val="20"/>
          <w:color w:val="auto"/>
        </w:rPr>
      </w:pPr>
    </w:p>
    <w:p>
      <w:pPr>
        <w:jc w:val="both"/>
        <w:ind w:left="640" w:right="739" w:firstLine="516"/>
        <w:spacing w:after="0" w:line="256" w:lineRule="auto"/>
        <w:rPr>
          <w:sz w:val="20"/>
          <w:szCs w:val="20"/>
          <w:color w:val="auto"/>
        </w:rPr>
      </w:pPr>
      <w:r>
        <w:rPr>
          <w:rFonts w:ascii="Arial" w:cs="Arial" w:eastAsia="Arial" w:hAnsi="Arial"/>
          <w:sz w:val="13"/>
          <w:szCs w:val="13"/>
          <w:color w:val="auto"/>
        </w:rPr>
        <w:t>For investees over which we determine that we do not have the ability to exercise significant influence or control, we account for each investment depending on whether it is an investment in a (i) publicly traded company, (ii) privately held entity that reports NAV per share, or (iii) privately held entity that does not report NAV per share, as described below.</w:t>
      </w:r>
    </w:p>
    <w:p>
      <w:pPr>
        <w:spacing w:after="0" w:line="136" w:lineRule="exact"/>
        <w:rPr>
          <w:sz w:val="20"/>
          <w:szCs w:val="20"/>
          <w:color w:val="auto"/>
        </w:rPr>
      </w:pPr>
    </w:p>
    <w:p>
      <w:pPr>
        <w:ind w:left="640"/>
        <w:spacing w:after="0"/>
        <w:rPr>
          <w:sz w:val="20"/>
          <w:szCs w:val="20"/>
          <w:color w:val="auto"/>
        </w:rPr>
      </w:pPr>
      <w:r>
        <w:rPr>
          <w:rFonts w:ascii="Arial" w:cs="Arial" w:eastAsia="Arial" w:hAnsi="Arial"/>
          <w:sz w:val="13"/>
          <w:szCs w:val="13"/>
          <w:i w:val="1"/>
          <w:iCs w:val="1"/>
          <w:color w:val="auto"/>
        </w:rPr>
        <w:t>Investments in publicly traded companies</w:t>
      </w:r>
    </w:p>
    <w:p>
      <w:pPr>
        <w:spacing w:after="0" w:line="160" w:lineRule="exact"/>
        <w:rPr>
          <w:sz w:val="20"/>
          <w:szCs w:val="20"/>
          <w:color w:val="auto"/>
        </w:rPr>
      </w:pPr>
    </w:p>
    <w:p>
      <w:pPr>
        <w:ind w:left="640" w:right="699" w:firstLine="516"/>
        <w:spacing w:after="0" w:line="257" w:lineRule="auto"/>
        <w:rPr>
          <w:sz w:val="20"/>
          <w:szCs w:val="20"/>
          <w:color w:val="auto"/>
        </w:rPr>
      </w:pPr>
      <w:r>
        <w:rPr>
          <w:rFonts w:ascii="Arial" w:cs="Arial" w:eastAsia="Arial" w:hAnsi="Arial"/>
          <w:sz w:val="13"/>
          <w:szCs w:val="13"/>
          <w:color w:val="auto"/>
        </w:rPr>
        <w:t>Our investments in publicly traded companies are classified as investments with readily determinable fair values and are presented at fair value in our consolidated balance sheets, with changes in fair value classified in investment income (loss) in our consolidated statements of operations. The fair values for our investments in publicly traded companies are determined based on sales prices or quotes available on securities exchanges.</w:t>
      </w:r>
    </w:p>
    <w:p>
      <w:pPr>
        <w:spacing w:after="0" w:line="135" w:lineRule="exact"/>
        <w:rPr>
          <w:sz w:val="20"/>
          <w:szCs w:val="20"/>
          <w:color w:val="auto"/>
        </w:rPr>
      </w:pPr>
    </w:p>
    <w:p>
      <w:pPr>
        <w:ind w:left="640"/>
        <w:spacing w:after="0"/>
        <w:rPr>
          <w:sz w:val="20"/>
          <w:szCs w:val="20"/>
          <w:color w:val="auto"/>
        </w:rPr>
      </w:pPr>
      <w:r>
        <w:rPr>
          <w:rFonts w:ascii="Arial" w:cs="Arial" w:eastAsia="Arial" w:hAnsi="Arial"/>
          <w:sz w:val="13"/>
          <w:szCs w:val="13"/>
          <w:i w:val="1"/>
          <w:iCs w:val="1"/>
          <w:color w:val="auto"/>
        </w:rPr>
        <w:t>Investments in privately held companies</w:t>
      </w:r>
    </w:p>
    <w:p>
      <w:pPr>
        <w:spacing w:after="0" w:line="160" w:lineRule="exact"/>
        <w:rPr>
          <w:sz w:val="20"/>
          <w:szCs w:val="20"/>
          <w:color w:val="auto"/>
        </w:rPr>
      </w:pPr>
    </w:p>
    <w:p>
      <w:pPr>
        <w:ind w:left="640" w:right="679" w:firstLine="516"/>
        <w:spacing w:after="0" w:line="265" w:lineRule="auto"/>
        <w:rPr>
          <w:sz w:val="20"/>
          <w:szCs w:val="20"/>
          <w:color w:val="auto"/>
        </w:rPr>
      </w:pPr>
      <w:r>
        <w:rPr>
          <w:rFonts w:ascii="Arial" w:cs="Arial" w:eastAsia="Arial" w:hAnsi="Arial"/>
          <w:sz w:val="13"/>
          <w:szCs w:val="13"/>
          <w:color w:val="auto"/>
        </w:rPr>
        <w:t>Our investments in privately held entities without readily determinable fair values consist of (i) investments in privately held entities that report NAV per share and (ii) investments in privately held entities that do not report NAV per share. These investments are accounted for as follows:</w:t>
      </w:r>
    </w:p>
    <w:p>
      <w:pPr>
        <w:spacing w:after="0" w:line="117" w:lineRule="exact"/>
        <w:rPr>
          <w:sz w:val="20"/>
          <w:szCs w:val="20"/>
          <w:color w:val="auto"/>
        </w:rPr>
      </w:pPr>
    </w:p>
    <w:p>
      <w:pPr>
        <w:ind w:left="1160"/>
        <w:spacing w:after="0"/>
        <w:rPr>
          <w:sz w:val="20"/>
          <w:szCs w:val="20"/>
          <w:color w:val="auto"/>
        </w:rPr>
      </w:pPr>
      <w:r>
        <w:rPr>
          <w:rFonts w:ascii="Arial" w:cs="Arial" w:eastAsia="Arial" w:hAnsi="Arial"/>
          <w:sz w:val="13"/>
          <w:szCs w:val="13"/>
          <w:u w:val="single" w:color="auto"/>
          <w:color w:val="auto"/>
        </w:rPr>
        <w:t>Investments in privately held entities that report NAV per share</w:t>
      </w:r>
    </w:p>
    <w:p>
      <w:pPr>
        <w:spacing w:after="0" w:line="162" w:lineRule="exact"/>
        <w:rPr>
          <w:sz w:val="20"/>
          <w:szCs w:val="20"/>
          <w:color w:val="auto"/>
        </w:rPr>
      </w:pPr>
    </w:p>
    <w:p>
      <w:pPr>
        <w:ind w:left="640" w:right="679" w:firstLine="516"/>
        <w:spacing w:after="0" w:line="257" w:lineRule="auto"/>
        <w:rPr>
          <w:sz w:val="20"/>
          <w:szCs w:val="20"/>
          <w:color w:val="auto"/>
        </w:rPr>
      </w:pPr>
      <w:r>
        <w:rPr>
          <w:rFonts w:ascii="Arial" w:cs="Arial" w:eastAsia="Arial" w:hAnsi="Arial"/>
          <w:sz w:val="13"/>
          <w:szCs w:val="13"/>
          <w:color w:val="auto"/>
        </w:rPr>
        <w:t>Investments in privately held entities that report NAV per share, such as our privately held investments in limited partnerships, are presented at fair value using NAV as a practical expedient, with changes in fair value classified in investment income (loss) in our consolidated statements of operations. We use NAV per share reported by limited partnerships generally without adjustment, unless we are aware of information indicating that the NAV reported by a limited partnership does not accurately reflect the fair value of the investment at our reporting date.</w:t>
      </w:r>
    </w:p>
    <w:p>
      <w:pPr>
        <w:spacing w:after="0" w:line="134" w:lineRule="exact"/>
        <w:rPr>
          <w:sz w:val="20"/>
          <w:szCs w:val="20"/>
          <w:color w:val="auto"/>
        </w:rPr>
      </w:pPr>
    </w:p>
    <w:p>
      <w:pPr>
        <w:ind w:left="1160"/>
        <w:spacing w:after="0"/>
        <w:rPr>
          <w:sz w:val="20"/>
          <w:szCs w:val="20"/>
          <w:color w:val="auto"/>
        </w:rPr>
      </w:pPr>
      <w:r>
        <w:rPr>
          <w:rFonts w:ascii="Arial" w:cs="Arial" w:eastAsia="Arial" w:hAnsi="Arial"/>
          <w:sz w:val="13"/>
          <w:szCs w:val="13"/>
          <w:u w:val="single" w:color="auto"/>
          <w:color w:val="auto"/>
        </w:rPr>
        <w:t>Investments in privately held entities that do not report NAV per share</w:t>
      </w:r>
    </w:p>
    <w:p>
      <w:pPr>
        <w:spacing w:after="0" w:line="151" w:lineRule="exact"/>
        <w:rPr>
          <w:sz w:val="20"/>
          <w:szCs w:val="20"/>
          <w:color w:val="auto"/>
        </w:rPr>
      </w:pPr>
    </w:p>
    <w:p>
      <w:pPr>
        <w:ind w:left="640" w:right="739" w:firstLine="516"/>
        <w:spacing w:after="0" w:line="265" w:lineRule="auto"/>
        <w:rPr>
          <w:sz w:val="20"/>
          <w:szCs w:val="20"/>
          <w:color w:val="auto"/>
        </w:rPr>
      </w:pPr>
      <w:r>
        <w:rPr>
          <w:rFonts w:ascii="Arial" w:cs="Arial" w:eastAsia="Arial" w:hAnsi="Arial"/>
          <w:sz w:val="13"/>
          <w:szCs w:val="13"/>
          <w:color w:val="auto"/>
        </w:rPr>
        <w:t>Investments in privately held entities that do not report NAV per share are accounted for using a measurement alternative, under which these investments are measured at cost, adjusted for observable price changes and impairments, with changes classified in investment income (loss) in our consolidated statements of operations.</w:t>
      </w:r>
    </w:p>
    <w:p>
      <w:pPr>
        <w:spacing w:after="0" w:line="128" w:lineRule="exact"/>
        <w:rPr>
          <w:sz w:val="20"/>
          <w:szCs w:val="20"/>
          <w:color w:val="auto"/>
        </w:rPr>
      </w:pPr>
    </w:p>
    <w:p>
      <w:pPr>
        <w:ind w:left="640" w:right="899" w:firstLine="516"/>
        <w:spacing w:after="0" w:line="254" w:lineRule="auto"/>
        <w:rPr>
          <w:sz w:val="20"/>
          <w:szCs w:val="20"/>
          <w:color w:val="auto"/>
        </w:rPr>
      </w:pPr>
      <w:r>
        <w:rPr>
          <w:rFonts w:ascii="Arial" w:cs="Arial" w:eastAsia="Arial" w:hAnsi="Arial"/>
          <w:sz w:val="13"/>
          <w:szCs w:val="13"/>
          <w:color w:val="auto"/>
        </w:rPr>
        <w:t>An observable price arises from an orderly transaction for an identical or similar investment of the same issuer, which is observed by an investor without expending undue cost and effort. Observable price changes result from, among other things, equity transactions of the same issuer executed during the reporting period, including subsequent equity offerings or other reported equity transactions related to the same issuer. To determine whether these transactions are indicative of an observable price change, we evaluate, among other factors, whether these transactions have similar rights and obligations, including voting rights, distribution preferences, and conversion rights to the investments we hold.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188595</wp:posOffset>
            </wp:positionV>
            <wp:extent cx="5584190" cy="16465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584190" cy="1646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900" w:hanging="262"/>
        <w:spacing w:after="0"/>
        <w:tabs>
          <w:tab w:leader="none" w:pos="900" w:val="left"/>
        </w:tabs>
        <w:numPr>
          <w:ilvl w:val="0"/>
          <w:numId w:val="16"/>
        </w:numPr>
        <w:rPr>
          <w:rFonts w:ascii="Arial" w:cs="Arial" w:eastAsia="Arial" w:hAnsi="Arial"/>
          <w:sz w:val="13"/>
          <w:szCs w:val="13"/>
          <w:b w:val="1"/>
          <w:bCs w:val="1"/>
          <w:color w:val="00497F"/>
        </w:rPr>
      </w:pPr>
      <w:r>
        <w:rPr>
          <w:rFonts w:ascii="Arial" w:cs="Arial" w:eastAsia="Arial" w:hAnsi="Arial"/>
          <w:sz w:val="13"/>
          <w:szCs w:val="13"/>
          <w:b w:val="1"/>
          <w:bCs w:val="1"/>
          <w:color w:val="00497F"/>
        </w:rPr>
        <w:t>SUMMARY OF SIGNIFICANT ACCOUNTING POLICIES (continued)</w:t>
      </w:r>
    </w:p>
    <w:p>
      <w:pPr>
        <w:spacing w:after="0" w:line="119" w:lineRule="exact"/>
        <w:rPr>
          <w:sz w:val="20"/>
          <w:szCs w:val="20"/>
          <w:color w:val="auto"/>
        </w:rPr>
      </w:pPr>
    </w:p>
    <w:p>
      <w:pPr>
        <w:ind w:left="640" w:right="959"/>
        <w:spacing w:after="0" w:line="284" w:lineRule="auto"/>
        <w:rPr>
          <w:sz w:val="20"/>
          <w:szCs w:val="20"/>
          <w:color w:val="auto"/>
        </w:rPr>
      </w:pPr>
      <w:r>
        <w:rPr>
          <w:rFonts w:ascii="Arial" w:cs="Arial" w:eastAsia="Arial" w:hAnsi="Arial"/>
          <w:sz w:val="13"/>
          <w:szCs w:val="13"/>
          <w:b w:val="1"/>
          <w:bCs w:val="1"/>
          <w:color w:val="00497F"/>
        </w:rPr>
        <w:t>Impairment evaluation of equity method investments and investments in privately held entities that do not report NAV per share</w:t>
      </w:r>
    </w:p>
    <w:p>
      <w:pPr>
        <w:spacing w:after="0" w:line="108" w:lineRule="exact"/>
        <w:rPr>
          <w:sz w:val="20"/>
          <w:szCs w:val="20"/>
          <w:color w:val="auto"/>
        </w:rPr>
      </w:pPr>
    </w:p>
    <w:p>
      <w:pPr>
        <w:ind w:left="640" w:right="679" w:firstLine="516"/>
        <w:spacing w:after="0" w:line="285" w:lineRule="auto"/>
        <w:rPr>
          <w:sz w:val="20"/>
          <w:szCs w:val="20"/>
          <w:color w:val="auto"/>
        </w:rPr>
      </w:pPr>
      <w:r>
        <w:rPr>
          <w:rFonts w:ascii="Arial" w:cs="Arial" w:eastAsia="Arial" w:hAnsi="Arial"/>
          <w:sz w:val="12"/>
          <w:szCs w:val="12"/>
          <w:color w:val="auto"/>
        </w:rPr>
        <w:t>We monitor equity method investments and investments in privately held entities that do not report NAV per share for new developments, including operating results, prospects and results of clinical trials, new product initiatives, new collaborative agreements, capital-raising events, and merger and acquisition activities. These investments are evaluated on the basis of a qualitative assessment for indicators of impairment by monitoring the presence of the following triggering events or impairment indicators:</w:t>
      </w:r>
    </w:p>
    <w:p>
      <w:pPr>
        <w:spacing w:after="0" w:line="118" w:lineRule="exact"/>
        <w:rPr>
          <w:sz w:val="20"/>
          <w:szCs w:val="20"/>
          <w:color w:val="auto"/>
        </w:rPr>
      </w:pPr>
    </w:p>
    <w:p>
      <w:pPr>
        <w:ind w:left="1420" w:hanging="267"/>
        <w:spacing w:after="0"/>
        <w:tabs>
          <w:tab w:leader="none" w:pos="1420" w:val="left"/>
        </w:tabs>
        <w:numPr>
          <w:ilvl w:val="0"/>
          <w:numId w:val="17"/>
        </w:numPr>
        <w:rPr>
          <w:rFonts w:ascii="Arial" w:cs="Arial" w:eastAsia="Arial" w:hAnsi="Arial"/>
          <w:sz w:val="13"/>
          <w:szCs w:val="13"/>
          <w:color w:val="auto"/>
        </w:rPr>
      </w:pPr>
      <w:r>
        <w:rPr>
          <w:rFonts w:ascii="Arial" w:cs="Arial" w:eastAsia="Arial" w:hAnsi="Arial"/>
          <w:sz w:val="13"/>
          <w:szCs w:val="13"/>
          <w:color w:val="auto"/>
        </w:rPr>
        <w:t>a significant deterioration in the earnings performance, credit rating, asset quality, or business prospects of the investee;</w:t>
      </w:r>
    </w:p>
    <w:p>
      <w:pPr>
        <w:spacing w:after="0" w:line="19" w:lineRule="exact"/>
        <w:rPr>
          <w:rFonts w:ascii="Arial" w:cs="Arial" w:eastAsia="Arial" w:hAnsi="Arial"/>
          <w:sz w:val="13"/>
          <w:szCs w:val="13"/>
          <w:color w:val="auto"/>
        </w:rPr>
      </w:pPr>
    </w:p>
    <w:p>
      <w:pPr>
        <w:ind w:left="1420" w:hanging="267"/>
        <w:spacing w:after="0"/>
        <w:tabs>
          <w:tab w:leader="none" w:pos="1420" w:val="left"/>
        </w:tabs>
        <w:numPr>
          <w:ilvl w:val="0"/>
          <w:numId w:val="17"/>
        </w:numPr>
        <w:rPr>
          <w:rFonts w:ascii="Arial" w:cs="Arial" w:eastAsia="Arial" w:hAnsi="Arial"/>
          <w:sz w:val="13"/>
          <w:szCs w:val="13"/>
          <w:color w:val="auto"/>
        </w:rPr>
      </w:pPr>
      <w:r>
        <w:rPr>
          <w:rFonts w:ascii="Arial" w:cs="Arial" w:eastAsia="Arial" w:hAnsi="Arial"/>
          <w:sz w:val="13"/>
          <w:szCs w:val="13"/>
          <w:color w:val="auto"/>
        </w:rPr>
        <w:t>a significant adverse change in the regulatory, economic, or technological environment of the investee;</w:t>
      </w:r>
    </w:p>
    <w:p>
      <w:pPr>
        <w:spacing w:after="0" w:line="5" w:lineRule="exact"/>
        <w:rPr>
          <w:rFonts w:ascii="Arial" w:cs="Arial" w:eastAsia="Arial" w:hAnsi="Arial"/>
          <w:sz w:val="13"/>
          <w:szCs w:val="13"/>
          <w:color w:val="auto"/>
        </w:rPr>
      </w:pPr>
    </w:p>
    <w:p>
      <w:pPr>
        <w:ind w:left="1420" w:hanging="267"/>
        <w:spacing w:after="0"/>
        <w:tabs>
          <w:tab w:leader="none" w:pos="1420" w:val="left"/>
        </w:tabs>
        <w:numPr>
          <w:ilvl w:val="0"/>
          <w:numId w:val="17"/>
        </w:numPr>
        <w:rPr>
          <w:rFonts w:ascii="Arial" w:cs="Arial" w:eastAsia="Arial" w:hAnsi="Arial"/>
          <w:sz w:val="13"/>
          <w:szCs w:val="13"/>
          <w:color w:val="auto"/>
        </w:rPr>
      </w:pPr>
      <w:r>
        <w:rPr>
          <w:rFonts w:ascii="Arial" w:cs="Arial" w:eastAsia="Arial" w:hAnsi="Arial"/>
          <w:sz w:val="13"/>
          <w:szCs w:val="13"/>
          <w:color w:val="auto"/>
        </w:rPr>
        <w:t>a significant adverse change in the general market condition, including the research and development of technology and</w:t>
      </w:r>
    </w:p>
    <w:p>
      <w:pPr>
        <w:sectPr>
          <w:pgSz w:w="11900" w:h="16838" w:orient="portrait"/>
          <w:cols w:equalWidth="0" w:num="1">
            <w:col w:w="9019"/>
          </w:cols>
          <w:pgMar w:left="1440" w:top="129" w:right="1440" w:bottom="0" w:gutter="0" w:footer="0" w:header="0"/>
        </w:sectPr>
      </w:pPr>
    </w:p>
    <w:bookmarkStart w:id="12" w:name="page13"/>
    <w:bookmarkEnd w:id="12"/>
    <w:p>
      <w:pPr>
        <w:ind w:left="1420"/>
        <w:spacing w:after="0"/>
        <w:rPr>
          <w:sz w:val="20"/>
          <w:szCs w:val="20"/>
          <w:color w:val="auto"/>
        </w:rPr>
      </w:pPr>
      <w:r>
        <w:rPr>
          <w:rFonts w:ascii="Arial" w:cs="Arial" w:eastAsia="Arial" w:hAnsi="Arial"/>
          <w:sz w:val="13"/>
          <w:szCs w:val="13"/>
          <w:color w:val="auto"/>
        </w:rPr>
        <w:t>products that the investee is bringing or attempting to bring to the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-20955</wp:posOffset>
            </wp:positionV>
            <wp:extent cx="5584190" cy="55676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584190" cy="5567680"/>
                    </a:xfrm>
                    <a:prstGeom prst="rect">
                      <a:avLst/>
                    </a:prstGeom>
                    <a:noFill/>
                  </pic:spPr>
                </pic:pic>
              </a:graphicData>
            </a:graphic>
          </wp:anchor>
        </w:drawing>
      </w:r>
    </w:p>
    <w:p>
      <w:pPr>
        <w:ind w:left="1160"/>
        <w:spacing w:after="0"/>
        <w:rPr>
          <w:sz w:val="20"/>
          <w:szCs w:val="20"/>
          <w:color w:val="auto"/>
        </w:rPr>
      </w:pPr>
      <w:r>
        <w:rPr>
          <w:rFonts w:ascii="Arial" w:cs="Arial" w:eastAsia="Arial" w:hAnsi="Arial"/>
          <w:sz w:val="13"/>
          <w:szCs w:val="13"/>
          <w:color w:val="auto"/>
        </w:rPr>
        <w:t>(iv) significant concerns about the investee’s ability to continue as a going concern; and/or</w:t>
      </w:r>
    </w:p>
    <w:p>
      <w:pPr>
        <w:spacing w:after="0" w:line="1" w:lineRule="exact"/>
        <w:rPr>
          <w:sz w:val="20"/>
          <w:szCs w:val="20"/>
          <w:color w:val="auto"/>
        </w:rPr>
      </w:pPr>
    </w:p>
    <w:p>
      <w:pPr>
        <w:ind w:left="1160"/>
        <w:spacing w:after="0"/>
        <w:tabs>
          <w:tab w:leader="none" w:pos="1400" w:val="left"/>
        </w:tabs>
        <w:rPr>
          <w:sz w:val="20"/>
          <w:szCs w:val="20"/>
          <w:color w:val="auto"/>
        </w:rPr>
      </w:pPr>
      <w:r>
        <w:rPr>
          <w:rFonts w:ascii="Arial" w:cs="Arial" w:eastAsia="Arial" w:hAnsi="Arial"/>
          <w:sz w:val="13"/>
          <w:szCs w:val="13"/>
          <w:color w:val="auto"/>
        </w:rPr>
        <w:t>(v)</w:t>
      </w:r>
      <w:r>
        <w:rPr>
          <w:sz w:val="20"/>
          <w:szCs w:val="20"/>
          <w:color w:val="auto"/>
        </w:rPr>
        <w:tab/>
      </w:r>
      <w:r>
        <w:rPr>
          <w:rFonts w:ascii="Arial" w:cs="Arial" w:eastAsia="Arial" w:hAnsi="Arial"/>
          <w:sz w:val="12"/>
          <w:szCs w:val="12"/>
          <w:color w:val="auto"/>
        </w:rPr>
        <w:t>a decision by investors to cease providing support or reduce their financial commitment to the investee.</w:t>
      </w:r>
    </w:p>
    <w:p>
      <w:pPr>
        <w:spacing w:after="0" w:line="150" w:lineRule="exact"/>
        <w:rPr>
          <w:sz w:val="20"/>
          <w:szCs w:val="20"/>
          <w:color w:val="auto"/>
        </w:rPr>
      </w:pPr>
    </w:p>
    <w:p>
      <w:pPr>
        <w:ind w:left="640" w:right="1299" w:firstLine="516"/>
        <w:spacing w:after="0" w:line="272" w:lineRule="auto"/>
        <w:rPr>
          <w:sz w:val="20"/>
          <w:szCs w:val="20"/>
          <w:color w:val="auto"/>
        </w:rPr>
      </w:pPr>
      <w:r>
        <w:rPr>
          <w:rFonts w:ascii="Arial" w:cs="Arial" w:eastAsia="Arial" w:hAnsi="Arial"/>
          <w:sz w:val="13"/>
          <w:szCs w:val="13"/>
          <w:color w:val="auto"/>
        </w:rPr>
        <w:t>If such indicators are present, we are required to estimate the investment’s fair value and immediately recognize an impairment charge in an amount equal to the investment’s carrying value in excess of its estimated fair value.</w:t>
      </w:r>
    </w:p>
    <w:p>
      <w:pPr>
        <w:spacing w:after="0" w:line="123"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00497F"/>
        </w:rPr>
        <w:t>Investment income/loss recognition and classification</w:t>
      </w:r>
    </w:p>
    <w:p>
      <w:pPr>
        <w:spacing w:after="0" w:line="151" w:lineRule="exact"/>
        <w:rPr>
          <w:sz w:val="20"/>
          <w:szCs w:val="20"/>
          <w:color w:val="auto"/>
        </w:rPr>
      </w:pPr>
    </w:p>
    <w:p>
      <w:pPr>
        <w:ind w:left="640" w:right="1119" w:firstLine="516"/>
        <w:spacing w:after="0" w:line="272" w:lineRule="auto"/>
        <w:rPr>
          <w:sz w:val="20"/>
          <w:szCs w:val="20"/>
          <w:color w:val="auto"/>
        </w:rPr>
      </w:pPr>
      <w:r>
        <w:rPr>
          <w:rFonts w:ascii="Arial" w:cs="Arial" w:eastAsia="Arial" w:hAnsi="Arial"/>
          <w:sz w:val="13"/>
          <w:szCs w:val="13"/>
          <w:color w:val="auto"/>
        </w:rPr>
        <w:t>We recognize both realized and unrealized gains and losses in our consolidated statements of operations, classified in investment income (loss) in our consolidated statements of operations. Unrealized gains and losses represent:</w:t>
      </w:r>
    </w:p>
    <w:p>
      <w:pPr>
        <w:spacing w:after="0" w:line="123" w:lineRule="exact"/>
        <w:rPr>
          <w:sz w:val="20"/>
          <w:szCs w:val="20"/>
          <w:color w:val="auto"/>
        </w:rPr>
      </w:pPr>
    </w:p>
    <w:p>
      <w:pPr>
        <w:ind w:left="1420" w:hanging="267"/>
        <w:spacing w:after="0"/>
        <w:tabs>
          <w:tab w:leader="none" w:pos="1420" w:val="left"/>
        </w:tabs>
        <w:numPr>
          <w:ilvl w:val="0"/>
          <w:numId w:val="18"/>
        </w:numPr>
        <w:rPr>
          <w:rFonts w:ascii="Arial" w:cs="Arial" w:eastAsia="Arial" w:hAnsi="Arial"/>
          <w:sz w:val="13"/>
          <w:szCs w:val="13"/>
          <w:color w:val="auto"/>
        </w:rPr>
      </w:pPr>
      <w:r>
        <w:rPr>
          <w:rFonts w:ascii="Arial" w:cs="Arial" w:eastAsia="Arial" w:hAnsi="Arial"/>
          <w:sz w:val="13"/>
          <w:szCs w:val="13"/>
          <w:color w:val="auto"/>
        </w:rPr>
        <w:t>changes in fair value for investments in publicly traded companies;</w:t>
      </w:r>
    </w:p>
    <w:p>
      <w:pPr>
        <w:spacing w:after="0" w:line="19" w:lineRule="exact"/>
        <w:rPr>
          <w:rFonts w:ascii="Arial" w:cs="Arial" w:eastAsia="Arial" w:hAnsi="Arial"/>
          <w:sz w:val="13"/>
          <w:szCs w:val="13"/>
          <w:color w:val="auto"/>
        </w:rPr>
      </w:pPr>
    </w:p>
    <w:p>
      <w:pPr>
        <w:ind w:left="1420" w:hanging="267"/>
        <w:spacing w:after="0"/>
        <w:tabs>
          <w:tab w:leader="none" w:pos="1420" w:val="left"/>
        </w:tabs>
        <w:numPr>
          <w:ilvl w:val="0"/>
          <w:numId w:val="18"/>
        </w:numPr>
        <w:rPr>
          <w:rFonts w:ascii="Arial" w:cs="Arial" w:eastAsia="Arial" w:hAnsi="Arial"/>
          <w:sz w:val="13"/>
          <w:szCs w:val="13"/>
          <w:color w:val="auto"/>
        </w:rPr>
      </w:pPr>
      <w:r>
        <w:rPr>
          <w:rFonts w:ascii="Arial" w:cs="Arial" w:eastAsia="Arial" w:hAnsi="Arial"/>
          <w:sz w:val="13"/>
          <w:szCs w:val="13"/>
          <w:color w:val="auto"/>
        </w:rPr>
        <w:t>changes in NAV for investments in privately held entities that report NAV per share;</w:t>
      </w:r>
    </w:p>
    <w:p>
      <w:pPr>
        <w:spacing w:after="0" w:line="5" w:lineRule="exact"/>
        <w:rPr>
          <w:rFonts w:ascii="Arial" w:cs="Arial" w:eastAsia="Arial" w:hAnsi="Arial"/>
          <w:sz w:val="13"/>
          <w:szCs w:val="13"/>
          <w:color w:val="auto"/>
        </w:rPr>
      </w:pPr>
    </w:p>
    <w:p>
      <w:pPr>
        <w:ind w:left="1420" w:hanging="267"/>
        <w:spacing w:after="0"/>
        <w:tabs>
          <w:tab w:leader="none" w:pos="1420" w:val="left"/>
        </w:tabs>
        <w:numPr>
          <w:ilvl w:val="0"/>
          <w:numId w:val="18"/>
        </w:numPr>
        <w:rPr>
          <w:rFonts w:ascii="Arial" w:cs="Arial" w:eastAsia="Arial" w:hAnsi="Arial"/>
          <w:sz w:val="13"/>
          <w:szCs w:val="13"/>
          <w:color w:val="auto"/>
        </w:rPr>
      </w:pPr>
      <w:r>
        <w:rPr>
          <w:rFonts w:ascii="Arial" w:cs="Arial" w:eastAsia="Arial" w:hAnsi="Arial"/>
          <w:sz w:val="13"/>
          <w:szCs w:val="13"/>
          <w:color w:val="auto"/>
        </w:rPr>
        <w:t>observable price changes for investments in privately held entities that do not report NAV per share; and</w:t>
      </w:r>
    </w:p>
    <w:p>
      <w:pPr>
        <w:ind w:left="1420" w:hanging="267"/>
        <w:spacing w:after="0"/>
        <w:tabs>
          <w:tab w:leader="none" w:pos="1420" w:val="left"/>
        </w:tabs>
        <w:numPr>
          <w:ilvl w:val="0"/>
          <w:numId w:val="18"/>
        </w:numPr>
        <w:rPr>
          <w:rFonts w:ascii="Arial" w:cs="Arial" w:eastAsia="Arial" w:hAnsi="Arial"/>
          <w:sz w:val="13"/>
          <w:szCs w:val="13"/>
          <w:color w:val="auto"/>
        </w:rPr>
      </w:pPr>
      <w:r>
        <w:rPr>
          <w:rFonts w:ascii="Arial" w:cs="Arial" w:eastAsia="Arial" w:hAnsi="Arial"/>
          <w:sz w:val="13"/>
          <w:szCs w:val="13"/>
          <w:color w:val="auto"/>
        </w:rPr>
        <w:t>our share of unrealized gains or losses reported by our equity method investees.</w:t>
      </w:r>
    </w:p>
    <w:p>
      <w:pPr>
        <w:spacing w:after="0" w:line="150" w:lineRule="exact"/>
        <w:rPr>
          <w:sz w:val="20"/>
          <w:szCs w:val="20"/>
          <w:color w:val="auto"/>
        </w:rPr>
      </w:pPr>
    </w:p>
    <w:p>
      <w:pPr>
        <w:ind w:left="640" w:right="739" w:firstLine="516"/>
        <w:spacing w:after="0" w:line="257" w:lineRule="auto"/>
        <w:rPr>
          <w:sz w:val="20"/>
          <w:szCs w:val="20"/>
          <w:color w:val="auto"/>
        </w:rPr>
      </w:pPr>
      <w:r>
        <w:rPr>
          <w:rFonts w:ascii="Arial" w:cs="Arial" w:eastAsia="Arial" w:hAnsi="Arial"/>
          <w:sz w:val="13"/>
          <w:szCs w:val="13"/>
          <w:color w:val="auto"/>
        </w:rPr>
        <w:t>Realized gains and losses on our investments represent the difference between proceeds received upon disposition of investments and their historical or adjusted cost basis. For our equity method investments, realized gains and losses represent our share of realized gains or losses reported by the investee. Impairments are realized losses, which result in an adjusted cost basis, and represent charges to reduce the carrying values of investments in privately held entities that do not report NAV per share and equity method investments, if impairments are deemed other than temporary, to their estimated fair value.</w:t>
      </w:r>
    </w:p>
    <w:p>
      <w:pPr>
        <w:spacing w:after="0" w:line="134" w:lineRule="exact"/>
        <w:rPr>
          <w:sz w:val="20"/>
          <w:szCs w:val="20"/>
          <w:color w:val="auto"/>
        </w:rPr>
      </w:pPr>
    </w:p>
    <w:p>
      <w:pPr>
        <w:ind w:left="640"/>
        <w:spacing w:after="0"/>
        <w:rPr>
          <w:sz w:val="20"/>
          <w:szCs w:val="20"/>
          <w:color w:val="auto"/>
        </w:rPr>
      </w:pPr>
      <w:r>
        <w:rPr>
          <w:rFonts w:ascii="Arial" w:cs="Arial" w:eastAsia="Arial" w:hAnsi="Arial"/>
          <w:sz w:val="13"/>
          <w:szCs w:val="13"/>
          <w:b w:val="1"/>
          <w:bCs w:val="1"/>
          <w:u w:val="single" w:color="auto"/>
          <w:color w:val="00497F"/>
        </w:rPr>
        <w:t>Revenues</w:t>
      </w:r>
    </w:p>
    <w:p>
      <w:pPr>
        <w:spacing w:after="0" w:line="151" w:lineRule="exact"/>
        <w:rPr>
          <w:sz w:val="20"/>
          <w:szCs w:val="20"/>
          <w:color w:val="auto"/>
        </w:rPr>
      </w:pPr>
    </w:p>
    <w:p>
      <w:pPr>
        <w:ind w:left="640" w:right="939" w:firstLine="516"/>
        <w:spacing w:after="0" w:line="289" w:lineRule="auto"/>
        <w:rPr>
          <w:sz w:val="20"/>
          <w:szCs w:val="20"/>
          <w:color w:val="auto"/>
        </w:rPr>
      </w:pPr>
      <w:r>
        <w:rPr>
          <w:rFonts w:ascii="Arial" w:cs="Arial" w:eastAsia="Arial" w:hAnsi="Arial"/>
          <w:sz w:val="13"/>
          <w:szCs w:val="13"/>
          <w:color w:val="auto"/>
        </w:rPr>
        <w:t>The table below provides details of our consolidated total revenues for the three and six months ended June 30, 2024 and 2023 (in thousands):</w:t>
      </w:r>
    </w:p>
    <w:p>
      <w:pPr>
        <w:spacing w:after="0" w:line="102"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3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80" w:type="dxa"/>
            <w:vAlign w:val="bottom"/>
            <w:gridSpan w:val="5"/>
          </w:tcPr>
          <w:p>
            <w:pPr>
              <w:ind w:left="60"/>
              <w:spacing w:after="0"/>
              <w:rPr>
                <w:sz w:val="20"/>
                <w:szCs w:val="20"/>
                <w:color w:val="auto"/>
              </w:rPr>
            </w:pPr>
            <w:r>
              <w:rPr>
                <w:rFonts w:ascii="Arial" w:cs="Arial" w:eastAsia="Arial" w:hAnsi="Arial"/>
                <w:sz w:val="13"/>
                <w:szCs w:val="13"/>
                <w:color w:val="auto"/>
              </w:rPr>
              <w:t>Three Months Ended June 30,</w:t>
            </w:r>
          </w:p>
        </w:tc>
        <w:tc>
          <w:tcPr>
            <w:tcW w:w="180" w:type="dxa"/>
            <w:vAlign w:val="bottom"/>
          </w:tcPr>
          <w:p>
            <w:pPr>
              <w:spacing w:after="0"/>
              <w:rPr>
                <w:sz w:val="13"/>
                <w:szCs w:val="13"/>
                <w:color w:val="auto"/>
              </w:rPr>
            </w:pPr>
          </w:p>
        </w:tc>
        <w:tc>
          <w:tcPr>
            <w:tcW w:w="1920" w:type="dxa"/>
            <w:vAlign w:val="bottom"/>
            <w:gridSpan w:val="4"/>
          </w:tcPr>
          <w:p>
            <w:pPr>
              <w:jc w:val="right"/>
              <w:ind w:right="196"/>
              <w:spacing w:after="0"/>
              <w:rPr>
                <w:sz w:val="20"/>
                <w:szCs w:val="20"/>
                <w:color w:val="auto"/>
              </w:rPr>
            </w:pPr>
            <w:r>
              <w:rPr>
                <w:rFonts w:ascii="Arial" w:cs="Arial" w:eastAsia="Arial" w:hAnsi="Arial"/>
                <w:sz w:val="13"/>
                <w:szCs w:val="13"/>
                <w:color w:val="auto"/>
              </w:rPr>
              <w:t>Six Months Ended June 30,</w:t>
            </w:r>
          </w:p>
        </w:tc>
        <w:tc>
          <w:tcPr>
            <w:tcW w:w="0" w:type="dxa"/>
            <w:vAlign w:val="bottom"/>
          </w:tcPr>
          <w:p>
            <w:pPr>
              <w:spacing w:after="0"/>
              <w:rPr>
                <w:sz w:val="1"/>
                <w:szCs w:val="1"/>
                <w:color w:val="auto"/>
              </w:rPr>
            </w:pPr>
          </w:p>
        </w:tc>
      </w:tr>
      <w:tr>
        <w:trPr>
          <w:trHeight w:val="184"/>
        </w:trPr>
        <w:tc>
          <w:tcPr>
            <w:tcW w:w="336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3"/>
                <w:szCs w:val="13"/>
                <w:color w:val="auto"/>
              </w:rPr>
              <w:t>2024</w:t>
            </w:r>
          </w:p>
        </w:tc>
        <w:tc>
          <w:tcPr>
            <w:tcW w:w="60" w:type="dxa"/>
            <w:vAlign w:val="bottom"/>
            <w:tcBorders>
              <w:top w:val="single" w:sz="8" w:color="auto"/>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3"/>
                <w:szCs w:val="13"/>
                <w:color w:val="auto"/>
              </w:rPr>
              <w:t>2023</w:t>
            </w:r>
          </w:p>
        </w:tc>
        <w:tc>
          <w:tcPr>
            <w:tcW w:w="10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296"/>
              <w:spacing w:after="0"/>
              <w:rPr>
                <w:sz w:val="20"/>
                <w:szCs w:val="20"/>
                <w:color w:val="auto"/>
              </w:rPr>
            </w:pPr>
            <w:r>
              <w:rPr>
                <w:rFonts w:ascii="Arial" w:cs="Arial" w:eastAsia="Arial" w:hAnsi="Arial"/>
                <w:sz w:val="13"/>
                <w:szCs w:val="13"/>
                <w:color w:val="auto"/>
              </w:rPr>
              <w:t>2024</w:t>
            </w:r>
          </w:p>
        </w:tc>
        <w:tc>
          <w:tcPr>
            <w:tcW w:w="40" w:type="dxa"/>
            <w:vAlign w:val="bottom"/>
            <w:tcBorders>
              <w:top w:val="single" w:sz="8" w:color="auto"/>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3"/>
                <w:szCs w:val="13"/>
                <w:color w:val="auto"/>
              </w:rPr>
              <w:t>2023</w:t>
            </w:r>
          </w:p>
        </w:tc>
        <w:tc>
          <w:tcPr>
            <w:tcW w:w="0" w:type="dxa"/>
            <w:vAlign w:val="bottom"/>
          </w:tcPr>
          <w:p>
            <w:pPr>
              <w:spacing w:after="0"/>
              <w:rPr>
                <w:sz w:val="1"/>
                <w:szCs w:val="1"/>
                <w:color w:val="auto"/>
              </w:rPr>
            </w:pPr>
          </w:p>
        </w:tc>
      </w:tr>
      <w:tr>
        <w:trPr>
          <w:trHeight w:val="184"/>
        </w:trPr>
        <w:tc>
          <w:tcPr>
            <w:tcW w:w="3360" w:type="dxa"/>
            <w:vAlign w:val="bottom"/>
            <w:shd w:val="clear" w:color="auto" w:fill="CCEEFF"/>
          </w:tcPr>
          <w:p>
            <w:pPr>
              <w:ind w:left="40"/>
              <w:spacing w:after="0"/>
              <w:rPr>
                <w:sz w:val="20"/>
                <w:szCs w:val="20"/>
                <w:color w:val="auto"/>
              </w:rPr>
            </w:pPr>
            <w:r>
              <w:rPr>
                <w:rFonts w:ascii="Arial" w:cs="Arial" w:eastAsia="Arial" w:hAnsi="Arial"/>
                <w:sz w:val="13"/>
                <w:szCs w:val="13"/>
                <w:color w:val="auto"/>
              </w:rPr>
              <w:t>Income from rentals:</w:t>
            </w: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360" w:type="dxa"/>
            <w:vAlign w:val="bottom"/>
          </w:tcPr>
          <w:p>
            <w:pPr>
              <w:ind w:left="140"/>
              <w:spacing w:after="0"/>
              <w:rPr>
                <w:sz w:val="20"/>
                <w:szCs w:val="20"/>
                <w:color w:val="auto"/>
              </w:rPr>
            </w:pPr>
            <w:r>
              <w:rPr>
                <w:rFonts w:ascii="Arial" w:cs="Arial" w:eastAsia="Arial" w:hAnsi="Arial"/>
                <w:sz w:val="13"/>
                <w:szCs w:val="13"/>
                <w:color w:val="auto"/>
              </w:rPr>
              <w:t>Revenues subject to the lease accounting standard:</w:t>
            </w: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360" w:type="dxa"/>
            <w:vAlign w:val="bottom"/>
            <w:shd w:val="clear" w:color="auto" w:fill="CCEEFF"/>
          </w:tcPr>
          <w:p>
            <w:pPr>
              <w:ind w:left="200"/>
              <w:spacing w:after="0"/>
              <w:rPr>
                <w:sz w:val="20"/>
                <w:szCs w:val="20"/>
                <w:color w:val="auto"/>
              </w:rPr>
            </w:pPr>
            <w:r>
              <w:rPr>
                <w:rFonts w:ascii="Arial" w:cs="Arial" w:eastAsia="Arial" w:hAnsi="Arial"/>
                <w:sz w:val="13"/>
                <w:szCs w:val="13"/>
                <w:color w:val="auto"/>
              </w:rPr>
              <w:t>Operating leases</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745,626</w:t>
            </w: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695,019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1,491,687</w:t>
            </w: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1,372,441</w:t>
            </w:r>
          </w:p>
        </w:tc>
        <w:tc>
          <w:tcPr>
            <w:tcW w:w="0" w:type="dxa"/>
            <w:vAlign w:val="bottom"/>
          </w:tcPr>
          <w:p>
            <w:pPr>
              <w:spacing w:after="0"/>
              <w:rPr>
                <w:sz w:val="1"/>
                <w:szCs w:val="1"/>
                <w:color w:val="auto"/>
              </w:rPr>
            </w:pPr>
          </w:p>
        </w:tc>
      </w:tr>
      <w:tr>
        <w:trPr>
          <w:trHeight w:val="204"/>
        </w:trPr>
        <w:tc>
          <w:tcPr>
            <w:tcW w:w="3360" w:type="dxa"/>
            <w:vAlign w:val="bottom"/>
            <w:tcBorders>
              <w:bottom w:val="single" w:sz="8" w:color="CCEEFF"/>
            </w:tcBorders>
          </w:tcPr>
          <w:p>
            <w:pPr>
              <w:ind w:left="200"/>
              <w:spacing w:after="0"/>
              <w:rPr>
                <w:sz w:val="20"/>
                <w:szCs w:val="20"/>
                <w:color w:val="auto"/>
              </w:rPr>
            </w:pPr>
            <w:r>
              <w:rPr>
                <w:rFonts w:ascii="Arial" w:cs="Arial" w:eastAsia="Arial" w:hAnsi="Arial"/>
                <w:sz w:val="13"/>
                <w:szCs w:val="13"/>
                <w:color w:val="auto"/>
              </w:rPr>
              <w:t>Direct financing leases</w:t>
            </w: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662</w:t>
            </w:r>
          </w:p>
        </w:tc>
        <w:tc>
          <w:tcPr>
            <w:tcW w:w="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650</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1,321</w:t>
            </w:r>
          </w:p>
        </w:tc>
        <w:tc>
          <w:tcPr>
            <w:tcW w:w="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1,298</w:t>
            </w:r>
          </w:p>
        </w:tc>
        <w:tc>
          <w:tcPr>
            <w:tcW w:w="0" w:type="dxa"/>
            <w:vAlign w:val="bottom"/>
          </w:tcPr>
          <w:p>
            <w:pPr>
              <w:spacing w:after="0"/>
              <w:rPr>
                <w:sz w:val="1"/>
                <w:szCs w:val="1"/>
                <w:color w:val="auto"/>
              </w:rPr>
            </w:pPr>
          </w:p>
        </w:tc>
      </w:tr>
      <w:tr>
        <w:trPr>
          <w:trHeight w:val="184"/>
        </w:trPr>
        <w:tc>
          <w:tcPr>
            <w:tcW w:w="33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Revenues subject to the lease accounting standard</w:t>
            </w: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746,288</w:t>
            </w: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695,669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1,493,008</w:t>
            </w: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1,373,739</w:t>
            </w:r>
          </w:p>
        </w:tc>
        <w:tc>
          <w:tcPr>
            <w:tcW w:w="0" w:type="dxa"/>
            <w:vAlign w:val="bottom"/>
          </w:tcPr>
          <w:p>
            <w:pPr>
              <w:spacing w:after="0"/>
              <w:rPr>
                <w:sz w:val="1"/>
                <w:szCs w:val="1"/>
                <w:color w:val="auto"/>
              </w:rPr>
            </w:pPr>
          </w:p>
        </w:tc>
      </w:tr>
      <w:tr>
        <w:trPr>
          <w:trHeight w:val="172"/>
        </w:trPr>
        <w:tc>
          <w:tcPr>
            <w:tcW w:w="3360" w:type="dxa"/>
            <w:vAlign w:val="bottom"/>
          </w:tcPr>
          <w:p>
            <w:pPr>
              <w:ind w:left="140"/>
              <w:spacing w:after="0"/>
              <w:rPr>
                <w:sz w:val="20"/>
                <w:szCs w:val="20"/>
                <w:color w:val="auto"/>
              </w:rPr>
            </w:pPr>
            <w:r>
              <w:rPr>
                <w:rFonts w:ascii="Arial" w:cs="Arial" w:eastAsia="Arial" w:hAnsi="Arial"/>
                <w:sz w:val="13"/>
                <w:szCs w:val="13"/>
                <w:color w:val="auto"/>
              </w:rPr>
              <w:t>Revenues subject to the revenue recognition</w:t>
            </w:r>
          </w:p>
        </w:tc>
        <w:tc>
          <w:tcPr>
            <w:tcW w:w="18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8,874</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8,670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17,705</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18,549</w:t>
            </w:r>
          </w:p>
        </w:tc>
        <w:tc>
          <w:tcPr>
            <w:tcW w:w="0" w:type="dxa"/>
            <w:vAlign w:val="bottom"/>
          </w:tcPr>
          <w:p>
            <w:pPr>
              <w:spacing w:after="0"/>
              <w:rPr>
                <w:sz w:val="1"/>
                <w:szCs w:val="1"/>
                <w:color w:val="auto"/>
              </w:rPr>
            </w:pPr>
          </w:p>
        </w:tc>
      </w:tr>
      <w:tr>
        <w:trPr>
          <w:trHeight w:val="161"/>
        </w:trPr>
        <w:tc>
          <w:tcPr>
            <w:tcW w:w="3360" w:type="dxa"/>
            <w:vAlign w:val="bottom"/>
            <w:tcBorders>
              <w:bottom w:val="single" w:sz="8" w:color="CCEEFF"/>
            </w:tcBorders>
          </w:tcPr>
          <w:p>
            <w:pPr>
              <w:ind w:left="200"/>
              <w:spacing w:after="0"/>
              <w:rPr>
                <w:sz w:val="20"/>
                <w:szCs w:val="20"/>
                <w:color w:val="auto"/>
              </w:rPr>
            </w:pPr>
            <w:r>
              <w:rPr>
                <w:rFonts w:ascii="Arial" w:cs="Arial" w:eastAsia="Arial" w:hAnsi="Arial"/>
                <w:sz w:val="13"/>
                <w:szCs w:val="13"/>
                <w:color w:val="auto"/>
              </w:rPr>
              <w:t>accounting standard</w:t>
            </w:r>
          </w:p>
        </w:tc>
        <w:tc>
          <w:tcPr>
            <w:tcW w:w="1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vMerge w:val="continue"/>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vMerge w:val="continue"/>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3360" w:type="dxa"/>
            <w:vAlign w:val="bottom"/>
            <w:shd w:val="clear" w:color="auto" w:fill="CCEEFF"/>
          </w:tcPr>
          <w:p>
            <w:pPr>
              <w:ind w:left="40"/>
              <w:spacing w:after="0"/>
              <w:rPr>
                <w:sz w:val="20"/>
                <w:szCs w:val="20"/>
                <w:color w:val="auto"/>
              </w:rPr>
            </w:pPr>
            <w:r>
              <w:rPr>
                <w:rFonts w:ascii="Arial" w:cs="Arial" w:eastAsia="Arial" w:hAnsi="Arial"/>
                <w:sz w:val="13"/>
                <w:szCs w:val="13"/>
                <w:color w:val="auto"/>
              </w:rPr>
              <w:t>Income from rentals</w:t>
            </w: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755,162</w:t>
            </w: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704,339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1,510,713</w:t>
            </w: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1,392,288</w:t>
            </w:r>
          </w:p>
        </w:tc>
        <w:tc>
          <w:tcPr>
            <w:tcW w:w="0" w:type="dxa"/>
            <w:vAlign w:val="bottom"/>
          </w:tcPr>
          <w:p>
            <w:pPr>
              <w:spacing w:after="0"/>
              <w:rPr>
                <w:sz w:val="1"/>
                <w:szCs w:val="1"/>
                <w:color w:val="auto"/>
              </w:rPr>
            </w:pPr>
          </w:p>
        </w:tc>
      </w:tr>
      <w:tr>
        <w:trPr>
          <w:trHeight w:val="204"/>
        </w:trPr>
        <w:tc>
          <w:tcPr>
            <w:tcW w:w="336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Other income</w:t>
            </w: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11,572</w:t>
            </w:r>
          </w:p>
        </w:tc>
        <w:tc>
          <w:tcPr>
            <w:tcW w:w="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9,561</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25,129</w:t>
            </w:r>
          </w:p>
        </w:tc>
        <w:tc>
          <w:tcPr>
            <w:tcW w:w="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22,407</w:t>
            </w:r>
          </w:p>
        </w:tc>
        <w:tc>
          <w:tcPr>
            <w:tcW w:w="0" w:type="dxa"/>
            <w:vAlign w:val="bottom"/>
          </w:tcPr>
          <w:p>
            <w:pPr>
              <w:spacing w:after="0"/>
              <w:rPr>
                <w:sz w:val="1"/>
                <w:szCs w:val="1"/>
                <w:color w:val="auto"/>
              </w:rPr>
            </w:pPr>
          </w:p>
        </w:tc>
      </w:tr>
      <w:tr>
        <w:trPr>
          <w:trHeight w:val="188"/>
        </w:trPr>
        <w:tc>
          <w:tcPr>
            <w:tcW w:w="3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Total revenues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766,734</w:t>
            </w:r>
          </w:p>
        </w:tc>
        <w:tc>
          <w:tcPr>
            <w:tcW w:w="6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713,900</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1,535,842</w:t>
            </w:r>
          </w:p>
        </w:tc>
        <w:tc>
          <w:tcPr>
            <w:tcW w:w="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1,414,695</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3" w:lineRule="exact"/>
        <w:rPr>
          <w:sz w:val="20"/>
          <w:szCs w:val="20"/>
          <w:color w:val="auto"/>
        </w:rPr>
      </w:pPr>
    </w:p>
    <w:p>
      <w:pPr>
        <w:jc w:val="center"/>
        <w:ind w:right="139"/>
        <w:spacing w:after="0"/>
        <w:rPr>
          <w:sz w:val="20"/>
          <w:szCs w:val="20"/>
          <w:color w:val="auto"/>
        </w:rPr>
      </w:pPr>
      <w:r>
        <w:rPr>
          <w:rFonts w:ascii="Arial" w:cs="Arial" w:eastAsia="Arial" w:hAnsi="Arial"/>
          <w:sz w:val="13"/>
          <w:szCs w:val="13"/>
          <w:color w:val="auto"/>
        </w:rPr>
        <w:t>During the three and six months ended June 30, 2024, revenues that were subject to the lease accounting standard</w:t>
      </w:r>
    </w:p>
    <w:p>
      <w:pPr>
        <w:spacing w:after="0" w:line="13" w:lineRule="exact"/>
        <w:rPr>
          <w:sz w:val="20"/>
          <w:szCs w:val="20"/>
          <w:color w:val="auto"/>
        </w:rPr>
      </w:pPr>
    </w:p>
    <w:p>
      <w:pPr>
        <w:ind w:left="640" w:right="659"/>
        <w:spacing w:after="0" w:line="250" w:lineRule="auto"/>
        <w:rPr>
          <w:sz w:val="20"/>
          <w:szCs w:val="20"/>
          <w:color w:val="auto"/>
        </w:rPr>
      </w:pPr>
      <w:r>
        <w:rPr>
          <w:rFonts w:ascii="Arial" w:cs="Arial" w:eastAsia="Arial" w:hAnsi="Arial"/>
          <w:sz w:val="13"/>
          <w:szCs w:val="13"/>
          <w:color w:val="auto"/>
        </w:rPr>
        <w:t>aggregated $746.3 million and $1.5 billion, respectively, and represented 97.3% and 97.2%, respectively, of our total revenues. During the three and six months ended June 30, 2023, revenues that were subject to the lease accounting standard aggregated $695.7 million and $1.4 billion, respectively, and represented 97.4% and 97.1%, respectively, of our total revenues. Our other income consisted primarily of management fees and interest income earned during each period presented. For a detailed discussion related to our revenue streams, refer to “Lease accounting” and “Recognition of revenue arising from contracts with customers” in Note 2 – “Summary of significant accounting policies” to our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188595</wp:posOffset>
            </wp:positionV>
            <wp:extent cx="5584190" cy="48856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584190" cy="4885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640" w:right="4099" w:hanging="2"/>
        <w:spacing w:after="0" w:line="465" w:lineRule="auto"/>
        <w:tabs>
          <w:tab w:leader="none" w:pos="898" w:val="left"/>
        </w:tabs>
        <w:numPr>
          <w:ilvl w:val="0"/>
          <w:numId w:val="19"/>
        </w:numPr>
        <w:rPr>
          <w:rFonts w:ascii="Arial" w:cs="Arial" w:eastAsia="Arial" w:hAnsi="Arial"/>
          <w:sz w:val="13"/>
          <w:szCs w:val="13"/>
          <w:b w:val="1"/>
          <w:bCs w:val="1"/>
          <w:color w:val="00497F"/>
        </w:rPr>
      </w:pPr>
      <w:r>
        <w:rPr>
          <w:rFonts w:ascii="Arial" w:cs="Arial" w:eastAsia="Arial" w:hAnsi="Arial"/>
          <w:sz w:val="13"/>
          <w:szCs w:val="13"/>
          <w:b w:val="1"/>
          <w:bCs w:val="1"/>
          <w:color w:val="00497F"/>
        </w:rPr>
        <w:t xml:space="preserve">SUMMARY OF SIGNIFICANT ACCOUNTING POLICIES (continued) </w:t>
      </w:r>
      <w:r>
        <w:rPr>
          <w:rFonts w:ascii="Arial" w:cs="Arial" w:eastAsia="Arial" w:hAnsi="Arial"/>
          <w:sz w:val="13"/>
          <w:szCs w:val="13"/>
          <w:b w:val="1"/>
          <w:bCs w:val="1"/>
          <w:u w:val="single" w:color="auto"/>
          <w:color w:val="00497F"/>
        </w:rPr>
        <w:t>Lease accounting</w:t>
      </w:r>
    </w:p>
    <w:p>
      <w:pPr>
        <w:ind w:left="640"/>
        <w:spacing w:after="0"/>
        <w:rPr>
          <w:rFonts w:ascii="Arial" w:cs="Arial" w:eastAsia="Arial" w:hAnsi="Arial"/>
          <w:sz w:val="13"/>
          <w:szCs w:val="13"/>
          <w:b w:val="1"/>
          <w:bCs w:val="1"/>
          <w:color w:val="00497F"/>
        </w:rPr>
      </w:pPr>
      <w:r>
        <w:rPr>
          <w:rFonts w:ascii="Arial" w:cs="Arial" w:eastAsia="Arial" w:hAnsi="Arial"/>
          <w:sz w:val="13"/>
          <w:szCs w:val="13"/>
          <w:b w:val="1"/>
          <w:bCs w:val="1"/>
          <w:color w:val="00497F"/>
        </w:rPr>
        <w:t>Definition and classification of a lease</w:t>
      </w:r>
    </w:p>
    <w:p>
      <w:pPr>
        <w:spacing w:after="0" w:line="162" w:lineRule="exact"/>
        <w:rPr>
          <w:sz w:val="20"/>
          <w:szCs w:val="20"/>
          <w:color w:val="auto"/>
        </w:rPr>
      </w:pPr>
    </w:p>
    <w:p>
      <w:pPr>
        <w:ind w:left="1160"/>
        <w:spacing w:after="0"/>
        <w:rPr>
          <w:sz w:val="20"/>
          <w:szCs w:val="20"/>
          <w:color w:val="auto"/>
        </w:rPr>
      </w:pPr>
      <w:r>
        <w:rPr>
          <w:rFonts w:ascii="Arial" w:cs="Arial" w:eastAsia="Arial" w:hAnsi="Arial"/>
          <w:sz w:val="12"/>
          <w:szCs w:val="12"/>
          <w:color w:val="auto"/>
        </w:rPr>
        <w:t>When we enter into a contract or amend an existing contract, we evaluate whether the contract meets the definition of a lease.</w:t>
      </w:r>
    </w:p>
    <w:p>
      <w:pPr>
        <w:spacing w:after="0" w:line="24" w:lineRule="exact"/>
        <w:rPr>
          <w:sz w:val="20"/>
          <w:szCs w:val="20"/>
          <w:color w:val="auto"/>
        </w:rPr>
      </w:pPr>
    </w:p>
    <w:p>
      <w:pPr>
        <w:ind w:left="640"/>
        <w:spacing w:after="0"/>
        <w:rPr>
          <w:sz w:val="20"/>
          <w:szCs w:val="20"/>
          <w:color w:val="auto"/>
        </w:rPr>
      </w:pPr>
      <w:r>
        <w:rPr>
          <w:rFonts w:ascii="Arial" w:cs="Arial" w:eastAsia="Arial" w:hAnsi="Arial"/>
          <w:sz w:val="13"/>
          <w:szCs w:val="13"/>
          <w:color w:val="auto"/>
        </w:rPr>
        <w:t>To meet the definition of a lease, the contract must meet all three criteria:</w:t>
      </w:r>
    </w:p>
    <w:p>
      <w:pPr>
        <w:spacing w:after="0" w:line="150" w:lineRule="exact"/>
        <w:rPr>
          <w:sz w:val="20"/>
          <w:szCs w:val="20"/>
          <w:color w:val="auto"/>
        </w:rPr>
      </w:pPr>
    </w:p>
    <w:p>
      <w:pPr>
        <w:ind w:left="1420" w:hanging="267"/>
        <w:spacing w:after="0"/>
        <w:tabs>
          <w:tab w:leader="none" w:pos="1420" w:val="left"/>
        </w:tabs>
        <w:numPr>
          <w:ilvl w:val="0"/>
          <w:numId w:val="20"/>
        </w:numPr>
        <w:rPr>
          <w:rFonts w:ascii="Arial" w:cs="Arial" w:eastAsia="Arial" w:hAnsi="Arial"/>
          <w:sz w:val="13"/>
          <w:szCs w:val="13"/>
          <w:color w:val="auto"/>
        </w:rPr>
      </w:pPr>
      <w:r>
        <w:rPr>
          <w:rFonts w:ascii="Arial" w:cs="Arial" w:eastAsia="Arial" w:hAnsi="Arial"/>
          <w:sz w:val="13"/>
          <w:szCs w:val="13"/>
          <w:color w:val="auto"/>
        </w:rPr>
        <w:t>One party (lessor) must hold an identified asset;</w:t>
      </w:r>
    </w:p>
    <w:p>
      <w:pPr>
        <w:spacing w:after="0" w:line="12" w:lineRule="exact"/>
        <w:rPr>
          <w:rFonts w:ascii="Arial" w:cs="Arial" w:eastAsia="Arial" w:hAnsi="Arial"/>
          <w:sz w:val="13"/>
          <w:szCs w:val="13"/>
          <w:color w:val="auto"/>
        </w:rPr>
      </w:pPr>
    </w:p>
    <w:p>
      <w:pPr>
        <w:ind w:left="1420" w:right="679" w:hanging="267"/>
        <w:spacing w:after="0" w:line="249" w:lineRule="auto"/>
        <w:tabs>
          <w:tab w:leader="none" w:pos="1420" w:val="left"/>
        </w:tabs>
        <w:numPr>
          <w:ilvl w:val="0"/>
          <w:numId w:val="20"/>
        </w:numPr>
        <w:rPr>
          <w:rFonts w:ascii="Arial" w:cs="Arial" w:eastAsia="Arial" w:hAnsi="Arial"/>
          <w:sz w:val="13"/>
          <w:szCs w:val="13"/>
          <w:color w:val="auto"/>
        </w:rPr>
      </w:pPr>
      <w:r>
        <w:rPr>
          <w:rFonts w:ascii="Arial" w:cs="Arial" w:eastAsia="Arial" w:hAnsi="Arial"/>
          <w:sz w:val="13"/>
          <w:szCs w:val="13"/>
          <w:color w:val="auto"/>
        </w:rPr>
        <w:t>The counterparty (lessee) must have the right to obtain substantially all of the economic benefits from the use of the asset throughout the period of the contract; and</w:t>
      </w:r>
    </w:p>
    <w:p>
      <w:pPr>
        <w:spacing w:after="0" w:line="1" w:lineRule="exact"/>
        <w:rPr>
          <w:rFonts w:ascii="Arial" w:cs="Arial" w:eastAsia="Arial" w:hAnsi="Arial"/>
          <w:sz w:val="13"/>
          <w:szCs w:val="13"/>
          <w:color w:val="auto"/>
        </w:rPr>
      </w:pPr>
    </w:p>
    <w:p>
      <w:pPr>
        <w:ind w:left="1420" w:hanging="267"/>
        <w:spacing w:after="0"/>
        <w:tabs>
          <w:tab w:leader="none" w:pos="14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The counterparty (lessee) must have the right to direct the use of the identified asset throughout the period of the contract.</w:t>
      </w:r>
    </w:p>
    <w:p>
      <w:pPr>
        <w:spacing w:after="0" w:line="161" w:lineRule="exact"/>
        <w:rPr>
          <w:sz w:val="20"/>
          <w:szCs w:val="20"/>
          <w:color w:val="auto"/>
        </w:rPr>
      </w:pPr>
    </w:p>
    <w:p>
      <w:pPr>
        <w:ind w:left="640" w:right="759" w:firstLine="516"/>
        <w:spacing w:after="0" w:line="265" w:lineRule="auto"/>
        <w:rPr>
          <w:sz w:val="20"/>
          <w:szCs w:val="20"/>
          <w:color w:val="auto"/>
        </w:rPr>
      </w:pPr>
      <w:r>
        <w:rPr>
          <w:rFonts w:ascii="Arial" w:cs="Arial" w:eastAsia="Arial" w:hAnsi="Arial"/>
          <w:sz w:val="13"/>
          <w:szCs w:val="13"/>
          <w:color w:val="auto"/>
        </w:rPr>
        <w:t>We classify our leases as either finance leases or operating leases if we are the lessee, or sales-type, direct financing, or operating leases if we are the lessor. We use the following criteria to determine if a lease is a finance lease (as a lessee) or sales-type or direct financing lease (as a lessor):</w:t>
      </w:r>
    </w:p>
    <w:p>
      <w:pPr>
        <w:spacing w:after="0" w:line="117" w:lineRule="exact"/>
        <w:rPr>
          <w:sz w:val="20"/>
          <w:szCs w:val="20"/>
          <w:color w:val="auto"/>
        </w:rPr>
      </w:pPr>
    </w:p>
    <w:p>
      <w:pPr>
        <w:ind w:left="1420" w:hanging="267"/>
        <w:spacing w:after="0"/>
        <w:tabs>
          <w:tab w:leader="none" w:pos="1420" w:val="left"/>
        </w:tabs>
        <w:numPr>
          <w:ilvl w:val="0"/>
          <w:numId w:val="21"/>
        </w:numPr>
        <w:rPr>
          <w:rFonts w:ascii="Arial" w:cs="Arial" w:eastAsia="Arial" w:hAnsi="Arial"/>
          <w:sz w:val="13"/>
          <w:szCs w:val="13"/>
          <w:color w:val="auto"/>
        </w:rPr>
      </w:pPr>
      <w:r>
        <w:rPr>
          <w:rFonts w:ascii="Arial" w:cs="Arial" w:eastAsia="Arial" w:hAnsi="Arial"/>
          <w:sz w:val="13"/>
          <w:szCs w:val="13"/>
          <w:color w:val="auto"/>
        </w:rPr>
        <w:t>Ownership is transferred from lessor to lessee by the end of the lease term;</w:t>
      </w:r>
    </w:p>
    <w:p>
      <w:pPr>
        <w:spacing w:after="0" w:line="19" w:lineRule="exact"/>
        <w:rPr>
          <w:rFonts w:ascii="Arial" w:cs="Arial" w:eastAsia="Arial" w:hAnsi="Arial"/>
          <w:sz w:val="13"/>
          <w:szCs w:val="13"/>
          <w:color w:val="auto"/>
        </w:rPr>
      </w:pPr>
    </w:p>
    <w:p>
      <w:pPr>
        <w:ind w:left="1420" w:hanging="267"/>
        <w:spacing w:after="0"/>
        <w:tabs>
          <w:tab w:leader="none" w:pos="1420" w:val="left"/>
        </w:tabs>
        <w:numPr>
          <w:ilvl w:val="0"/>
          <w:numId w:val="21"/>
        </w:numPr>
        <w:rPr>
          <w:rFonts w:ascii="Arial" w:cs="Arial" w:eastAsia="Arial" w:hAnsi="Arial"/>
          <w:sz w:val="13"/>
          <w:szCs w:val="13"/>
          <w:color w:val="auto"/>
        </w:rPr>
      </w:pPr>
      <w:r>
        <w:rPr>
          <w:rFonts w:ascii="Arial" w:cs="Arial" w:eastAsia="Arial" w:hAnsi="Arial"/>
          <w:sz w:val="13"/>
          <w:szCs w:val="13"/>
          <w:color w:val="auto"/>
        </w:rPr>
        <w:t>An option to purchase is reasonably certain to be exercised;</w:t>
      </w:r>
    </w:p>
    <w:p>
      <w:pPr>
        <w:spacing w:after="0" w:line="5" w:lineRule="exact"/>
        <w:rPr>
          <w:rFonts w:ascii="Arial" w:cs="Arial" w:eastAsia="Arial" w:hAnsi="Arial"/>
          <w:sz w:val="13"/>
          <w:szCs w:val="13"/>
          <w:color w:val="auto"/>
        </w:rPr>
      </w:pPr>
    </w:p>
    <w:p>
      <w:pPr>
        <w:ind w:left="1420" w:hanging="267"/>
        <w:spacing w:after="0"/>
        <w:tabs>
          <w:tab w:leader="none" w:pos="1420" w:val="left"/>
        </w:tabs>
        <w:numPr>
          <w:ilvl w:val="0"/>
          <w:numId w:val="21"/>
        </w:numPr>
        <w:rPr>
          <w:rFonts w:ascii="Arial" w:cs="Arial" w:eastAsia="Arial" w:hAnsi="Arial"/>
          <w:sz w:val="13"/>
          <w:szCs w:val="13"/>
          <w:color w:val="auto"/>
        </w:rPr>
      </w:pPr>
      <w:r>
        <w:rPr>
          <w:rFonts w:ascii="Arial" w:cs="Arial" w:eastAsia="Arial" w:hAnsi="Arial"/>
          <w:sz w:val="13"/>
          <w:szCs w:val="13"/>
          <w:color w:val="auto"/>
        </w:rPr>
        <w:t>The lease term is for the major part of the underlying asset’s remaining economic life;</w:t>
      </w:r>
    </w:p>
    <w:p>
      <w:pPr>
        <w:spacing w:after="0" w:line="7" w:lineRule="exact"/>
        <w:rPr>
          <w:rFonts w:ascii="Arial" w:cs="Arial" w:eastAsia="Arial" w:hAnsi="Arial"/>
          <w:sz w:val="13"/>
          <w:szCs w:val="13"/>
          <w:color w:val="auto"/>
        </w:rPr>
      </w:pPr>
    </w:p>
    <w:p>
      <w:pPr>
        <w:ind w:left="1420" w:hanging="267"/>
        <w:spacing w:after="0"/>
        <w:tabs>
          <w:tab w:leader="none" w:pos="1420" w:val="left"/>
        </w:tabs>
        <w:numPr>
          <w:ilvl w:val="0"/>
          <w:numId w:val="21"/>
        </w:numPr>
        <w:rPr>
          <w:rFonts w:ascii="Arial" w:cs="Arial" w:eastAsia="Arial" w:hAnsi="Arial"/>
          <w:sz w:val="13"/>
          <w:szCs w:val="13"/>
          <w:color w:val="auto"/>
        </w:rPr>
      </w:pPr>
      <w:r>
        <w:rPr>
          <w:rFonts w:ascii="Arial" w:cs="Arial" w:eastAsia="Arial" w:hAnsi="Arial"/>
          <w:sz w:val="13"/>
          <w:szCs w:val="13"/>
          <w:color w:val="auto"/>
        </w:rPr>
        <w:t>The present value of lease payments equals or exceeds substantially all of the fair value of the underlying asset; or</w:t>
      </w:r>
    </w:p>
    <w:p>
      <w:pPr>
        <w:spacing w:after="0" w:line="5" w:lineRule="exact"/>
        <w:rPr>
          <w:rFonts w:ascii="Arial" w:cs="Arial" w:eastAsia="Arial" w:hAnsi="Arial"/>
          <w:sz w:val="13"/>
          <w:szCs w:val="13"/>
          <w:color w:val="auto"/>
        </w:rPr>
      </w:pPr>
    </w:p>
    <w:p>
      <w:pPr>
        <w:ind w:left="1420" w:hanging="267"/>
        <w:spacing w:after="0"/>
        <w:tabs>
          <w:tab w:leader="none" w:pos="1420" w:val="left"/>
        </w:tabs>
        <w:numPr>
          <w:ilvl w:val="0"/>
          <w:numId w:val="21"/>
        </w:numPr>
        <w:rPr>
          <w:rFonts w:ascii="Arial" w:cs="Arial" w:eastAsia="Arial" w:hAnsi="Arial"/>
          <w:sz w:val="13"/>
          <w:szCs w:val="13"/>
          <w:color w:val="auto"/>
        </w:rPr>
      </w:pPr>
      <w:r>
        <w:rPr>
          <w:rFonts w:ascii="Arial" w:cs="Arial" w:eastAsia="Arial" w:hAnsi="Arial"/>
          <w:sz w:val="13"/>
          <w:szCs w:val="13"/>
          <w:color w:val="auto"/>
        </w:rPr>
        <w:t>The underlying asset is specialized and is expected to have no alternative use at the end of the lease term.</w:t>
      </w:r>
    </w:p>
    <w:p>
      <w:pPr>
        <w:spacing w:after="0" w:line="150" w:lineRule="exact"/>
        <w:rPr>
          <w:sz w:val="20"/>
          <w:szCs w:val="20"/>
          <w:color w:val="auto"/>
        </w:rPr>
      </w:pPr>
    </w:p>
    <w:p>
      <w:pPr>
        <w:ind w:left="640" w:right="839" w:firstLine="516"/>
        <w:spacing w:after="0" w:line="272" w:lineRule="auto"/>
        <w:rPr>
          <w:sz w:val="20"/>
          <w:szCs w:val="20"/>
          <w:color w:val="auto"/>
        </w:rPr>
      </w:pPr>
      <w:r>
        <w:rPr>
          <w:rFonts w:ascii="Arial" w:cs="Arial" w:eastAsia="Arial" w:hAnsi="Arial"/>
          <w:sz w:val="13"/>
          <w:szCs w:val="13"/>
          <w:color w:val="auto"/>
        </w:rPr>
        <w:t>If we meet any of the above criteria, we account for the lease as a finance, a sales-type, or a direct financing lease. If we do not meet any of the criteria, we account for the lease as an operating lease.</w:t>
      </w:r>
    </w:p>
    <w:p>
      <w:pPr>
        <w:spacing w:after="0" w:line="123" w:lineRule="exact"/>
        <w:rPr>
          <w:sz w:val="20"/>
          <w:szCs w:val="20"/>
          <w:color w:val="auto"/>
        </w:rPr>
      </w:pPr>
    </w:p>
    <w:p>
      <w:pPr>
        <w:jc w:val="both"/>
        <w:ind w:left="640" w:right="899" w:firstLine="516"/>
        <w:spacing w:after="0" w:line="265" w:lineRule="auto"/>
        <w:rPr>
          <w:sz w:val="20"/>
          <w:szCs w:val="20"/>
          <w:color w:val="auto"/>
        </w:rPr>
      </w:pPr>
      <w:r>
        <w:rPr>
          <w:rFonts w:ascii="Arial" w:cs="Arial" w:eastAsia="Arial" w:hAnsi="Arial"/>
          <w:sz w:val="13"/>
          <w:szCs w:val="13"/>
          <w:color w:val="auto"/>
        </w:rPr>
        <w:t>A lease is accounted for as a sales-type lease if it is considered to transfer control of the underlying asset to the lessee. A lease is accounted for as a direct financing lease if risks and rewards are conveyed without the transfer of control, which is normally indicated by the existence of a residual value guarantee from an unrelated third party other than the lessee.</w:t>
      </w:r>
    </w:p>
    <w:p>
      <w:pPr>
        <w:spacing w:after="0" w:line="128" w:lineRule="exact"/>
        <w:rPr>
          <w:sz w:val="20"/>
          <w:szCs w:val="20"/>
          <w:color w:val="auto"/>
        </w:rPr>
      </w:pPr>
    </w:p>
    <w:p>
      <w:pPr>
        <w:ind w:left="1160"/>
        <w:spacing w:after="0"/>
        <w:rPr>
          <w:sz w:val="20"/>
          <w:szCs w:val="20"/>
          <w:color w:val="auto"/>
        </w:rPr>
      </w:pPr>
      <w:r>
        <w:rPr>
          <w:rFonts w:ascii="Arial" w:cs="Arial" w:eastAsia="Arial" w:hAnsi="Arial"/>
          <w:sz w:val="13"/>
          <w:szCs w:val="13"/>
          <w:color w:val="auto"/>
        </w:rPr>
        <w:t>This classification will determine the method of recognition of the lease:</w:t>
      </w:r>
    </w:p>
    <w:p>
      <w:pPr>
        <w:spacing w:after="0" w:line="151" w:lineRule="exact"/>
        <w:rPr>
          <w:sz w:val="20"/>
          <w:szCs w:val="20"/>
          <w:color w:val="auto"/>
        </w:rPr>
      </w:pPr>
    </w:p>
    <w:p>
      <w:pPr>
        <w:ind w:left="1340" w:right="839" w:hanging="187"/>
        <w:spacing w:after="0" w:line="259" w:lineRule="auto"/>
        <w:tabs>
          <w:tab w:leader="none" w:pos="1340" w:val="left"/>
        </w:tabs>
        <w:numPr>
          <w:ilvl w:val="0"/>
          <w:numId w:val="22"/>
        </w:numPr>
        <w:rPr>
          <w:rFonts w:ascii="Arial" w:cs="Arial" w:eastAsia="Arial" w:hAnsi="Arial"/>
          <w:sz w:val="13"/>
          <w:szCs w:val="13"/>
          <w:color w:val="auto"/>
        </w:rPr>
      </w:pPr>
      <w:r>
        <w:rPr>
          <w:rFonts w:ascii="Arial" w:cs="Arial" w:eastAsia="Arial" w:hAnsi="Arial"/>
          <w:sz w:val="13"/>
          <w:szCs w:val="13"/>
          <w:color w:val="auto"/>
        </w:rPr>
        <w:t>For an operating lease, we recognize income from rentals if we are the lessor, or rental operations expense if we are the lessee, over the term of the lease on a straight-line basis.</w:t>
      </w:r>
    </w:p>
    <w:p>
      <w:pPr>
        <w:ind w:left="1340" w:right="1179" w:hanging="187"/>
        <w:spacing w:after="0" w:line="249" w:lineRule="auto"/>
        <w:tabs>
          <w:tab w:leader="none" w:pos="1340" w:val="left"/>
        </w:tabs>
        <w:numPr>
          <w:ilvl w:val="0"/>
          <w:numId w:val="22"/>
        </w:numPr>
        <w:rPr>
          <w:rFonts w:ascii="Arial" w:cs="Arial" w:eastAsia="Arial" w:hAnsi="Arial"/>
          <w:sz w:val="13"/>
          <w:szCs w:val="13"/>
          <w:color w:val="auto"/>
        </w:rPr>
      </w:pPr>
      <w:r>
        <w:rPr>
          <w:rFonts w:ascii="Arial" w:cs="Arial" w:eastAsia="Arial" w:hAnsi="Arial"/>
          <w:sz w:val="13"/>
          <w:szCs w:val="13"/>
          <w:color w:val="auto"/>
        </w:rPr>
        <w:t>For a sales-type lease or a direct financing lease, we recognize the income from rentals, or for a finance lease, we recognize rental operations expense, over the term of the lease using the effective interest method.</w:t>
      </w:r>
    </w:p>
    <w:p>
      <w:pPr>
        <w:spacing w:after="0" w:line="1" w:lineRule="exact"/>
        <w:rPr>
          <w:rFonts w:ascii="Arial" w:cs="Arial" w:eastAsia="Arial" w:hAnsi="Arial"/>
          <w:sz w:val="13"/>
          <w:szCs w:val="13"/>
          <w:color w:val="auto"/>
        </w:rPr>
      </w:pPr>
    </w:p>
    <w:p>
      <w:pPr>
        <w:ind w:left="1340" w:right="799" w:hanging="187"/>
        <w:spacing w:after="0" w:line="250" w:lineRule="auto"/>
        <w:tabs>
          <w:tab w:leader="none" w:pos="1340" w:val="left"/>
        </w:tabs>
        <w:numPr>
          <w:ilvl w:val="0"/>
          <w:numId w:val="22"/>
        </w:numPr>
        <w:rPr>
          <w:rFonts w:ascii="Arial" w:cs="Arial" w:eastAsia="Arial" w:hAnsi="Arial"/>
          <w:sz w:val="13"/>
          <w:szCs w:val="13"/>
          <w:color w:val="auto"/>
        </w:rPr>
      </w:pPr>
      <w:r>
        <w:rPr>
          <w:rFonts w:ascii="Arial" w:cs="Arial" w:eastAsia="Arial" w:hAnsi="Arial"/>
          <w:sz w:val="13"/>
          <w:szCs w:val="13"/>
          <w:color w:val="auto"/>
        </w:rPr>
        <w:t>At inception of a sales-type lease or a direct financing lease, if we determine the fair value of the leased property is lower than its carrying amount, we recognize a selling loss immediately at lease commencement. If fair value exceeds the carrying amount of a lease, a gain is recognized at lease commencement on a sales-type lease. For a direct financing lease, a gain is deferred at lease commencement and amortized over the lease term.</w:t>
      </w:r>
    </w:p>
    <w:p>
      <w:pPr>
        <w:spacing w:after="0" w:line="138"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00497F"/>
        </w:rPr>
        <w:t>Lessor accounting</w:t>
      </w:r>
    </w:p>
    <w:p>
      <w:pPr>
        <w:sectPr>
          <w:pgSz w:w="11900" w:h="16838" w:orient="portrait"/>
          <w:cols w:equalWidth="0" w:num="1">
            <w:col w:w="9019"/>
          </w:cols>
          <w:pgMar w:left="1440" w:top="24" w:right="1440" w:bottom="0" w:gutter="0" w:footer="0" w:header="0"/>
        </w:sectPr>
      </w:pPr>
    </w:p>
    <w:p>
      <w:pPr>
        <w:spacing w:after="0" w:line="164" w:lineRule="exact"/>
        <w:rPr>
          <w:sz w:val="20"/>
          <w:szCs w:val="20"/>
          <w:color w:val="auto"/>
        </w:rPr>
      </w:pPr>
    </w:p>
    <w:p>
      <w:pPr>
        <w:ind w:left="640"/>
        <w:spacing w:after="0"/>
        <w:rPr>
          <w:sz w:val="20"/>
          <w:szCs w:val="20"/>
          <w:color w:val="auto"/>
        </w:rPr>
      </w:pPr>
      <w:r>
        <w:rPr>
          <w:rFonts w:ascii="Arial" w:cs="Arial" w:eastAsia="Arial" w:hAnsi="Arial"/>
          <w:sz w:val="12"/>
          <w:szCs w:val="12"/>
          <w:i w:val="1"/>
          <w:iCs w:val="1"/>
          <w:color w:val="auto"/>
        </w:rPr>
        <w:t>Costs to execute leases</w:t>
      </w:r>
    </w:p>
    <w:p>
      <w:pPr>
        <w:sectPr>
          <w:pgSz w:w="11900" w:h="16838" w:orient="portrait"/>
          <w:cols w:equalWidth="0" w:num="1">
            <w:col w:w="9019"/>
          </w:cols>
          <w:pgMar w:left="1440" w:top="24" w:right="1440" w:bottom="0" w:gutter="0" w:footer="0" w:header="0"/>
          <w:type w:val="continuous"/>
        </w:sectPr>
      </w:pPr>
    </w:p>
    <w:bookmarkStart w:id="13" w:name="page14"/>
    <w:bookmarkEnd w:id="13"/>
    <w:p>
      <w:pPr>
        <w:ind w:left="1160"/>
        <w:spacing w:after="0" w:line="181" w:lineRule="auto"/>
        <w:rPr>
          <w:sz w:val="20"/>
          <w:szCs w:val="20"/>
          <w:color w:val="auto"/>
        </w:rPr>
      </w:pPr>
      <w:r>
        <w:rPr>
          <w:rFonts w:ascii="Arial" w:cs="Arial" w:eastAsia="Arial" w:hAnsi="Arial"/>
          <w:sz w:val="11"/>
          <w:szCs w:val="11"/>
          <w:color w:val="auto"/>
        </w:rPr>
        <w:t>We capitalize initial direct costs, which represent only incremental costs to execute</w:t>
      </w:r>
      <w:r>
        <w:rPr>
          <w:rFonts w:ascii="Arial" w:cs="Arial" w:eastAsia="Arial" w:hAnsi="Arial"/>
          <w:sz w:val="20"/>
          <w:szCs w:val="20"/>
          <w:color w:val="auto"/>
          <w:vertAlign w:val="subscript"/>
        </w:rPr>
        <w:t>regardless</w:t>
      </w:r>
      <w:r>
        <w:rPr>
          <w:rFonts w:ascii="Arial" w:cs="Arial" w:eastAsia="Arial" w:hAnsi="Arial"/>
          <w:sz w:val="11"/>
          <w:szCs w:val="11"/>
          <w:color w:val="auto"/>
        </w:rPr>
        <w:t>lease that would not have been incurred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-20320</wp:posOffset>
            </wp:positionV>
            <wp:extent cx="5584190" cy="2328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584190" cy="2328545"/>
                    </a:xfrm>
                    <a:prstGeom prst="rect">
                      <a:avLst/>
                    </a:prstGeom>
                    <a:noFill/>
                  </pic:spPr>
                </pic:pic>
              </a:graphicData>
            </a:graphic>
          </wp:anchor>
        </w:drawing>
      </w:r>
    </w:p>
    <w:p>
      <w:pPr>
        <w:ind w:left="640" w:right="959"/>
        <w:spacing w:after="0" w:line="252" w:lineRule="auto"/>
        <w:rPr>
          <w:sz w:val="20"/>
          <w:szCs w:val="20"/>
          <w:color w:val="auto"/>
        </w:rPr>
      </w:pPr>
      <w:r>
        <w:rPr>
          <w:rFonts w:ascii="Arial" w:cs="Arial" w:eastAsia="Arial" w:hAnsi="Arial"/>
          <w:sz w:val="13"/>
          <w:szCs w:val="13"/>
          <w:color w:val="auto"/>
        </w:rPr>
        <w:t>if the lease had not been obtained. Costs that we incur to negotiate or arrange a lease, of its outcome, such as for fixed employee compensation, tax or legal advice to negotiate lease terms, and other costs, are expensed as incurred.</w:t>
      </w:r>
    </w:p>
    <w:p>
      <w:pPr>
        <w:spacing w:after="0" w:line="138" w:lineRule="exact"/>
        <w:rPr>
          <w:sz w:val="20"/>
          <w:szCs w:val="20"/>
          <w:color w:val="auto"/>
        </w:rPr>
      </w:pPr>
    </w:p>
    <w:p>
      <w:pPr>
        <w:ind w:left="640"/>
        <w:spacing w:after="0"/>
        <w:rPr>
          <w:sz w:val="20"/>
          <w:szCs w:val="20"/>
          <w:color w:val="auto"/>
        </w:rPr>
      </w:pPr>
      <w:r>
        <w:rPr>
          <w:rFonts w:ascii="Arial" w:cs="Arial" w:eastAsia="Arial" w:hAnsi="Arial"/>
          <w:sz w:val="13"/>
          <w:szCs w:val="13"/>
          <w:i w:val="1"/>
          <w:iCs w:val="1"/>
          <w:color w:val="auto"/>
        </w:rPr>
        <w:t>Operating leases</w:t>
      </w:r>
    </w:p>
    <w:p>
      <w:pPr>
        <w:spacing w:after="0" w:line="160" w:lineRule="exact"/>
        <w:rPr>
          <w:sz w:val="20"/>
          <w:szCs w:val="20"/>
          <w:color w:val="auto"/>
        </w:rPr>
      </w:pPr>
    </w:p>
    <w:p>
      <w:pPr>
        <w:ind w:left="640" w:right="659" w:firstLine="516"/>
        <w:spacing w:after="0" w:line="265" w:lineRule="auto"/>
        <w:rPr>
          <w:sz w:val="20"/>
          <w:szCs w:val="20"/>
          <w:color w:val="auto"/>
        </w:rPr>
      </w:pPr>
      <w:r>
        <w:rPr>
          <w:rFonts w:ascii="Arial" w:cs="Arial" w:eastAsia="Arial" w:hAnsi="Arial"/>
          <w:sz w:val="13"/>
          <w:szCs w:val="13"/>
          <w:color w:val="auto"/>
        </w:rPr>
        <w:t>We account for the revenue from our lease contracts by utilizing the single component accounting policy. This policy requires us to account for, by class of underlying asset, the lease component and nonlease component(s) associated with each lease as a single component if two criteria are met:</w:t>
      </w:r>
    </w:p>
    <w:p>
      <w:pPr>
        <w:spacing w:after="0" w:line="128" w:lineRule="exact"/>
        <w:rPr>
          <w:sz w:val="20"/>
          <w:szCs w:val="20"/>
          <w:color w:val="auto"/>
        </w:rPr>
      </w:pPr>
    </w:p>
    <w:p>
      <w:pPr>
        <w:ind w:left="1420" w:hanging="267"/>
        <w:spacing w:after="0"/>
        <w:tabs>
          <w:tab w:leader="none" w:pos="1420" w:val="left"/>
        </w:tabs>
        <w:numPr>
          <w:ilvl w:val="0"/>
          <w:numId w:val="23"/>
        </w:numPr>
        <w:rPr>
          <w:rFonts w:ascii="Arial" w:cs="Arial" w:eastAsia="Arial" w:hAnsi="Arial"/>
          <w:sz w:val="13"/>
          <w:szCs w:val="13"/>
          <w:color w:val="auto"/>
        </w:rPr>
      </w:pPr>
      <w:r>
        <w:rPr>
          <w:rFonts w:ascii="Arial" w:cs="Arial" w:eastAsia="Arial" w:hAnsi="Arial"/>
          <w:sz w:val="13"/>
          <w:szCs w:val="13"/>
          <w:color w:val="auto"/>
        </w:rPr>
        <w:t>The timing and pattern of transfer of the lease component and the nonlease component(s) are the same; and</w:t>
      </w:r>
    </w:p>
    <w:p>
      <w:pPr>
        <w:spacing w:after="0" w:line="12" w:lineRule="exact"/>
        <w:rPr>
          <w:rFonts w:ascii="Arial" w:cs="Arial" w:eastAsia="Arial" w:hAnsi="Arial"/>
          <w:sz w:val="13"/>
          <w:szCs w:val="13"/>
          <w:color w:val="auto"/>
        </w:rPr>
      </w:pPr>
    </w:p>
    <w:p>
      <w:pPr>
        <w:ind w:left="1420" w:hanging="267"/>
        <w:spacing w:after="0"/>
        <w:tabs>
          <w:tab w:leader="none" w:pos="1420" w:val="left"/>
        </w:tabs>
        <w:numPr>
          <w:ilvl w:val="0"/>
          <w:numId w:val="23"/>
        </w:numPr>
        <w:rPr>
          <w:rFonts w:ascii="Arial" w:cs="Arial" w:eastAsia="Arial" w:hAnsi="Arial"/>
          <w:sz w:val="13"/>
          <w:szCs w:val="13"/>
          <w:color w:val="auto"/>
        </w:rPr>
      </w:pPr>
      <w:r>
        <w:rPr>
          <w:rFonts w:ascii="Arial" w:cs="Arial" w:eastAsia="Arial" w:hAnsi="Arial"/>
          <w:sz w:val="13"/>
          <w:szCs w:val="13"/>
          <w:color w:val="auto"/>
        </w:rPr>
        <w:t>The lease component would be classified as an operating lease if it were accounted for separately.</w:t>
      </w:r>
    </w:p>
    <w:p>
      <w:pPr>
        <w:spacing w:after="0" w:line="150" w:lineRule="exact"/>
        <w:rPr>
          <w:sz w:val="20"/>
          <w:szCs w:val="20"/>
          <w:color w:val="auto"/>
        </w:rPr>
      </w:pPr>
    </w:p>
    <w:p>
      <w:pPr>
        <w:ind w:left="640" w:right="799" w:firstLine="516"/>
        <w:spacing w:after="0" w:line="257" w:lineRule="auto"/>
        <w:rPr>
          <w:sz w:val="20"/>
          <w:szCs w:val="20"/>
          <w:color w:val="auto"/>
        </w:rPr>
      </w:pPr>
      <w:r>
        <w:rPr>
          <w:rFonts w:ascii="Arial" w:cs="Arial" w:eastAsia="Arial" w:hAnsi="Arial"/>
          <w:sz w:val="13"/>
          <w:szCs w:val="13"/>
          <w:color w:val="auto"/>
        </w:rPr>
        <w:t>Lease components consist primarily of fixed rental payments, which represent scheduled rental amounts due under our leases, and contingent rental payments. Nonlease components consist primarily of tenant recoveries representing reimbursements of rental operating expenses under our triple net lease structure, including recoveries for property taxes, insurance, utilities, repairs and maintenance, and common area expenses.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188595</wp:posOffset>
            </wp:positionV>
            <wp:extent cx="5584190" cy="72205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900" w:hanging="262"/>
        <w:spacing w:after="0"/>
        <w:tabs>
          <w:tab w:leader="none" w:pos="900" w:val="left"/>
        </w:tabs>
        <w:numPr>
          <w:ilvl w:val="0"/>
          <w:numId w:val="24"/>
        </w:numPr>
        <w:rPr>
          <w:rFonts w:ascii="Arial" w:cs="Arial" w:eastAsia="Arial" w:hAnsi="Arial"/>
          <w:sz w:val="13"/>
          <w:szCs w:val="13"/>
          <w:b w:val="1"/>
          <w:bCs w:val="1"/>
          <w:color w:val="00497F"/>
        </w:rPr>
      </w:pPr>
      <w:r>
        <w:rPr>
          <w:rFonts w:ascii="Arial" w:cs="Arial" w:eastAsia="Arial" w:hAnsi="Arial"/>
          <w:sz w:val="13"/>
          <w:szCs w:val="13"/>
          <w:b w:val="1"/>
          <w:bCs w:val="1"/>
          <w:color w:val="00497F"/>
        </w:rPr>
        <w:t>SUMMARY OF SIGNIFICANT ACCOUNTING POLICIES (continued)</w:t>
      </w:r>
    </w:p>
    <w:p>
      <w:pPr>
        <w:spacing w:after="0" w:line="119" w:lineRule="exact"/>
        <w:rPr>
          <w:sz w:val="20"/>
          <w:szCs w:val="20"/>
          <w:color w:val="auto"/>
        </w:rPr>
      </w:pPr>
    </w:p>
    <w:p>
      <w:pPr>
        <w:ind w:left="640" w:right="679" w:firstLine="516"/>
        <w:spacing w:after="0" w:line="254" w:lineRule="auto"/>
        <w:rPr>
          <w:sz w:val="20"/>
          <w:szCs w:val="20"/>
          <w:color w:val="auto"/>
        </w:rPr>
      </w:pPr>
      <w:r>
        <w:rPr>
          <w:rFonts w:ascii="Arial" w:cs="Arial" w:eastAsia="Arial" w:hAnsi="Arial"/>
          <w:sz w:val="13"/>
          <w:szCs w:val="13"/>
          <w:color w:val="auto"/>
        </w:rPr>
        <w:t>If the lease component is the predominant component, we account for all revenues under such lease as a single component in accordance with the lease accounting standard. Conversely, if the nonlease component is the predominant component, all revenues under such lease are accounted for in accordance with the revenue recognition accounting standard. Our operating leases qualify for the single component accounting, and the lease component in each of our leases is predominant. Therefore, we account for all revenues from our operating leases under the lease accounting standard and classify these revenues as income from rentals in our consolidated statements of operations.</w:t>
      </w:r>
    </w:p>
    <w:p>
      <w:pPr>
        <w:spacing w:after="0" w:line="135" w:lineRule="exact"/>
        <w:rPr>
          <w:sz w:val="20"/>
          <w:szCs w:val="20"/>
          <w:color w:val="auto"/>
        </w:rPr>
      </w:pPr>
    </w:p>
    <w:p>
      <w:pPr>
        <w:ind w:left="640" w:right="679" w:firstLine="516"/>
        <w:spacing w:after="0" w:line="244" w:lineRule="auto"/>
        <w:rPr>
          <w:sz w:val="20"/>
          <w:szCs w:val="20"/>
          <w:color w:val="auto"/>
        </w:rPr>
      </w:pPr>
      <w:r>
        <w:rPr>
          <w:rFonts w:ascii="Arial" w:cs="Arial" w:eastAsia="Arial" w:hAnsi="Arial"/>
          <w:sz w:val="13"/>
          <w:szCs w:val="13"/>
          <w:color w:val="auto"/>
        </w:rPr>
        <w:t>We commence recognition of income from rentals related to the operating leases at the date the property is ready for its intended use by the tenant and the tenant takes possession or controls the physical use of the leased asset. Income from rentals related to fixed rental payments under operating leases is recognized on a straight-line basis over the respective operating lease terms. We classify amounts expected to be received in later periods as deferred rent in our consolidated balance sheets. Amounts received currently but recognized as revenue in future periods are classified in accounts payable, accrued expenses, and other liabilities in our consolidated balance sheets.</w:t>
      </w:r>
    </w:p>
    <w:p>
      <w:pPr>
        <w:spacing w:after="0" w:line="119" w:lineRule="exact"/>
        <w:rPr>
          <w:sz w:val="20"/>
          <w:szCs w:val="20"/>
          <w:color w:val="auto"/>
        </w:rPr>
      </w:pPr>
    </w:p>
    <w:p>
      <w:pPr>
        <w:ind w:left="640" w:right="839" w:firstLine="516"/>
        <w:spacing w:after="0" w:line="249" w:lineRule="auto"/>
        <w:rPr>
          <w:sz w:val="20"/>
          <w:szCs w:val="20"/>
          <w:color w:val="auto"/>
        </w:rPr>
      </w:pPr>
      <w:r>
        <w:rPr>
          <w:rFonts w:ascii="Arial" w:cs="Arial" w:eastAsia="Arial" w:hAnsi="Arial"/>
          <w:sz w:val="13"/>
          <w:szCs w:val="13"/>
          <w:color w:val="auto"/>
        </w:rPr>
        <w:t>Income from rentals related to variable payments includes tenant recoveries and contingent rental payments. Tenant recoveries, including reimbursements of utilities, repairs and maintenance, common area expenses, real estate taxes and insurance, and other operating expenses, are recognized as revenue in the period during which the applicable expenses are incurred and the tenant’s obligation to reimburse us arises. Income from rentals related to other variable payments is recognized when associated contingencies are removed.</w:t>
      </w:r>
    </w:p>
    <w:p>
      <w:pPr>
        <w:spacing w:after="0" w:line="127" w:lineRule="exact"/>
        <w:rPr>
          <w:sz w:val="20"/>
          <w:szCs w:val="20"/>
          <w:color w:val="auto"/>
        </w:rPr>
      </w:pPr>
    </w:p>
    <w:p>
      <w:pPr>
        <w:ind w:left="640" w:right="839" w:firstLine="516"/>
        <w:spacing w:after="0" w:line="257" w:lineRule="auto"/>
        <w:rPr>
          <w:sz w:val="20"/>
          <w:szCs w:val="20"/>
          <w:color w:val="auto"/>
        </w:rPr>
      </w:pPr>
      <w:r>
        <w:rPr>
          <w:rFonts w:ascii="Arial" w:cs="Arial" w:eastAsia="Arial" w:hAnsi="Arial"/>
          <w:sz w:val="13"/>
          <w:szCs w:val="13"/>
          <w:color w:val="auto"/>
        </w:rPr>
        <w:t>We assess collectibility from our tenants of future lease payments for each of our operating leases. If we determine that collectibility is probable, we recognize income from rentals based on the methodology described above. If we determine that collectibility is not probable, we recognize an adjustment to lower our income from rentals. Furthermore, we may recognize a general allowance at a portfolio level (not the individual level) if we do not expect to collect future lease payments in full.</w:t>
      </w:r>
    </w:p>
    <w:p>
      <w:pPr>
        <w:spacing w:after="0" w:line="133" w:lineRule="exact"/>
        <w:rPr>
          <w:sz w:val="20"/>
          <w:szCs w:val="20"/>
          <w:color w:val="auto"/>
        </w:rPr>
      </w:pPr>
    </w:p>
    <w:p>
      <w:pPr>
        <w:ind w:left="640" w:right="659" w:firstLine="516"/>
        <w:spacing w:after="0" w:line="252" w:lineRule="auto"/>
        <w:rPr>
          <w:sz w:val="20"/>
          <w:szCs w:val="20"/>
          <w:color w:val="auto"/>
        </w:rPr>
      </w:pPr>
      <w:r>
        <w:rPr>
          <w:rFonts w:ascii="Arial" w:cs="Arial" w:eastAsia="Arial" w:hAnsi="Arial"/>
          <w:sz w:val="13"/>
          <w:szCs w:val="13"/>
          <w:color w:val="auto"/>
        </w:rPr>
        <w:t>For each lease for which we determine that collectibility of future lease payments is not probable, we cease the recognition of income from rentals on a straight-line basis and limit the recognition of income to the lesser of payments collected from the lessee or lease income that would have been recognized on a straight-line basis. We do not resume straight-line recognition of income from rentals for these leases until we determine that the collectibility of future payments related to these leases is probable. We also record a general allowance related to the deferred rent balances that at the portfolio level (not the individual level) are not expected to be collected in full through the lease term. As of June 30, 2024 and December 31, 2023, our general allowance balance aggregated $21.3 million and $21.4 million, respectively.</w:t>
      </w:r>
    </w:p>
    <w:p>
      <w:pPr>
        <w:spacing w:after="0" w:line="138" w:lineRule="exact"/>
        <w:rPr>
          <w:sz w:val="20"/>
          <w:szCs w:val="20"/>
          <w:color w:val="auto"/>
        </w:rPr>
      </w:pPr>
    </w:p>
    <w:p>
      <w:pPr>
        <w:ind w:left="640"/>
        <w:spacing w:after="0"/>
        <w:rPr>
          <w:sz w:val="20"/>
          <w:szCs w:val="20"/>
          <w:color w:val="auto"/>
        </w:rPr>
      </w:pPr>
      <w:r>
        <w:rPr>
          <w:rFonts w:ascii="Arial" w:cs="Arial" w:eastAsia="Arial" w:hAnsi="Arial"/>
          <w:sz w:val="13"/>
          <w:szCs w:val="13"/>
          <w:i w:val="1"/>
          <w:iCs w:val="1"/>
          <w:color w:val="auto"/>
        </w:rPr>
        <w:t>Direct financing and sales-type leases</w:t>
      </w:r>
    </w:p>
    <w:p>
      <w:pPr>
        <w:spacing w:after="0" w:line="160" w:lineRule="exact"/>
        <w:rPr>
          <w:sz w:val="20"/>
          <w:szCs w:val="20"/>
          <w:color w:val="auto"/>
        </w:rPr>
      </w:pPr>
    </w:p>
    <w:p>
      <w:pPr>
        <w:ind w:left="640" w:right="659" w:firstLine="516"/>
        <w:spacing w:after="0" w:line="252" w:lineRule="auto"/>
        <w:rPr>
          <w:sz w:val="20"/>
          <w:szCs w:val="20"/>
          <w:color w:val="auto"/>
        </w:rPr>
      </w:pPr>
      <w:r>
        <w:rPr>
          <w:rFonts w:ascii="Arial" w:cs="Arial" w:eastAsia="Arial" w:hAnsi="Arial"/>
          <w:sz w:val="13"/>
          <w:szCs w:val="13"/>
          <w:color w:val="auto"/>
        </w:rPr>
        <w:t>Income from rentals related to direct financing and sales-type leases is recognized over the lease term using the effective interest rate method. At lease commencement, we record an asset within other assets in our consolidated balance sheets, which represents our net investment in the lease. This initial net investment is determined by aggregating the present values of the total future lease payments attributable to the lease and the estimated residual value of the property, less any unearned income related to our direct financing lease. Over the lease term, the investment in the lease accretes in value, producing a constant periodic rate of return on the net investment in the lease. Income from these leases is classified in income from rentals in our consolidated statements of operations. Our net investment is reduced over time as lease payments are received.</w:t>
      </w:r>
    </w:p>
    <w:p>
      <w:pPr>
        <w:spacing w:after="0" w:line="136" w:lineRule="exact"/>
        <w:rPr>
          <w:sz w:val="20"/>
          <w:szCs w:val="20"/>
          <w:color w:val="auto"/>
        </w:rPr>
      </w:pPr>
    </w:p>
    <w:p>
      <w:pPr>
        <w:ind w:left="640" w:right="679" w:firstLine="516"/>
        <w:spacing w:after="0" w:line="265" w:lineRule="auto"/>
        <w:rPr>
          <w:sz w:val="20"/>
          <w:szCs w:val="20"/>
          <w:color w:val="auto"/>
        </w:rPr>
      </w:pPr>
      <w:r>
        <w:rPr>
          <w:rFonts w:ascii="Arial" w:cs="Arial" w:eastAsia="Arial" w:hAnsi="Arial"/>
          <w:sz w:val="13"/>
          <w:szCs w:val="13"/>
          <w:color w:val="auto"/>
        </w:rPr>
        <w:t>We evaluate our net investment in direct financing and sales-type leases for impairment under the current expected credit loss accounting standard. For more information, refer to “Allowance for credit losses” in Note 2 – “Summary of significant accounting policies” to our unaudited consolidated financial statements.</w:t>
      </w:r>
    </w:p>
    <w:p>
      <w:pPr>
        <w:spacing w:after="0" w:line="128" w:lineRule="exact"/>
        <w:rPr>
          <w:sz w:val="20"/>
          <w:szCs w:val="20"/>
          <w:color w:val="auto"/>
        </w:rPr>
      </w:pPr>
    </w:p>
    <w:p>
      <w:pPr>
        <w:ind w:left="640" w:right="799" w:firstLine="516"/>
        <w:spacing w:after="0" w:line="254" w:lineRule="auto"/>
        <w:rPr>
          <w:sz w:val="20"/>
          <w:szCs w:val="20"/>
          <w:color w:val="auto"/>
        </w:rPr>
      </w:pPr>
      <w:r>
        <w:rPr>
          <w:rFonts w:ascii="Arial" w:cs="Arial" w:eastAsia="Arial" w:hAnsi="Arial"/>
          <w:sz w:val="13"/>
          <w:szCs w:val="13"/>
          <w:color w:val="auto"/>
        </w:rPr>
        <w:t>As a lessor, we classify a lease with variable lease payments that do not depend on an index or a rate as an operating lease on the commencement date of the lease if both of the following criteria are met:</w:t>
      </w:r>
    </w:p>
    <w:p>
      <w:pPr>
        <w:spacing w:after="0" w:line="113" w:lineRule="exact"/>
        <w:rPr>
          <w:sz w:val="20"/>
          <w:szCs w:val="20"/>
          <w:color w:val="auto"/>
        </w:rPr>
      </w:pPr>
    </w:p>
    <w:p>
      <w:pPr>
        <w:ind w:left="1420" w:right="799" w:hanging="267"/>
        <w:spacing w:after="0" w:line="256" w:lineRule="auto"/>
        <w:tabs>
          <w:tab w:leader="none" w:pos="1420" w:val="left"/>
        </w:tabs>
        <w:numPr>
          <w:ilvl w:val="0"/>
          <w:numId w:val="25"/>
        </w:numPr>
        <w:rPr>
          <w:rFonts w:ascii="Arial" w:cs="Arial" w:eastAsia="Arial" w:hAnsi="Arial"/>
          <w:sz w:val="13"/>
          <w:szCs w:val="13"/>
          <w:color w:val="auto"/>
        </w:rPr>
      </w:pPr>
      <w:r>
        <w:rPr>
          <w:rFonts w:ascii="Arial" w:cs="Arial" w:eastAsia="Arial" w:hAnsi="Arial"/>
          <w:sz w:val="13"/>
          <w:szCs w:val="13"/>
          <w:color w:val="auto"/>
        </w:rPr>
        <w:t>The lease would have been classified as a sales-type lease or direct financing lease under the current lease accounting standard; and</w:t>
      </w:r>
    </w:p>
    <w:p>
      <w:pPr>
        <w:ind w:left="1420" w:hanging="267"/>
        <w:spacing w:after="0"/>
        <w:tabs>
          <w:tab w:leader="none" w:pos="14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The sales-type lease or direct financing lease classification would have resulted in a selling loss at lease commencement.</w:t>
      </w:r>
    </w:p>
    <w:p>
      <w:pPr>
        <w:spacing w:after="0" w:line="166" w:lineRule="exact"/>
        <w:rPr>
          <w:sz w:val="20"/>
          <w:szCs w:val="20"/>
          <w:color w:val="auto"/>
        </w:rPr>
      </w:pPr>
    </w:p>
    <w:p>
      <w:pPr>
        <w:ind w:left="640" w:right="1239" w:firstLine="516"/>
        <w:spacing w:after="0" w:line="254" w:lineRule="auto"/>
        <w:rPr>
          <w:sz w:val="20"/>
          <w:szCs w:val="20"/>
          <w:color w:val="auto"/>
        </w:rPr>
      </w:pPr>
      <w:r>
        <w:rPr>
          <w:rFonts w:ascii="Arial" w:cs="Arial" w:eastAsia="Arial" w:hAnsi="Arial"/>
          <w:sz w:val="13"/>
          <w:szCs w:val="13"/>
          <w:color w:val="auto"/>
        </w:rPr>
        <w:t>We do not derecognize the underlying asset and do not recognize a loss upon lease commencement but continue to depreciate the underlying asset over its useful life.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188595</wp:posOffset>
            </wp:positionV>
            <wp:extent cx="5584190" cy="8420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584190" cy="842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640" w:right="4099" w:hanging="2"/>
        <w:spacing w:after="0" w:line="465" w:lineRule="auto"/>
        <w:tabs>
          <w:tab w:leader="none" w:pos="898" w:val="left"/>
        </w:tabs>
        <w:numPr>
          <w:ilvl w:val="0"/>
          <w:numId w:val="26"/>
        </w:numPr>
        <w:rPr>
          <w:rFonts w:ascii="Arial" w:cs="Arial" w:eastAsia="Arial" w:hAnsi="Arial"/>
          <w:sz w:val="13"/>
          <w:szCs w:val="13"/>
          <w:b w:val="1"/>
          <w:bCs w:val="1"/>
          <w:color w:val="00497F"/>
        </w:rPr>
      </w:pPr>
      <w:r>
        <w:rPr>
          <w:rFonts w:ascii="Arial" w:cs="Arial" w:eastAsia="Arial" w:hAnsi="Arial"/>
          <w:sz w:val="13"/>
          <w:szCs w:val="13"/>
          <w:b w:val="1"/>
          <w:bCs w:val="1"/>
          <w:color w:val="00497F"/>
        </w:rPr>
        <w:t>SUMMARY OF SIGNIFICANT ACCOUNTING POLICIES (continued) Lessee accounting</w:t>
      </w:r>
    </w:p>
    <w:p>
      <w:pPr>
        <w:ind w:left="1160"/>
        <w:spacing w:after="0"/>
        <w:rPr>
          <w:rFonts w:ascii="Arial" w:cs="Arial" w:eastAsia="Arial" w:hAnsi="Arial"/>
          <w:sz w:val="13"/>
          <w:szCs w:val="13"/>
          <w:b w:val="1"/>
          <w:bCs w:val="1"/>
          <w:color w:val="00497F"/>
        </w:rPr>
      </w:pPr>
      <w:r>
        <w:rPr>
          <w:rFonts w:ascii="Arial" w:cs="Arial" w:eastAsia="Arial" w:hAnsi="Arial"/>
          <w:sz w:val="13"/>
          <w:szCs w:val="13"/>
          <w:color w:val="auto"/>
        </w:rPr>
        <w:t>We have operating lease agreements in which we are the lessee consisting of ground and office leases. At the lease</w:t>
      </w:r>
    </w:p>
    <w:p>
      <w:pPr>
        <w:sectPr>
          <w:pgSz w:w="11900" w:h="16838" w:orient="portrait"/>
          <w:cols w:equalWidth="0" w:num="1">
            <w:col w:w="9019"/>
          </w:cols>
          <w:pgMar w:left="1440" w:top="0" w:right="1440" w:bottom="0" w:gutter="0" w:footer="0" w:header="0"/>
        </w:sectPr>
      </w:pPr>
    </w:p>
    <w:bookmarkStart w:id="14" w:name="page15"/>
    <w:bookmarkEnd w:id="14"/>
    <w:p>
      <w:pPr>
        <w:spacing w:after="0" w:line="18" w:lineRule="exact"/>
        <w:rPr>
          <w:sz w:val="20"/>
          <w:szCs w:val="20"/>
          <w:color w:val="auto"/>
        </w:rPr>
      </w:pPr>
    </w:p>
    <w:p>
      <w:pPr>
        <w:ind w:left="640" w:right="659"/>
        <w:spacing w:after="0" w:line="196" w:lineRule="auto"/>
        <w:rPr>
          <w:sz w:val="20"/>
          <w:szCs w:val="20"/>
          <w:color w:val="auto"/>
        </w:rPr>
      </w:pPr>
      <w:r>
        <w:rPr>
          <w:rFonts w:ascii="Arial" w:cs="Arial" w:eastAsia="Arial" w:hAnsi="Arial"/>
          <w:sz w:val="13"/>
          <w:szCs w:val="13"/>
          <w:color w:val="auto"/>
        </w:rPr>
        <w:t>commencement date (or at the acquisition date if the lease is acquired as part of a real estate acquisition), we are required to recognize a liability to account for our future obligations under these operating leases, and a corresponding right-of-use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-140335</wp:posOffset>
            </wp:positionV>
            <wp:extent cx="5584190" cy="63722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584190" cy="6372225"/>
                    </a:xfrm>
                    <a:prstGeom prst="rect">
                      <a:avLst/>
                    </a:prstGeom>
                    <a:noFill/>
                  </pic:spPr>
                </pic:pic>
              </a:graphicData>
            </a:graphic>
          </wp:anchor>
        </w:drawing>
      </w:r>
    </w:p>
    <w:p>
      <w:pPr>
        <w:spacing w:after="0" w:line="112" w:lineRule="exact"/>
        <w:rPr>
          <w:sz w:val="20"/>
          <w:szCs w:val="20"/>
          <w:color w:val="auto"/>
        </w:rPr>
      </w:pPr>
    </w:p>
    <w:p>
      <w:pPr>
        <w:ind w:left="640" w:right="679" w:firstLine="516"/>
        <w:spacing w:after="0" w:line="279" w:lineRule="auto"/>
        <w:rPr>
          <w:sz w:val="20"/>
          <w:szCs w:val="20"/>
          <w:color w:val="auto"/>
        </w:rPr>
      </w:pPr>
      <w:r>
        <w:rPr>
          <w:rFonts w:ascii="Arial" w:cs="Arial" w:eastAsia="Arial" w:hAnsi="Arial"/>
          <w:sz w:val="12"/>
          <w:szCs w:val="12"/>
          <w:color w:val="auto"/>
        </w:rPr>
        <w:t>The lease liability is measured based on the present value of the future lease payments, including payments during the term under our extension options that we are reasonably certain to exercise. The present value of the future lease payments is calculated for each operating lease using each respective remaining lease term and a corresponding estimated incremental borrowing rate, which is the interest rate that we estimate we would have to pay to borrow on a collateralized basis over a similar term for an amount equal to the lease payments. Subsequently, the lease liability is accreted by applying a discount rate established at the lease commencement date to the lease liability balance as of the beginning of the period and is reduced by the payments made during the period. We classify the operating lease liability in accounts payable, accrued expenses, and other liabilities in our consolidated balance sheets.</w:t>
      </w:r>
    </w:p>
    <w:p>
      <w:pPr>
        <w:spacing w:after="0" w:line="123" w:lineRule="exact"/>
        <w:rPr>
          <w:sz w:val="20"/>
          <w:szCs w:val="20"/>
          <w:color w:val="auto"/>
        </w:rPr>
      </w:pPr>
    </w:p>
    <w:p>
      <w:pPr>
        <w:ind w:left="640" w:right="719" w:firstLine="516"/>
        <w:spacing w:after="0" w:line="253" w:lineRule="auto"/>
        <w:rPr>
          <w:sz w:val="20"/>
          <w:szCs w:val="20"/>
          <w:color w:val="auto"/>
        </w:rPr>
      </w:pPr>
      <w:r>
        <w:rPr>
          <w:rFonts w:ascii="Arial" w:cs="Arial" w:eastAsia="Arial" w:hAnsi="Arial"/>
          <w:sz w:val="13"/>
          <w:szCs w:val="13"/>
          <w:color w:val="auto"/>
        </w:rPr>
        <w:t>The right-of-use asset is measured based on the corresponding lease liability, adjusted for initial direct leasing costs and any other consideration exchanged with the landlord prior to the commencement of the lease, as well as adjustments to reflect favorable or unfavorable terms of an acquired lease when compared with market terms at the time of acquisition. Subsequently, the right-of-use asset is amortized on a straight-line basis during the lease term. We classify the right-of-use asset in other assets in our consolidated balance sheets.</w:t>
      </w:r>
    </w:p>
    <w:p>
      <w:pPr>
        <w:spacing w:after="0" w:line="136" w:lineRule="exact"/>
        <w:rPr>
          <w:sz w:val="20"/>
          <w:szCs w:val="20"/>
          <w:color w:val="auto"/>
        </w:rPr>
      </w:pPr>
    </w:p>
    <w:p>
      <w:pPr>
        <w:ind w:left="640"/>
        <w:spacing w:after="0"/>
        <w:rPr>
          <w:sz w:val="20"/>
          <w:szCs w:val="20"/>
          <w:color w:val="auto"/>
        </w:rPr>
      </w:pPr>
      <w:r>
        <w:rPr>
          <w:rFonts w:ascii="Arial" w:cs="Arial" w:eastAsia="Arial" w:hAnsi="Arial"/>
          <w:sz w:val="13"/>
          <w:szCs w:val="13"/>
          <w:b w:val="1"/>
          <w:bCs w:val="1"/>
          <w:u w:val="single" w:color="auto"/>
          <w:color w:val="00497F"/>
        </w:rPr>
        <w:t>Recognition of revenue arising from contracts with customers</w:t>
      </w:r>
    </w:p>
    <w:p>
      <w:pPr>
        <w:spacing w:after="0" w:line="162" w:lineRule="exact"/>
        <w:rPr>
          <w:sz w:val="20"/>
          <w:szCs w:val="20"/>
          <w:color w:val="auto"/>
        </w:rPr>
      </w:pPr>
    </w:p>
    <w:p>
      <w:pPr>
        <w:jc w:val="both"/>
        <w:ind w:left="640" w:right="719" w:firstLine="516"/>
        <w:spacing w:after="0" w:line="253" w:lineRule="auto"/>
        <w:rPr>
          <w:sz w:val="20"/>
          <w:szCs w:val="20"/>
          <w:color w:val="auto"/>
        </w:rPr>
      </w:pPr>
      <w:r>
        <w:rPr>
          <w:rFonts w:ascii="Arial" w:cs="Arial" w:eastAsia="Arial" w:hAnsi="Arial"/>
          <w:sz w:val="13"/>
          <w:szCs w:val="13"/>
          <w:color w:val="auto"/>
        </w:rPr>
        <w:t>We recognize revenues associated with transactions arising from contracts with customers, excluding revenues subject to the lease accounting standard discussed in “Lease accounting” above, in accordance with the revenue recognition accounting standard. A customer is distinguished from a noncustomer by the nature of the goods or services that are transferred. Customers are provided with goods or services that are generated by a company’s ordinary output activities, whereas noncustomers are provided with nonfinancial assets that are outside of a company’s ordinary output activities.</w:t>
      </w:r>
    </w:p>
    <w:p>
      <w:pPr>
        <w:spacing w:after="0" w:line="136" w:lineRule="exact"/>
        <w:rPr>
          <w:sz w:val="20"/>
          <w:szCs w:val="20"/>
          <w:color w:val="auto"/>
        </w:rPr>
      </w:pPr>
    </w:p>
    <w:p>
      <w:pPr>
        <w:ind w:left="640" w:right="719" w:firstLine="516"/>
        <w:spacing w:after="0" w:line="274" w:lineRule="auto"/>
        <w:rPr>
          <w:sz w:val="20"/>
          <w:szCs w:val="20"/>
          <w:color w:val="auto"/>
        </w:rPr>
      </w:pPr>
      <w:r>
        <w:rPr>
          <w:rFonts w:ascii="Arial" w:cs="Arial" w:eastAsia="Arial" w:hAnsi="Arial"/>
          <w:sz w:val="12"/>
          <w:szCs w:val="12"/>
          <w:color w:val="auto"/>
        </w:rPr>
        <w:t>We generally recognize revenue representing the transfer of goods and services to customers in an amount that reflects the consideration to which we expect to be entitled in the exchange. In order to determine the recognition of revenue from customer contracts, we use a five-step model to (i) identify the contract with the customer, (ii) identify the performance obligations in the contract,</w:t>
      </w:r>
    </w:p>
    <w:p>
      <w:pPr>
        <w:spacing w:after="0" w:line="1" w:lineRule="exact"/>
        <w:rPr>
          <w:sz w:val="20"/>
          <w:szCs w:val="20"/>
          <w:color w:val="auto"/>
        </w:rPr>
      </w:pPr>
    </w:p>
    <w:p>
      <w:pPr>
        <w:ind w:left="640" w:right="739" w:hanging="2"/>
        <w:spacing w:after="0" w:line="255" w:lineRule="auto"/>
        <w:tabs>
          <w:tab w:leader="none" w:pos="848" w:val="left"/>
        </w:tabs>
        <w:numPr>
          <w:ilvl w:val="0"/>
          <w:numId w:val="27"/>
        </w:numPr>
        <w:rPr>
          <w:rFonts w:ascii="Arial" w:cs="Arial" w:eastAsia="Arial" w:hAnsi="Arial"/>
          <w:sz w:val="13"/>
          <w:szCs w:val="13"/>
          <w:color w:val="auto"/>
        </w:rPr>
      </w:pPr>
      <w:r>
        <w:rPr>
          <w:rFonts w:ascii="Arial" w:cs="Arial" w:eastAsia="Arial" w:hAnsi="Arial"/>
          <w:sz w:val="13"/>
          <w:szCs w:val="13"/>
          <w:color w:val="auto"/>
        </w:rPr>
        <w:t>determine the transaction price, including variable consideration to the extent that it is probable that a significant future reversal will not occur, (iv) allocate the transaction price to the performance obligations in the contract, and (v) recognize revenue when (or as) we satisfy the performance obligation.</w:t>
      </w:r>
    </w:p>
    <w:p>
      <w:pPr>
        <w:spacing w:after="0" w:line="102" w:lineRule="exact"/>
        <w:rPr>
          <w:sz w:val="20"/>
          <w:szCs w:val="20"/>
          <w:color w:val="auto"/>
        </w:rPr>
      </w:pPr>
    </w:p>
    <w:p>
      <w:pPr>
        <w:ind w:left="640" w:right="639" w:firstLine="516"/>
        <w:spacing w:after="0" w:line="252" w:lineRule="auto"/>
        <w:rPr>
          <w:sz w:val="20"/>
          <w:szCs w:val="20"/>
          <w:color w:val="auto"/>
        </w:rPr>
      </w:pPr>
      <w:r>
        <w:rPr>
          <w:rFonts w:ascii="Arial" w:cs="Arial" w:eastAsia="Arial" w:hAnsi="Arial"/>
          <w:sz w:val="13"/>
          <w:szCs w:val="13"/>
          <w:color w:val="auto"/>
        </w:rPr>
        <w:t>We identify contractual performance obligations and determine whether revenue should be recognized at a point in time or over time, based on when control of goods and services transfers to a customer. We consider whether we control the goods or services prior to the transfer to the customer in order to determine whether we should account for the arrangement as a principal or agent. If we determine that we control the goods or services provided to the customer, then we are the principal to the transaction, and we recognize the gross amount of consideration expected in the exchange. If we simply arrange but do not control the goods or services being transferred to the customer, then we are considered to be an agent to the transaction, and we recognize the net amount of consideration we are entitled to retain in the exchange.</w:t>
      </w:r>
    </w:p>
    <w:p>
      <w:pPr>
        <w:spacing w:after="0" w:line="136" w:lineRule="exact"/>
        <w:rPr>
          <w:sz w:val="20"/>
          <w:szCs w:val="20"/>
          <w:color w:val="auto"/>
        </w:rPr>
      </w:pPr>
    </w:p>
    <w:p>
      <w:pPr>
        <w:ind w:left="640" w:right="679" w:firstLine="516"/>
        <w:spacing w:after="0" w:line="276" w:lineRule="auto"/>
        <w:rPr>
          <w:sz w:val="20"/>
          <w:szCs w:val="20"/>
          <w:color w:val="auto"/>
        </w:rPr>
      </w:pPr>
      <w:r>
        <w:rPr>
          <w:rFonts w:ascii="Arial" w:cs="Arial" w:eastAsia="Arial" w:hAnsi="Arial"/>
          <w:sz w:val="12"/>
          <w:szCs w:val="12"/>
          <w:color w:val="auto"/>
        </w:rPr>
        <w:t>Total revenues subject to the revenue recognition accounting standard and classified within income from rentals in our consolidated statements of operations for the three and six months ended June 30, 2024 included $8.9 million and $17.7 million, respectively, primarily related to short-term parking revenues associated with long-term lease agreements. Short-term parking revenues do not qualify for the single component accounting policy, as discussed in “Lessor accounting” in Note 2 – “Summary of significant accounting policies”, due to the difference in the timing and pattern of transfer of our parking service obligations and associated lease components within the same lease agreement. We recognize short-term parking revenues in accordance with the revenue recognition accounting standard when the service is provided and the performance obligation is satisfied, which normally occurs at a point in time.</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3"/>
          <w:szCs w:val="13"/>
          <w:b w:val="1"/>
          <w:bCs w:val="1"/>
          <w:u w:val="single" w:color="auto"/>
          <w:color w:val="00497F"/>
        </w:rPr>
        <w:t>Monitoring of tenant credit quality</w:t>
      </w:r>
    </w:p>
    <w:p>
      <w:pPr>
        <w:spacing w:after="0" w:line="162" w:lineRule="exact"/>
        <w:rPr>
          <w:sz w:val="20"/>
          <w:szCs w:val="20"/>
          <w:color w:val="auto"/>
        </w:rPr>
      </w:pPr>
    </w:p>
    <w:p>
      <w:pPr>
        <w:ind w:left="640" w:right="779" w:firstLine="516"/>
        <w:spacing w:after="0" w:line="285" w:lineRule="auto"/>
        <w:rPr>
          <w:sz w:val="20"/>
          <w:szCs w:val="20"/>
          <w:color w:val="auto"/>
        </w:rPr>
      </w:pPr>
      <w:r>
        <w:rPr>
          <w:rFonts w:ascii="Arial" w:cs="Arial" w:eastAsia="Arial" w:hAnsi="Arial"/>
          <w:sz w:val="12"/>
          <w:szCs w:val="12"/>
          <w:color w:val="auto"/>
        </w:rPr>
        <w:t>During the term of each lease, we monitor the credit quality and any related material changes of our tenants by (i) monitoring the credit rating of tenants that are rated by a nationally recognized credit rating agency, (ii) reviewing financial statements of the tenants that are publicly available or that are required to be delivered to us pursuant to the applicable lease, (iii) monitoring news reports regarding our tenants and their respective businesses, and (iv) monitoring the timeliness of lease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188595</wp:posOffset>
            </wp:positionV>
            <wp:extent cx="5584190" cy="4081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584190" cy="4081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640" w:right="4099" w:hanging="2"/>
        <w:spacing w:after="0" w:line="422" w:lineRule="auto"/>
        <w:tabs>
          <w:tab w:leader="none" w:pos="898" w:val="left"/>
        </w:tabs>
        <w:numPr>
          <w:ilvl w:val="0"/>
          <w:numId w:val="28"/>
        </w:numPr>
        <w:rPr>
          <w:rFonts w:ascii="Arial" w:cs="Arial" w:eastAsia="Arial" w:hAnsi="Arial"/>
          <w:sz w:val="13"/>
          <w:szCs w:val="13"/>
          <w:b w:val="1"/>
          <w:bCs w:val="1"/>
          <w:color w:val="00497F"/>
        </w:rPr>
      </w:pPr>
      <w:r>
        <w:rPr>
          <w:rFonts w:ascii="Arial" w:cs="Arial" w:eastAsia="Arial" w:hAnsi="Arial"/>
          <w:sz w:val="13"/>
          <w:szCs w:val="13"/>
          <w:b w:val="1"/>
          <w:bCs w:val="1"/>
          <w:color w:val="00497F"/>
        </w:rPr>
        <w:t xml:space="preserve">SUMMARY OF SIGNIFICANT ACCOUNTING POLICIES (continued) </w:t>
      </w:r>
      <w:r>
        <w:rPr>
          <w:rFonts w:ascii="Arial" w:cs="Arial" w:eastAsia="Arial" w:hAnsi="Arial"/>
          <w:sz w:val="13"/>
          <w:szCs w:val="13"/>
          <w:b w:val="1"/>
          <w:bCs w:val="1"/>
          <w:u w:val="single" w:color="auto"/>
          <w:color w:val="00497F"/>
        </w:rPr>
        <w:t>Allowance for credit losses</w:t>
      </w:r>
    </w:p>
    <w:p>
      <w:pPr>
        <w:spacing w:after="0" w:line="1" w:lineRule="exact"/>
        <w:rPr>
          <w:sz w:val="20"/>
          <w:szCs w:val="20"/>
          <w:color w:val="auto"/>
        </w:rPr>
      </w:pPr>
    </w:p>
    <w:p>
      <w:pPr>
        <w:ind w:left="640" w:right="659" w:firstLine="516"/>
        <w:spacing w:after="0" w:line="253" w:lineRule="auto"/>
        <w:rPr>
          <w:sz w:val="20"/>
          <w:szCs w:val="20"/>
          <w:color w:val="auto"/>
        </w:rPr>
      </w:pPr>
      <w:r>
        <w:rPr>
          <w:rFonts w:ascii="Arial" w:cs="Arial" w:eastAsia="Arial" w:hAnsi="Arial"/>
          <w:sz w:val="13"/>
          <w:szCs w:val="13"/>
          <w:color w:val="auto"/>
        </w:rPr>
        <w:t>We are required to estimate and recognize lifetime expected losses, rather than incurred losses, for most of our financial assets measured at amortized cost and certain other instruments, including trade and other receivables (excluding receivables arising from operating leases), loans, held-to-maturity debt securities, net investments in leases arising from sales-type and direct financing leases, and off-balance-sheet credit exposures (e.g., loan commitments). The recognition of such expected losses, even if the expected risk of credit loss is remote, typically results in earlier recognition of credit losses. An assessment of the collectibility of operating lease payments and the recognition of an adjustment to lease income based on this assessment is governed by the lease accounting standard discussed in “Lease accounting” earlier in Note 2 — “Summary of significant accounting policies” to our unaudited consolidated financial statements.</w:t>
      </w:r>
    </w:p>
    <w:p>
      <w:pPr>
        <w:spacing w:after="0" w:line="135" w:lineRule="exact"/>
        <w:rPr>
          <w:sz w:val="20"/>
          <w:szCs w:val="20"/>
          <w:color w:val="auto"/>
        </w:rPr>
      </w:pPr>
    </w:p>
    <w:p>
      <w:pPr>
        <w:ind w:left="640" w:right="739" w:firstLine="516"/>
        <w:spacing w:after="0" w:line="257" w:lineRule="auto"/>
        <w:rPr>
          <w:sz w:val="20"/>
          <w:szCs w:val="20"/>
          <w:color w:val="auto"/>
        </w:rPr>
      </w:pPr>
      <w:r>
        <w:rPr>
          <w:rFonts w:ascii="Arial" w:cs="Arial" w:eastAsia="Arial" w:hAnsi="Arial"/>
          <w:sz w:val="13"/>
          <w:szCs w:val="13"/>
          <w:color w:val="auto"/>
        </w:rPr>
        <w:t>At each reporting date, we reassess our credit loss allowances on the aggregate net investment of direct financing and sales-type leases and our trade receivables. If necessary, we recognize a credit loss adjustment for our current estimate of expected credit losses, which is classified within rental operations in our consolidated statements of operations. Refer to Note 5 – “Leases” to our unaudited consolidated financial statements for additional details.</w:t>
      </w:r>
    </w:p>
    <w:p>
      <w:pPr>
        <w:spacing w:after="0" w:line="133" w:lineRule="exact"/>
        <w:rPr>
          <w:sz w:val="20"/>
          <w:szCs w:val="20"/>
          <w:color w:val="auto"/>
        </w:rPr>
      </w:pPr>
    </w:p>
    <w:p>
      <w:pPr>
        <w:ind w:left="640"/>
        <w:spacing w:after="0"/>
        <w:rPr>
          <w:sz w:val="20"/>
          <w:szCs w:val="20"/>
          <w:color w:val="auto"/>
        </w:rPr>
      </w:pPr>
      <w:r>
        <w:rPr>
          <w:rFonts w:ascii="Arial" w:cs="Arial" w:eastAsia="Arial" w:hAnsi="Arial"/>
          <w:sz w:val="13"/>
          <w:szCs w:val="13"/>
          <w:b w:val="1"/>
          <w:bCs w:val="1"/>
          <w:u w:val="single" w:color="auto"/>
          <w:color w:val="00497F"/>
        </w:rPr>
        <w:t>Income taxes</w:t>
      </w:r>
    </w:p>
    <w:p>
      <w:pPr>
        <w:spacing w:after="0" w:line="151" w:lineRule="exact"/>
        <w:rPr>
          <w:sz w:val="20"/>
          <w:szCs w:val="20"/>
          <w:color w:val="auto"/>
        </w:rPr>
      </w:pPr>
    </w:p>
    <w:p>
      <w:pPr>
        <w:ind w:left="640" w:right="739" w:firstLine="516"/>
        <w:spacing w:after="0" w:line="255" w:lineRule="auto"/>
        <w:rPr>
          <w:sz w:val="20"/>
          <w:szCs w:val="20"/>
          <w:color w:val="auto"/>
        </w:rPr>
      </w:pPr>
      <w:r>
        <w:rPr>
          <w:rFonts w:ascii="Arial" w:cs="Arial" w:eastAsia="Arial" w:hAnsi="Arial"/>
          <w:sz w:val="13"/>
          <w:szCs w:val="13"/>
          <w:color w:val="auto"/>
        </w:rPr>
        <w:t>We are organized and operate as a REIT pursuant to the Internal Revenue Code (the “Code”). Under the Code, a REIT that distributes at least 90% of its REIT taxable income to its stockholders annually (excluding net capital gains) and meets certain other conditions is not subject to federal income tax on its distributed taxable income, but could be subject to certain federal, foreign, state, and local taxes. We distribute 100% of our taxable income annually; therefore, a provision for federal income taxes is not required. In addition to our REIT returns, we file federal, foreign, state, and local tax returns for our subsidiaries. We file with jurisdictions located in the U.S., Canada, and other international locations. Our tax returns are subject to routine examination in various jurisdictions for the 2018 through 2023 calendar years.</w:t>
      </w:r>
    </w:p>
    <w:p>
      <w:pPr>
        <w:spacing w:after="0" w:line="134" w:lineRule="exact"/>
        <w:rPr>
          <w:sz w:val="20"/>
          <w:szCs w:val="20"/>
          <w:color w:val="auto"/>
        </w:rPr>
      </w:pPr>
    </w:p>
    <w:p>
      <w:pPr>
        <w:ind w:left="640"/>
        <w:spacing w:after="0"/>
        <w:rPr>
          <w:sz w:val="20"/>
          <w:szCs w:val="20"/>
          <w:color w:val="auto"/>
        </w:rPr>
      </w:pPr>
      <w:r>
        <w:rPr>
          <w:rFonts w:ascii="Arial" w:cs="Arial" w:eastAsia="Arial" w:hAnsi="Arial"/>
          <w:sz w:val="13"/>
          <w:szCs w:val="13"/>
          <w:b w:val="1"/>
          <w:bCs w:val="1"/>
          <w:u w:val="single" w:color="auto"/>
          <w:color w:val="00497F"/>
        </w:rPr>
        <w:t>Employee and non-employee share-based payments</w:t>
      </w:r>
    </w:p>
    <w:p>
      <w:pPr>
        <w:spacing w:after="0" w:line="119" w:lineRule="exact"/>
        <w:rPr>
          <w:sz w:val="20"/>
          <w:szCs w:val="20"/>
          <w:color w:val="auto"/>
        </w:rPr>
      </w:pPr>
    </w:p>
    <w:p>
      <w:pPr>
        <w:ind w:left="640" w:right="639" w:firstLine="516"/>
        <w:spacing w:after="0" w:line="279" w:lineRule="auto"/>
        <w:rPr>
          <w:sz w:val="20"/>
          <w:szCs w:val="20"/>
          <w:color w:val="auto"/>
        </w:rPr>
      </w:pPr>
      <w:r>
        <w:rPr>
          <w:rFonts w:ascii="Arial" w:cs="Arial" w:eastAsia="Arial" w:hAnsi="Arial"/>
          <w:sz w:val="12"/>
          <w:szCs w:val="12"/>
          <w:color w:val="auto"/>
        </w:rPr>
        <w:t>We have implemented an entity-wide accounting policy to account for forfeitures of share-based awards granted to employees and non-employees when they occur. As a result of this policy, we recognize expense on share-based awards with time-based vesting conditions without reductions for an estimate of forfeitures. This accounting policy only applies to service condition awards. For performance condition awards, we continue to assess the probability that such conditions will be achieved. Expenses related to forfeited awards are reversed as forfeitures occur. All nonforfeitable dividends paid on share-based payment awards are initially classified in retained earnings and reclassified to compensation cost only if forfeitures of the underlying awards occur. Our employee and non-employee share-based awards are measured at fair value on the grant date and recognized over the recipient’s required service period.</w:t>
      </w:r>
    </w:p>
    <w:p>
      <w:pPr>
        <w:spacing w:after="0" w:line="101" w:lineRule="exact"/>
        <w:rPr>
          <w:sz w:val="20"/>
          <w:szCs w:val="20"/>
          <w:color w:val="auto"/>
        </w:rPr>
      </w:pPr>
    </w:p>
    <w:p>
      <w:pPr>
        <w:ind w:left="640"/>
        <w:spacing w:after="0"/>
        <w:rPr>
          <w:sz w:val="20"/>
          <w:szCs w:val="20"/>
          <w:color w:val="auto"/>
        </w:rPr>
      </w:pPr>
      <w:r>
        <w:rPr>
          <w:rFonts w:ascii="Arial" w:cs="Arial" w:eastAsia="Arial" w:hAnsi="Arial"/>
          <w:sz w:val="13"/>
          <w:szCs w:val="13"/>
          <w:b w:val="1"/>
          <w:bCs w:val="1"/>
          <w:u w:val="single" w:color="auto"/>
          <w:color w:val="00497F"/>
        </w:rPr>
        <w:t>Forward equity sales agreements</w:t>
      </w:r>
    </w:p>
    <w:p>
      <w:pPr>
        <w:sectPr>
          <w:pgSz w:w="11900" w:h="16856" w:orient="portrait"/>
          <w:cols w:equalWidth="0" w:num="1">
            <w:col w:w="9019"/>
          </w:cols>
          <w:pgMar w:left="1440" w:top="118" w:right="1440" w:bottom="0" w:gutter="0" w:footer="0" w:header="0"/>
        </w:sectPr>
      </w:pPr>
    </w:p>
    <w:bookmarkStart w:id="15" w:name="page16"/>
    <w:bookmarkEnd w:id="15"/>
    <w:p>
      <w:pPr>
        <w:ind w:left="640" w:right="679" w:firstLine="516"/>
        <w:spacing w:after="0" w:line="251"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982345</wp:posOffset>
            </wp:positionH>
            <wp:positionV relativeFrom="page">
              <wp:posOffset>88900</wp:posOffset>
            </wp:positionV>
            <wp:extent cx="5584190" cy="31330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584190" cy="3133090"/>
                    </a:xfrm>
                    <a:prstGeom prst="rect">
                      <a:avLst/>
                    </a:prstGeom>
                    <a:noFill/>
                  </pic:spPr>
                </pic:pic>
              </a:graphicData>
            </a:graphic>
          </wp:anchor>
        </w:drawing>
        <w:t>From time to time, we enter into forward equity sales agreements and account for them in accordance with the accounting guidance governing financial instruments and derivatives. Under the accounting guidance, our forward equity sales agreements are not deemed to be liabilities as they do not embody obligations to repurchase our shares, nor do they embody obligations to issue a variable number of shares for which the monetary value is predominantly fixed, varied with something other than the fair value of our shares, or varied inversely in relation to our shares. We also evaluate whether the agreements meet the derivatives and hedging guidance scope exception to be accounted for as equity instruments. Our forward equity sales agreements are classified as equity contracts based on the following assessment: (i) none of the agreements’ exercise contingencies are based on observable markets or indices besides those related to the market for our own stock price and operations; and (ii) none of the settlement provisions preclude the agreements from being indexed to our own stock.</w:t>
      </w:r>
    </w:p>
    <w:p>
      <w:pPr>
        <w:spacing w:after="0" w:line="96" w:lineRule="exact"/>
        <w:rPr>
          <w:sz w:val="20"/>
          <w:szCs w:val="20"/>
          <w:color w:val="auto"/>
        </w:rPr>
      </w:pPr>
    </w:p>
    <w:p>
      <w:pPr>
        <w:ind w:left="640"/>
        <w:spacing w:after="0"/>
        <w:rPr>
          <w:sz w:val="20"/>
          <w:szCs w:val="20"/>
          <w:color w:val="auto"/>
        </w:rPr>
      </w:pPr>
      <w:r>
        <w:rPr>
          <w:rFonts w:ascii="Arial" w:cs="Arial" w:eastAsia="Arial" w:hAnsi="Arial"/>
          <w:sz w:val="13"/>
          <w:szCs w:val="13"/>
          <w:b w:val="1"/>
          <w:bCs w:val="1"/>
          <w:u w:val="single" w:color="auto"/>
          <w:color w:val="00497F"/>
        </w:rPr>
        <w:t>Issuer and guarantor subsidiaries of guaranteed securities</w:t>
      </w:r>
    </w:p>
    <w:p>
      <w:pPr>
        <w:spacing w:after="0" w:line="130" w:lineRule="exact"/>
        <w:rPr>
          <w:sz w:val="20"/>
          <w:szCs w:val="20"/>
          <w:color w:val="auto"/>
        </w:rPr>
      </w:pPr>
    </w:p>
    <w:p>
      <w:pPr>
        <w:ind w:left="640" w:right="679" w:firstLine="516"/>
        <w:spacing w:after="0" w:line="265" w:lineRule="auto"/>
        <w:rPr>
          <w:sz w:val="20"/>
          <w:szCs w:val="20"/>
          <w:color w:val="auto"/>
        </w:rPr>
      </w:pPr>
      <w:r>
        <w:rPr>
          <w:rFonts w:ascii="Arial" w:cs="Arial" w:eastAsia="Arial" w:hAnsi="Arial"/>
          <w:sz w:val="13"/>
          <w:szCs w:val="13"/>
          <w:color w:val="auto"/>
        </w:rPr>
        <w:t>Generally, a parent entity of an issuer that holds guaranteed securities must provide separate subsidiary issuer or guarantor financial statements, unless it qualifies for disclosure exceptions. A parent entity may be eligible for disclosure exceptions if it meets the following criteria:</w:t>
      </w:r>
    </w:p>
    <w:p>
      <w:pPr>
        <w:spacing w:after="0" w:line="74" w:lineRule="exact"/>
        <w:rPr>
          <w:sz w:val="20"/>
          <w:szCs w:val="20"/>
          <w:color w:val="auto"/>
        </w:rPr>
      </w:pPr>
    </w:p>
    <w:p>
      <w:pPr>
        <w:ind w:left="1420" w:hanging="267"/>
        <w:spacing w:after="0"/>
        <w:tabs>
          <w:tab w:leader="none" w:pos="1420" w:val="left"/>
        </w:tabs>
        <w:numPr>
          <w:ilvl w:val="0"/>
          <w:numId w:val="29"/>
        </w:numPr>
        <w:rPr>
          <w:rFonts w:ascii="Arial" w:cs="Arial" w:eastAsia="Arial" w:hAnsi="Arial"/>
          <w:sz w:val="13"/>
          <w:szCs w:val="13"/>
          <w:color w:val="auto"/>
        </w:rPr>
      </w:pPr>
      <w:r>
        <w:rPr>
          <w:rFonts w:ascii="Arial" w:cs="Arial" w:eastAsia="Arial" w:hAnsi="Arial"/>
          <w:sz w:val="13"/>
          <w:szCs w:val="13"/>
          <w:color w:val="auto"/>
        </w:rPr>
        <w:t>The subsidiary issuer or guarantor is a consolidated subsidiary of the parent company, and</w:t>
      </w:r>
    </w:p>
    <w:p>
      <w:pPr>
        <w:spacing w:after="0" w:line="12" w:lineRule="exact"/>
        <w:rPr>
          <w:rFonts w:ascii="Arial" w:cs="Arial" w:eastAsia="Arial" w:hAnsi="Arial"/>
          <w:sz w:val="13"/>
          <w:szCs w:val="13"/>
          <w:color w:val="auto"/>
        </w:rPr>
      </w:pPr>
    </w:p>
    <w:p>
      <w:pPr>
        <w:ind w:left="1420" w:right="959" w:hanging="267"/>
        <w:spacing w:after="0" w:line="270" w:lineRule="auto"/>
        <w:tabs>
          <w:tab w:leader="none" w:pos="1420" w:val="left"/>
        </w:tabs>
        <w:numPr>
          <w:ilvl w:val="0"/>
          <w:numId w:val="29"/>
        </w:numPr>
        <w:rPr>
          <w:rFonts w:ascii="Arial" w:cs="Arial" w:eastAsia="Arial" w:hAnsi="Arial"/>
          <w:sz w:val="13"/>
          <w:szCs w:val="13"/>
          <w:color w:val="auto"/>
        </w:rPr>
      </w:pPr>
      <w:r>
        <w:rPr>
          <w:rFonts w:ascii="Arial" w:cs="Arial" w:eastAsia="Arial" w:hAnsi="Arial"/>
          <w:sz w:val="13"/>
          <w:szCs w:val="13"/>
          <w:color w:val="auto"/>
        </w:rPr>
        <w:t>The subsidiary issues a registered security that is issued jointly and severally with the parent company, or is fully and unconditionally guaranteed by the parent company.</w:t>
      </w:r>
    </w:p>
    <w:p>
      <w:pPr>
        <w:spacing w:after="0" w:line="70" w:lineRule="exact"/>
        <w:rPr>
          <w:sz w:val="20"/>
          <w:szCs w:val="20"/>
          <w:color w:val="auto"/>
        </w:rPr>
      </w:pPr>
    </w:p>
    <w:p>
      <w:pPr>
        <w:ind w:left="640" w:right="699" w:firstLine="516"/>
        <w:spacing w:after="0" w:line="253" w:lineRule="auto"/>
        <w:rPr>
          <w:sz w:val="20"/>
          <w:szCs w:val="20"/>
          <w:color w:val="auto"/>
        </w:rPr>
      </w:pPr>
      <w:r>
        <w:rPr>
          <w:rFonts w:ascii="Arial" w:cs="Arial" w:eastAsia="Arial" w:hAnsi="Arial"/>
          <w:sz w:val="13"/>
          <w:szCs w:val="13"/>
          <w:color w:val="auto"/>
        </w:rPr>
        <w:t>A parent entity that meets the above criteria may instead present summarized financial information (“alternative disclosures”) either within the consolidated financial statements or within “Management’s discussion and analysis of financial condition and results of operations” in Item 2. We evaluated the criteria and determined that we are eligible for the disclosure exceptions, which allow us to provide alternative disclosures; as such, we present alternative disclosures in “Management’s discussion and analysis of financial condition and results of operations” in Item 2.</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188595</wp:posOffset>
            </wp:positionV>
            <wp:extent cx="5584190" cy="72205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900" w:hanging="262"/>
        <w:spacing w:after="0"/>
        <w:tabs>
          <w:tab w:leader="none" w:pos="900" w:val="left"/>
        </w:tabs>
        <w:numPr>
          <w:ilvl w:val="0"/>
          <w:numId w:val="30"/>
        </w:numPr>
        <w:rPr>
          <w:rFonts w:ascii="Arial" w:cs="Arial" w:eastAsia="Arial" w:hAnsi="Arial"/>
          <w:sz w:val="13"/>
          <w:szCs w:val="13"/>
          <w:b w:val="1"/>
          <w:bCs w:val="1"/>
          <w:color w:val="00497F"/>
        </w:rPr>
      </w:pPr>
      <w:r>
        <w:rPr>
          <w:rFonts w:ascii="Arial" w:cs="Arial" w:eastAsia="Arial" w:hAnsi="Arial"/>
          <w:sz w:val="13"/>
          <w:szCs w:val="13"/>
          <w:b w:val="1"/>
          <w:bCs w:val="1"/>
          <w:color w:val="00497F"/>
        </w:rPr>
        <w:t>SUMMARY OF SIGNIFICANT ACCOUNTING POLICIES (continued)</w:t>
      </w:r>
    </w:p>
    <w:p>
      <w:pPr>
        <w:spacing w:after="0" w:line="119" w:lineRule="exact"/>
        <w:rPr>
          <w:sz w:val="20"/>
          <w:szCs w:val="20"/>
          <w:color w:val="auto"/>
        </w:rPr>
      </w:pPr>
    </w:p>
    <w:p>
      <w:pPr>
        <w:ind w:left="640"/>
        <w:spacing w:after="0"/>
        <w:rPr>
          <w:sz w:val="20"/>
          <w:szCs w:val="20"/>
          <w:color w:val="auto"/>
        </w:rPr>
      </w:pPr>
      <w:r>
        <w:rPr>
          <w:rFonts w:ascii="Arial" w:cs="Arial" w:eastAsia="Arial" w:hAnsi="Arial"/>
          <w:sz w:val="13"/>
          <w:szCs w:val="13"/>
          <w:b w:val="1"/>
          <w:bCs w:val="1"/>
          <w:u w:val="single" w:color="auto"/>
          <w:color w:val="00497F"/>
        </w:rPr>
        <w:t>Loan fees</w:t>
      </w:r>
    </w:p>
    <w:p>
      <w:pPr>
        <w:spacing w:after="0" w:line="76" w:lineRule="exact"/>
        <w:rPr>
          <w:sz w:val="20"/>
          <w:szCs w:val="20"/>
          <w:color w:val="auto"/>
        </w:rPr>
      </w:pPr>
    </w:p>
    <w:p>
      <w:pPr>
        <w:ind w:left="640" w:right="679" w:firstLine="516"/>
        <w:spacing w:after="0" w:line="257" w:lineRule="auto"/>
        <w:rPr>
          <w:sz w:val="20"/>
          <w:szCs w:val="20"/>
          <w:color w:val="auto"/>
        </w:rPr>
      </w:pPr>
      <w:r>
        <w:rPr>
          <w:rFonts w:ascii="Arial" w:cs="Arial" w:eastAsia="Arial" w:hAnsi="Arial"/>
          <w:sz w:val="13"/>
          <w:szCs w:val="13"/>
          <w:color w:val="auto"/>
        </w:rPr>
        <w:t>Fees incurred in obtaining long-term financing are capitalized and classified with the corresponding debt instrument appearing on our consolidated balance sheets. Loan fees related to our unsecured senior line of credit are capitalized and classified within other assets. Capitalized amounts are amortized over the term of the related loan, and the amortization is classified in interest expense in our consolidated statements of operations.</w:t>
      </w:r>
    </w:p>
    <w:p>
      <w:pPr>
        <w:spacing w:after="0" w:line="133" w:lineRule="exact"/>
        <w:rPr>
          <w:sz w:val="20"/>
          <w:szCs w:val="20"/>
          <w:color w:val="auto"/>
        </w:rPr>
      </w:pPr>
    </w:p>
    <w:p>
      <w:pPr>
        <w:ind w:left="640"/>
        <w:spacing w:after="0"/>
        <w:rPr>
          <w:sz w:val="20"/>
          <w:szCs w:val="20"/>
          <w:color w:val="auto"/>
        </w:rPr>
      </w:pPr>
      <w:r>
        <w:rPr>
          <w:rFonts w:ascii="Arial" w:cs="Arial" w:eastAsia="Arial" w:hAnsi="Arial"/>
          <w:sz w:val="13"/>
          <w:szCs w:val="13"/>
          <w:b w:val="1"/>
          <w:bCs w:val="1"/>
          <w:u w:val="single" w:color="auto"/>
          <w:color w:val="00497F"/>
        </w:rPr>
        <w:t>Distributions from equity method investments</w:t>
      </w:r>
    </w:p>
    <w:p>
      <w:pPr>
        <w:spacing w:after="0" w:line="119" w:lineRule="exact"/>
        <w:rPr>
          <w:sz w:val="20"/>
          <w:szCs w:val="20"/>
          <w:color w:val="auto"/>
        </w:rPr>
      </w:pPr>
    </w:p>
    <w:p>
      <w:pPr>
        <w:ind w:left="640" w:right="699" w:firstLine="516"/>
        <w:spacing w:after="0" w:line="255" w:lineRule="auto"/>
        <w:rPr>
          <w:sz w:val="20"/>
          <w:szCs w:val="20"/>
          <w:color w:val="auto"/>
        </w:rPr>
      </w:pPr>
      <w:r>
        <w:rPr>
          <w:rFonts w:ascii="Arial" w:cs="Arial" w:eastAsia="Arial" w:hAnsi="Arial"/>
          <w:sz w:val="13"/>
          <w:szCs w:val="13"/>
          <w:color w:val="auto"/>
        </w:rPr>
        <w:t>We use the “nature of the distribution” approach to determine the classification within our consolidated statements of cash flows of cash distributions received from equity method investments, including our unconsolidated real estate joint ventures and equity method non-real estate investments. Under this approach, distributions are classified based on the nature of the underlying activity that generated the cash distributions. If we lack the information necessary to apply this approach in the future, we will be required to apply the “cumulative earnings” approach as an accounting change on a retrospective basis. Under the cumulative earnings approach, distributions up to the amount of cumulative equity in earnings recognized are classified as cash inflows from operating activities, and those in excess of that amount are classified as cash inflows from investing activities.</w:t>
      </w:r>
    </w:p>
    <w:p>
      <w:pPr>
        <w:spacing w:after="0" w:line="91" w:lineRule="exact"/>
        <w:rPr>
          <w:sz w:val="20"/>
          <w:szCs w:val="20"/>
          <w:color w:val="auto"/>
        </w:rPr>
      </w:pPr>
    </w:p>
    <w:p>
      <w:pPr>
        <w:ind w:left="640"/>
        <w:spacing w:after="0"/>
        <w:rPr>
          <w:sz w:val="20"/>
          <w:szCs w:val="20"/>
          <w:color w:val="auto"/>
        </w:rPr>
      </w:pPr>
      <w:r>
        <w:rPr>
          <w:rFonts w:ascii="Arial" w:cs="Arial" w:eastAsia="Arial" w:hAnsi="Arial"/>
          <w:sz w:val="13"/>
          <w:szCs w:val="13"/>
          <w:b w:val="1"/>
          <w:bCs w:val="1"/>
          <w:u w:val="single" w:color="auto"/>
          <w:color w:val="00497F"/>
        </w:rPr>
        <w:t>Restricted cash</w:t>
      </w:r>
    </w:p>
    <w:p>
      <w:pPr>
        <w:spacing w:after="0" w:line="130" w:lineRule="exact"/>
        <w:rPr>
          <w:sz w:val="20"/>
          <w:szCs w:val="20"/>
          <w:color w:val="auto"/>
        </w:rPr>
      </w:pPr>
    </w:p>
    <w:p>
      <w:pPr>
        <w:ind w:left="640" w:right="659" w:firstLine="516"/>
        <w:spacing w:after="0" w:line="257" w:lineRule="auto"/>
        <w:rPr>
          <w:sz w:val="20"/>
          <w:szCs w:val="20"/>
          <w:color w:val="auto"/>
        </w:rPr>
      </w:pPr>
      <w:r>
        <w:rPr>
          <w:rFonts w:ascii="Arial" w:cs="Arial" w:eastAsia="Arial" w:hAnsi="Arial"/>
          <w:sz w:val="13"/>
          <w:szCs w:val="13"/>
          <w:color w:val="auto"/>
        </w:rPr>
        <w:t>We present cash and cash equivalents separately from restricted cash within our consolidated balance sheets. However, we include restricted cash with cash and cash equivalents when reconciling the beginning-of-period and end-of-period total amounts shown in the consolidated statements of cash flows. We provide a reconciliation between the consolidated balance sheets and the consolidated statements of cash flows, as required, when the balance includes more than one line item for cash, cash equivalents, and restricted cash. We also provide a disclosure of the nature of the restrictions related to material restricted cash balances.</w:t>
      </w:r>
    </w:p>
    <w:p>
      <w:pPr>
        <w:spacing w:after="0" w:line="123" w:lineRule="exact"/>
        <w:rPr>
          <w:sz w:val="20"/>
          <w:szCs w:val="20"/>
          <w:color w:val="auto"/>
        </w:rPr>
      </w:pPr>
    </w:p>
    <w:p>
      <w:pPr>
        <w:ind w:left="640"/>
        <w:spacing w:after="0"/>
        <w:rPr>
          <w:sz w:val="20"/>
          <w:szCs w:val="20"/>
          <w:color w:val="auto"/>
        </w:rPr>
      </w:pPr>
      <w:r>
        <w:rPr>
          <w:rFonts w:ascii="Arial" w:cs="Arial" w:eastAsia="Arial" w:hAnsi="Arial"/>
          <w:sz w:val="13"/>
          <w:szCs w:val="13"/>
          <w:b w:val="1"/>
          <w:bCs w:val="1"/>
          <w:u w:val="single" w:color="auto"/>
          <w:color w:val="00497F"/>
        </w:rPr>
        <w:t>Recent accounting pronouncements</w:t>
      </w:r>
    </w:p>
    <w:p>
      <w:pPr>
        <w:spacing w:after="0" w:line="162" w:lineRule="exact"/>
        <w:rPr>
          <w:sz w:val="20"/>
          <w:szCs w:val="20"/>
          <w:color w:val="auto"/>
        </w:rPr>
      </w:pPr>
    </w:p>
    <w:p>
      <w:pPr>
        <w:ind w:left="640" w:right="659" w:firstLine="516"/>
        <w:spacing w:after="0" w:line="274" w:lineRule="auto"/>
        <w:rPr>
          <w:sz w:val="20"/>
          <w:szCs w:val="20"/>
          <w:color w:val="auto"/>
        </w:rPr>
      </w:pPr>
      <w:r>
        <w:rPr>
          <w:rFonts w:ascii="Arial" w:cs="Arial" w:eastAsia="Arial" w:hAnsi="Arial"/>
          <w:sz w:val="12"/>
          <w:szCs w:val="12"/>
          <w:color w:val="auto"/>
        </w:rPr>
        <w:t>On August 23, 2023, the FASB issued an ASU that will require a joint venture, upon formation, to measure its assets and liabilities at fair value in its standalone financial statements. A joint venture will recognize the difference between the fair value of its equity and the fair value of its identifiable assets and liabilities as goodwill (or an equity adjustment, if negative) using the business combination accounting guidance regardless of whether the net assets meet the definition of a business. The new accounting standard is intended to reduce diversity in practice. This ASU will apply to joint ventures that meet the definition of a corporate joint venture under GAAP, thus limiting its scope to joint ventures not controlled and therefore not consolidated by any joint venture investor. We generally seek to maintain control of our real estate joint ventures and therefore expect this ASU to apply to a limited number, if any, of our unconsolidated real estate joint ventures formed after the adoption of this accounting standard. This standard does not change the accounting of investments by the investors in a joint venture in their individual financial statements, and therefore, its adoption will have no impact on our consolidated financial statements. This accounting standard will become effective for joint ventures with a formation date on or after January 1, 2025, with early adoption permitted. We expect to adopt this ASU on January 1, 2025.</w:t>
      </w:r>
    </w:p>
    <w:p>
      <w:pPr>
        <w:spacing w:after="0" w:line="125" w:lineRule="exact"/>
        <w:rPr>
          <w:sz w:val="20"/>
          <w:szCs w:val="20"/>
          <w:color w:val="auto"/>
        </w:rPr>
      </w:pPr>
    </w:p>
    <w:p>
      <w:pPr>
        <w:ind w:left="640" w:right="639" w:firstLine="516"/>
        <w:spacing w:after="0" w:line="253" w:lineRule="auto"/>
        <w:rPr>
          <w:sz w:val="20"/>
          <w:szCs w:val="20"/>
          <w:color w:val="auto"/>
        </w:rPr>
      </w:pPr>
      <w:r>
        <w:rPr>
          <w:rFonts w:ascii="Arial" w:cs="Arial" w:eastAsia="Arial" w:hAnsi="Arial"/>
          <w:sz w:val="13"/>
          <w:szCs w:val="13"/>
          <w:color w:val="auto"/>
        </w:rPr>
        <w:t>On November 27, 2023, the FASB issued an ASU that will require quarterly disclosure of segment expenses if they are (i) significant to the segment, (ii) regularly provided to the chief operating decision maker (“CODM”), and (iii) included in each reported measure of a segment’s profit or loss. In addition, this ASU requires an annual disclosure of the CODM’s title and a description of how the CODM uses the segment’s profit/loss measure to assess segment performance and to allocate resources. Pursuant to this ASU, the footnotes to our consolidated financial statements may include incremental disclosures related to our single reportable segment. The compliance with this ASU will be required beginning with our annual report on Form 10-K for the year ending December 31, 2024, followed by interim disclosures in our quarterly reports on Form 10-Q thereafter, with early adoption permitted. We expect to adopt this ASU for our annual report on Form 10-K for the year ending December 31, 2024.</w:t>
      </w:r>
    </w:p>
    <w:p>
      <w:pPr>
        <w:sectPr>
          <w:pgSz w:w="11900" w:h="16838" w:orient="portrait"/>
          <w:cols w:equalWidth="0" w:num="1">
            <w:col w:w="9019"/>
          </w:cols>
          <w:pgMar w:left="1440" w:top="24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195580</wp:posOffset>
            </wp:positionV>
            <wp:extent cx="5584190" cy="368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584190" cy="36830"/>
                    </a:xfrm>
                    <a:prstGeom prst="rect">
                      <a:avLst/>
                    </a:prstGeom>
                    <a:noFill/>
                  </pic:spPr>
                </pic:pic>
              </a:graphicData>
            </a:graphic>
          </wp:anchor>
        </w:drawing>
      </w:r>
    </w:p>
    <w:p>
      <w:pPr>
        <w:sectPr>
          <w:pgSz w:w="11900" w:h="16838" w:orient="portrait"/>
          <w:cols w:equalWidth="0" w:num="1">
            <w:col w:w="9019"/>
          </w:cols>
          <w:pgMar w:left="1440" w:top="247" w:right="1440" w:bottom="0" w:gutter="0" w:footer="0" w:header="0"/>
          <w:type w:val="continuous"/>
        </w:sectPr>
      </w:pPr>
    </w:p>
    <w:bookmarkStart w:id="16" w:name="page17"/>
    <w:bookmarkEnd w:id="16"/>
    <w:p>
      <w:pPr>
        <w:spacing w:after="0" w:line="5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982345</wp:posOffset>
            </wp:positionH>
            <wp:positionV relativeFrom="page">
              <wp:posOffset>88900</wp:posOffset>
            </wp:positionV>
            <wp:extent cx="5584190" cy="71767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584190" cy="7176770"/>
                    </a:xfrm>
                    <a:prstGeom prst="rect">
                      <a:avLst/>
                    </a:prstGeom>
                    <a:noFill/>
                  </pic:spPr>
                </pic:pic>
              </a:graphicData>
            </a:graphic>
          </wp:anchor>
        </w:drawing>
      </w:r>
    </w:p>
    <w:p>
      <w:pPr>
        <w:ind w:left="900" w:hanging="262"/>
        <w:spacing w:after="0"/>
        <w:tabs>
          <w:tab w:leader="none" w:pos="900" w:val="left"/>
        </w:tabs>
        <w:numPr>
          <w:ilvl w:val="0"/>
          <w:numId w:val="31"/>
        </w:numPr>
        <w:rPr>
          <w:rFonts w:ascii="Arial" w:cs="Arial" w:eastAsia="Arial" w:hAnsi="Arial"/>
          <w:sz w:val="13"/>
          <w:szCs w:val="13"/>
          <w:b w:val="1"/>
          <w:bCs w:val="1"/>
          <w:color w:val="00497F"/>
        </w:rPr>
      </w:pPr>
      <w:r>
        <w:rPr>
          <w:rFonts w:ascii="Arial" w:cs="Arial" w:eastAsia="Arial" w:hAnsi="Arial"/>
          <w:sz w:val="13"/>
          <w:szCs w:val="13"/>
          <w:b w:val="1"/>
          <w:bCs w:val="1"/>
          <w:color w:val="00497F"/>
        </w:rPr>
        <w:t>INVESTMENTS IN REAL ESTATE</w:t>
      </w:r>
    </w:p>
    <w:p>
      <w:pPr>
        <w:spacing w:after="0" w:line="119" w:lineRule="exact"/>
        <w:rPr>
          <w:sz w:val="20"/>
          <w:szCs w:val="20"/>
          <w:color w:val="auto"/>
        </w:rPr>
      </w:pPr>
    </w:p>
    <w:p>
      <w:pPr>
        <w:jc w:val="both"/>
        <w:ind w:left="640" w:right="799" w:firstLine="516"/>
        <w:spacing w:after="0" w:line="265" w:lineRule="auto"/>
        <w:rPr>
          <w:sz w:val="20"/>
          <w:szCs w:val="20"/>
          <w:color w:val="auto"/>
        </w:rPr>
      </w:pPr>
      <w:r>
        <w:rPr>
          <w:rFonts w:ascii="Arial" w:cs="Arial" w:eastAsia="Arial" w:hAnsi="Arial"/>
          <w:sz w:val="13"/>
          <w:szCs w:val="13"/>
          <w:color w:val="auto"/>
        </w:rPr>
        <w:t>Our consolidated investments in real estate, including real estate assets classified as held for sale as described in Note 15 – “Assets classified as held for sale” to our unaudited consolidated financial statements, consisted of the following as of June 30, 2024 and December 31, 2023 (in thousands):</w:t>
      </w:r>
    </w:p>
    <w:p>
      <w:pPr>
        <w:spacing w:after="0" w:line="181" w:lineRule="exact"/>
        <w:rPr>
          <w:sz w:val="20"/>
          <w:szCs w:val="20"/>
          <w:color w:val="auto"/>
        </w:rPr>
      </w:pPr>
    </w:p>
    <w:tbl>
      <w:tblPr>
        <w:tblLayout w:type="fixed"/>
        <w:tblInd w:w="640" w:type="dxa"/>
        <w:tblCellMar>
          <w:top w:w="0" w:type="dxa"/>
          <w:left w:w="0" w:type="dxa"/>
          <w:bottom w:w="0" w:type="dxa"/>
          <w:right w:w="0" w:type="dxa"/>
        </w:tblCellMar>
      </w:tblPr>
      <w:tr>
        <w:trPr>
          <w:trHeight w:val="170"/>
        </w:trPr>
        <w:tc>
          <w:tcPr>
            <w:tcW w:w="4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3"/>
                <w:szCs w:val="13"/>
                <w:color w:val="auto"/>
              </w:rPr>
              <w:t>June 30, 2024</w:t>
            </w:r>
          </w:p>
        </w:tc>
        <w:tc>
          <w:tcPr>
            <w:tcW w:w="1340" w:type="dxa"/>
            <w:vAlign w:val="bottom"/>
            <w:gridSpan w:val="2"/>
          </w:tcPr>
          <w:p>
            <w:pPr>
              <w:jc w:val="right"/>
              <w:ind w:right="36"/>
              <w:spacing w:after="0"/>
              <w:rPr>
                <w:sz w:val="20"/>
                <w:szCs w:val="20"/>
                <w:color w:val="auto"/>
              </w:rPr>
            </w:pPr>
            <w:r>
              <w:rPr>
                <w:rFonts w:ascii="Arial" w:cs="Arial" w:eastAsia="Arial" w:hAnsi="Arial"/>
                <w:sz w:val="13"/>
                <w:szCs w:val="13"/>
                <w:color w:val="auto"/>
              </w:rPr>
              <w:t>December 31, 2023</w:t>
            </w:r>
          </w:p>
        </w:tc>
      </w:tr>
      <w:tr>
        <w:trPr>
          <w:trHeight w:val="186"/>
        </w:trPr>
        <w:tc>
          <w:tcPr>
            <w:tcW w:w="49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Rental properties:</w:t>
            </w:r>
          </w:p>
        </w:tc>
        <w:tc>
          <w:tcPr>
            <w:tcW w:w="20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r>
      <w:tr>
        <w:trPr>
          <w:trHeight w:val="203"/>
        </w:trPr>
        <w:tc>
          <w:tcPr>
            <w:tcW w:w="4980" w:type="dxa"/>
            <w:vAlign w:val="bottom"/>
          </w:tcPr>
          <w:p>
            <w:pPr>
              <w:ind w:left="140"/>
              <w:spacing w:after="0"/>
              <w:rPr>
                <w:sz w:val="20"/>
                <w:szCs w:val="20"/>
                <w:color w:val="auto"/>
              </w:rPr>
            </w:pPr>
            <w:r>
              <w:rPr>
                <w:rFonts w:ascii="Arial" w:cs="Arial" w:eastAsia="Arial" w:hAnsi="Arial"/>
                <w:sz w:val="13"/>
                <w:szCs w:val="13"/>
                <w:color w:val="auto"/>
              </w:rPr>
              <w:t>Land (related to rental properties)</w:t>
            </w:r>
          </w:p>
        </w:tc>
        <w:tc>
          <w:tcPr>
            <w:tcW w:w="20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4,375,145</w:t>
            </w:r>
          </w:p>
        </w:tc>
        <w:tc>
          <w:tcPr>
            <w:tcW w:w="60" w:type="dxa"/>
            <w:vAlign w:val="bottom"/>
          </w:tcPr>
          <w:p>
            <w:pPr>
              <w:spacing w:after="0"/>
              <w:rPr>
                <w:sz w:val="17"/>
                <w:szCs w:val="17"/>
                <w:color w:val="auto"/>
              </w:rPr>
            </w:pPr>
          </w:p>
        </w:tc>
        <w:tc>
          <w:tcPr>
            <w:tcW w:w="380" w:type="dxa"/>
            <w:vAlign w:val="bottom"/>
          </w:tcPr>
          <w:p>
            <w:pPr>
              <w:jc w:val="right"/>
              <w:ind w:right="196"/>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4,385,515</w:t>
            </w:r>
          </w:p>
        </w:tc>
      </w:tr>
      <w:tr>
        <w:trPr>
          <w:trHeight w:val="206"/>
        </w:trPr>
        <w:tc>
          <w:tcPr>
            <w:tcW w:w="49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Buildings and building improvements</w:t>
            </w: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20,636,599</w:t>
            </w:r>
          </w:p>
        </w:tc>
        <w:tc>
          <w:tcPr>
            <w:tcW w:w="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20,320,866</w:t>
            </w:r>
          </w:p>
        </w:tc>
      </w:tr>
      <w:tr>
        <w:trPr>
          <w:trHeight w:val="203"/>
        </w:trPr>
        <w:tc>
          <w:tcPr>
            <w:tcW w:w="498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Other improvements</w:t>
            </w:r>
          </w:p>
        </w:tc>
        <w:tc>
          <w:tcPr>
            <w:tcW w:w="2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4,166,935</w:t>
            </w:r>
          </w:p>
        </w:tc>
        <w:tc>
          <w:tcPr>
            <w:tcW w:w="6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3,681,628</w:t>
            </w:r>
          </w:p>
        </w:tc>
      </w:tr>
      <w:tr>
        <w:trPr>
          <w:trHeight w:val="186"/>
        </w:trPr>
        <w:tc>
          <w:tcPr>
            <w:tcW w:w="49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Rental properties</w:t>
            </w:r>
          </w:p>
        </w:tc>
        <w:tc>
          <w:tcPr>
            <w:tcW w:w="2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29,178,679</w:t>
            </w:r>
          </w:p>
        </w:tc>
        <w:tc>
          <w:tcPr>
            <w:tcW w:w="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28,388,009</w:t>
            </w:r>
          </w:p>
        </w:tc>
      </w:tr>
      <w:tr>
        <w:trPr>
          <w:trHeight w:val="203"/>
        </w:trPr>
        <w:tc>
          <w:tcPr>
            <w:tcW w:w="498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Development and redevelopment projects</w:t>
            </w:r>
          </w:p>
        </w:tc>
        <w:tc>
          <w:tcPr>
            <w:tcW w:w="2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8,952,574</w:t>
            </w:r>
          </w:p>
        </w:tc>
        <w:tc>
          <w:tcPr>
            <w:tcW w:w="6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8,226,309</w:t>
            </w:r>
          </w:p>
        </w:tc>
      </w:tr>
      <w:tr>
        <w:trPr>
          <w:trHeight w:val="186"/>
        </w:trPr>
        <w:tc>
          <w:tcPr>
            <w:tcW w:w="498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Gross investments in real estate</w:t>
            </w:r>
          </w:p>
        </w:tc>
        <w:tc>
          <w:tcPr>
            <w:tcW w:w="2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38,131,253</w:t>
            </w:r>
          </w:p>
        </w:tc>
        <w:tc>
          <w:tcPr>
            <w:tcW w:w="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36,614,318</w:t>
            </w:r>
          </w:p>
        </w:tc>
      </w:tr>
      <w:tr>
        <w:trPr>
          <w:trHeight w:val="203"/>
        </w:trPr>
        <w:tc>
          <w:tcPr>
            <w:tcW w:w="498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Less: accumulated depreciation</w:t>
            </w:r>
          </w:p>
        </w:tc>
        <w:tc>
          <w:tcPr>
            <w:tcW w:w="2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(5,457,414)</w:t>
            </w:r>
          </w:p>
        </w:tc>
        <w:tc>
          <w:tcPr>
            <w:tcW w:w="6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(4,980,807)</w:t>
            </w:r>
          </w:p>
        </w:tc>
      </w:tr>
      <w:tr>
        <w:trPr>
          <w:trHeight w:val="189"/>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Investments in real estate</w:t>
            </w:r>
          </w:p>
        </w:tc>
        <w:tc>
          <w:tcPr>
            <w:tcW w:w="2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32,673,839</w:t>
            </w:r>
          </w:p>
        </w:tc>
        <w:tc>
          <w:tcPr>
            <w:tcW w:w="6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31,633,511</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4"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00497F"/>
        </w:rPr>
        <w:t>Acquisitions</w:t>
      </w:r>
    </w:p>
    <w:p>
      <w:pPr>
        <w:spacing w:after="0" w:line="108" w:lineRule="exact"/>
        <w:rPr>
          <w:sz w:val="20"/>
          <w:szCs w:val="20"/>
          <w:color w:val="auto"/>
        </w:rPr>
      </w:pPr>
    </w:p>
    <w:p>
      <w:pPr>
        <w:ind w:left="640" w:right="679" w:firstLine="516"/>
        <w:spacing w:after="0" w:line="263" w:lineRule="auto"/>
        <w:rPr>
          <w:sz w:val="20"/>
          <w:szCs w:val="20"/>
          <w:color w:val="auto"/>
        </w:rPr>
      </w:pPr>
      <w:r>
        <w:rPr>
          <w:rFonts w:ascii="Arial" w:cs="Arial" w:eastAsia="Arial" w:hAnsi="Arial"/>
          <w:sz w:val="13"/>
          <w:szCs w:val="13"/>
          <w:color w:val="auto"/>
        </w:rPr>
        <w:t>During the six months ended June 30, 2024, we completed acquisitions with purchase prices aggregating $201.8 million, primarily associated with the newly formed joint venture at 285, 299, 307, and 345 Dorchester Avenue in our Seaport Innovation District submarket. Refer to Note 4 – “Consolidated and unconsolidated real estate joint ventures” to our unaudited consolidated financial statements for additional details.</w:t>
      </w:r>
    </w:p>
    <w:p>
      <w:pPr>
        <w:spacing w:after="0" w:line="139" w:lineRule="exact"/>
        <w:rPr>
          <w:sz w:val="20"/>
          <w:szCs w:val="20"/>
          <w:color w:val="auto"/>
        </w:rPr>
      </w:pPr>
    </w:p>
    <w:p>
      <w:pPr>
        <w:ind w:left="640" w:right="699" w:firstLine="516"/>
        <w:spacing w:after="0" w:line="253" w:lineRule="auto"/>
        <w:rPr>
          <w:sz w:val="20"/>
          <w:szCs w:val="20"/>
          <w:color w:val="auto"/>
        </w:rPr>
      </w:pPr>
      <w:r>
        <w:rPr>
          <w:rFonts w:ascii="Arial" w:cs="Arial" w:eastAsia="Arial" w:hAnsi="Arial"/>
          <w:sz w:val="13"/>
          <w:szCs w:val="13"/>
          <w:color w:val="auto"/>
        </w:rPr>
        <w:t>Based upon our evaluation of each acquisition, we determined that substantially all of the fair value related to each acquisition was concentrated in a single identifiable asset or a group of similar identifiable assets or was associated with a land parcel with no operations. Accordingly, each transaction did not meet the definition of a business and therefore was accounted for as an asset acquisition. In each of these transactions, we allocated the total consideration for each acquisition to the individual assets and liabilities acquired on a relative fair value basis.</w:t>
      </w:r>
    </w:p>
    <w:p>
      <w:pPr>
        <w:spacing w:after="0" w:line="136"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00497F"/>
        </w:rPr>
        <w:t>Sales of real estate assets and impairment charges</w:t>
      </w:r>
    </w:p>
    <w:p>
      <w:pPr>
        <w:spacing w:after="0" w:line="162" w:lineRule="exact"/>
        <w:rPr>
          <w:sz w:val="20"/>
          <w:szCs w:val="20"/>
          <w:color w:val="auto"/>
        </w:rPr>
      </w:pPr>
    </w:p>
    <w:p>
      <w:pPr>
        <w:ind w:left="640" w:right="839" w:firstLine="516"/>
        <w:spacing w:after="0" w:line="272" w:lineRule="auto"/>
        <w:rPr>
          <w:sz w:val="20"/>
          <w:szCs w:val="20"/>
          <w:color w:val="auto"/>
        </w:rPr>
      </w:pPr>
      <w:r>
        <w:rPr>
          <w:rFonts w:ascii="Arial" w:cs="Arial" w:eastAsia="Arial" w:hAnsi="Arial"/>
          <w:sz w:val="13"/>
          <w:szCs w:val="13"/>
          <w:color w:val="auto"/>
        </w:rPr>
        <w:t>Our completed dispositions of and sales of partial interests in real estate assets during the six months ended June 30, 2024 consisted of the following (dollars in thousands):</w:t>
      </w:r>
    </w:p>
    <w:p>
      <w:pPr>
        <w:spacing w:after="0" w:line="65" w:lineRule="exact"/>
        <w:rPr>
          <w:sz w:val="20"/>
          <w:szCs w:val="20"/>
          <w:color w:val="auto"/>
        </w:rPr>
      </w:pPr>
    </w:p>
    <w:tbl>
      <w:tblPr>
        <w:tblLayout w:type="fixed"/>
        <w:tblInd w:w="640" w:type="dxa"/>
        <w:tblCellMar>
          <w:top w:w="0" w:type="dxa"/>
          <w:left w:w="0" w:type="dxa"/>
          <w:bottom w:w="0" w:type="dxa"/>
          <w:right w:w="0" w:type="dxa"/>
        </w:tblCellMar>
      </w:tblPr>
      <w:tr>
        <w:trPr>
          <w:trHeight w:val="126"/>
        </w:trPr>
        <w:tc>
          <w:tcPr>
            <w:tcW w:w="2660" w:type="dxa"/>
            <w:vAlign w:val="bottom"/>
            <w:vMerge w:val="restart"/>
          </w:tcPr>
          <w:p>
            <w:pPr>
              <w:ind w:left="40"/>
              <w:spacing w:after="0"/>
              <w:rPr>
                <w:sz w:val="20"/>
                <w:szCs w:val="20"/>
                <w:color w:val="auto"/>
              </w:rPr>
            </w:pPr>
            <w:r>
              <w:rPr>
                <w:rFonts w:ascii="Arial" w:cs="Arial" w:eastAsia="Arial" w:hAnsi="Arial"/>
                <w:sz w:val="11"/>
                <w:szCs w:val="11"/>
                <w:color w:val="auto"/>
              </w:rPr>
              <w:t>Property</w:t>
            </w:r>
          </w:p>
        </w:tc>
        <w:tc>
          <w:tcPr>
            <w:tcW w:w="40" w:type="dxa"/>
            <w:vAlign w:val="bottom"/>
            <w:vMerge w:val="restart"/>
          </w:tcPr>
          <w:p>
            <w:pPr>
              <w:spacing w:after="0"/>
              <w:rPr>
                <w:sz w:val="10"/>
                <w:szCs w:val="10"/>
                <w:color w:val="auto"/>
              </w:rPr>
            </w:pPr>
          </w:p>
        </w:tc>
        <w:tc>
          <w:tcPr>
            <w:tcW w:w="1680" w:type="dxa"/>
            <w:vAlign w:val="bottom"/>
            <w:vMerge w:val="restart"/>
          </w:tcPr>
          <w:p>
            <w:pPr>
              <w:ind w:left="380"/>
              <w:spacing w:after="0"/>
              <w:rPr>
                <w:sz w:val="20"/>
                <w:szCs w:val="20"/>
                <w:color w:val="auto"/>
              </w:rPr>
            </w:pPr>
            <w:r>
              <w:rPr>
                <w:rFonts w:ascii="Arial" w:cs="Arial" w:eastAsia="Arial" w:hAnsi="Arial"/>
                <w:sz w:val="11"/>
                <w:szCs w:val="11"/>
                <w:color w:val="auto"/>
              </w:rPr>
              <w:t>Submarket/Market</w:t>
            </w:r>
          </w:p>
        </w:tc>
        <w:tc>
          <w:tcPr>
            <w:tcW w:w="60" w:type="dxa"/>
            <w:vAlign w:val="bottom"/>
            <w:vMerge w:val="restart"/>
          </w:tcPr>
          <w:p>
            <w:pPr>
              <w:spacing w:after="0"/>
              <w:rPr>
                <w:sz w:val="10"/>
                <w:szCs w:val="10"/>
                <w:color w:val="auto"/>
              </w:rPr>
            </w:pPr>
          </w:p>
        </w:tc>
        <w:tc>
          <w:tcPr>
            <w:tcW w:w="580" w:type="dxa"/>
            <w:vAlign w:val="bottom"/>
            <w:gridSpan w:val="2"/>
          </w:tcPr>
          <w:p>
            <w:pPr>
              <w:jc w:val="center"/>
              <w:ind w:right="60"/>
              <w:spacing w:after="0"/>
              <w:rPr>
                <w:sz w:val="20"/>
                <w:szCs w:val="20"/>
                <w:color w:val="auto"/>
              </w:rPr>
            </w:pPr>
            <w:r>
              <w:rPr>
                <w:rFonts w:ascii="Arial" w:cs="Arial" w:eastAsia="Arial" w:hAnsi="Arial"/>
                <w:sz w:val="11"/>
                <w:szCs w:val="11"/>
                <w:color w:val="auto"/>
              </w:rPr>
              <w:t>Date of</w:t>
            </w:r>
          </w:p>
        </w:tc>
        <w:tc>
          <w:tcPr>
            <w:tcW w:w="500" w:type="dxa"/>
            <w:vAlign w:val="bottom"/>
            <w:gridSpan w:val="2"/>
          </w:tcPr>
          <w:p>
            <w:pPr>
              <w:jc w:val="right"/>
              <w:ind w:right="80"/>
              <w:spacing w:after="0"/>
              <w:rPr>
                <w:sz w:val="20"/>
                <w:szCs w:val="20"/>
                <w:color w:val="auto"/>
              </w:rPr>
            </w:pPr>
            <w:r>
              <w:rPr>
                <w:rFonts w:ascii="Arial" w:cs="Arial" w:eastAsia="Arial" w:hAnsi="Arial"/>
                <w:sz w:val="11"/>
                <w:szCs w:val="11"/>
                <w:color w:val="auto"/>
              </w:rPr>
              <w:t>Interest</w:t>
            </w:r>
          </w:p>
        </w:tc>
        <w:tc>
          <w:tcPr>
            <w:tcW w:w="580" w:type="dxa"/>
            <w:vAlign w:val="bottom"/>
            <w:vMerge w:val="restart"/>
          </w:tcPr>
          <w:p>
            <w:pPr>
              <w:jc w:val="right"/>
              <w:ind w:right="123"/>
              <w:spacing w:after="0"/>
              <w:rPr>
                <w:sz w:val="20"/>
                <w:szCs w:val="20"/>
                <w:color w:val="auto"/>
              </w:rPr>
            </w:pPr>
            <w:r>
              <w:rPr>
                <w:rFonts w:ascii="Arial" w:cs="Arial" w:eastAsia="Arial" w:hAnsi="Arial"/>
                <w:sz w:val="11"/>
                <w:szCs w:val="11"/>
                <w:color w:val="auto"/>
              </w:rPr>
              <w:t>RSF</w:t>
            </w:r>
          </w:p>
        </w:tc>
        <w:tc>
          <w:tcPr>
            <w:tcW w:w="60" w:type="dxa"/>
            <w:vAlign w:val="bottom"/>
            <w:vMerge w:val="restart"/>
          </w:tcPr>
          <w:p>
            <w:pPr>
              <w:spacing w:after="0"/>
              <w:rPr>
                <w:sz w:val="10"/>
                <w:szCs w:val="10"/>
                <w:color w:val="auto"/>
              </w:rPr>
            </w:pPr>
          </w:p>
        </w:tc>
        <w:tc>
          <w:tcPr>
            <w:tcW w:w="720" w:type="dxa"/>
            <w:vAlign w:val="bottom"/>
            <w:gridSpan w:val="2"/>
            <w:vMerge w:val="restart"/>
          </w:tcPr>
          <w:p>
            <w:pPr>
              <w:jc w:val="right"/>
              <w:ind w:right="23"/>
              <w:spacing w:after="0"/>
              <w:rPr>
                <w:sz w:val="20"/>
                <w:szCs w:val="20"/>
                <w:color w:val="auto"/>
              </w:rPr>
            </w:pPr>
            <w:r>
              <w:rPr>
                <w:rFonts w:ascii="Arial" w:cs="Arial" w:eastAsia="Arial" w:hAnsi="Arial"/>
                <w:sz w:val="11"/>
                <w:szCs w:val="11"/>
                <w:color w:val="auto"/>
              </w:rPr>
              <w:t>Sales Price</w:t>
            </w:r>
          </w:p>
        </w:tc>
        <w:tc>
          <w:tcPr>
            <w:tcW w:w="40" w:type="dxa"/>
            <w:vAlign w:val="bottom"/>
            <w:vMerge w:val="restart"/>
          </w:tcPr>
          <w:p>
            <w:pPr>
              <w:spacing w:after="0"/>
              <w:rPr>
                <w:sz w:val="10"/>
                <w:szCs w:val="10"/>
                <w:color w:val="auto"/>
              </w:rPr>
            </w:pPr>
          </w:p>
        </w:tc>
        <w:tc>
          <w:tcPr>
            <w:tcW w:w="800" w:type="dxa"/>
            <w:vAlign w:val="bottom"/>
            <w:gridSpan w:val="2"/>
          </w:tcPr>
          <w:p>
            <w:pPr>
              <w:ind w:left="40"/>
              <w:spacing w:after="0"/>
              <w:rPr>
                <w:sz w:val="20"/>
                <w:szCs w:val="20"/>
                <w:color w:val="auto"/>
              </w:rPr>
            </w:pPr>
            <w:r>
              <w:rPr>
                <w:rFonts w:ascii="Arial" w:cs="Arial" w:eastAsia="Arial" w:hAnsi="Arial"/>
                <w:sz w:val="11"/>
                <w:szCs w:val="11"/>
                <w:color w:val="auto"/>
              </w:rPr>
              <w:t>Gain on Sales</w:t>
            </w:r>
          </w:p>
        </w:tc>
        <w:tc>
          <w:tcPr>
            <w:tcW w:w="0" w:type="dxa"/>
            <w:vAlign w:val="bottom"/>
          </w:tcPr>
          <w:p>
            <w:pPr>
              <w:spacing w:after="0"/>
              <w:rPr>
                <w:sz w:val="1"/>
                <w:szCs w:val="1"/>
                <w:color w:val="auto"/>
              </w:rPr>
            </w:pPr>
          </w:p>
        </w:tc>
      </w:tr>
      <w:tr>
        <w:trPr>
          <w:trHeight w:val="146"/>
        </w:trPr>
        <w:tc>
          <w:tcPr>
            <w:tcW w:w="2660" w:type="dxa"/>
            <w:vAlign w:val="bottom"/>
            <w:tcBorders>
              <w:bottom w:val="single" w:sz="8" w:color="auto"/>
            </w:tcBorders>
            <w:vMerge w:val="continue"/>
          </w:tcPr>
          <w:p>
            <w:pPr>
              <w:spacing w:after="0"/>
              <w:rPr>
                <w:sz w:val="12"/>
                <w:szCs w:val="12"/>
                <w:color w:val="auto"/>
              </w:rPr>
            </w:pPr>
          </w:p>
        </w:tc>
        <w:tc>
          <w:tcPr>
            <w:tcW w:w="40" w:type="dxa"/>
            <w:vAlign w:val="bottom"/>
            <w:tcBorders>
              <w:bottom w:val="single" w:sz="8" w:color="CCEEFF"/>
            </w:tcBorders>
            <w:vMerge w:val="continue"/>
          </w:tcPr>
          <w:p>
            <w:pPr>
              <w:spacing w:after="0"/>
              <w:rPr>
                <w:sz w:val="12"/>
                <w:szCs w:val="12"/>
                <w:color w:val="auto"/>
              </w:rPr>
            </w:pPr>
          </w:p>
        </w:tc>
        <w:tc>
          <w:tcPr>
            <w:tcW w:w="1680" w:type="dxa"/>
            <w:vAlign w:val="bottom"/>
            <w:tcBorders>
              <w:bottom w:val="single" w:sz="8" w:color="auto"/>
            </w:tcBorders>
            <w:vMerge w:val="continue"/>
          </w:tcPr>
          <w:p>
            <w:pPr>
              <w:spacing w:after="0"/>
              <w:rPr>
                <w:sz w:val="12"/>
                <w:szCs w:val="12"/>
                <w:color w:val="auto"/>
              </w:rPr>
            </w:pPr>
          </w:p>
        </w:tc>
        <w:tc>
          <w:tcPr>
            <w:tcW w:w="60" w:type="dxa"/>
            <w:vAlign w:val="bottom"/>
            <w:tcBorders>
              <w:bottom w:val="single" w:sz="8" w:color="CCEEFF"/>
            </w:tcBorders>
            <w:vMerge w:val="continue"/>
          </w:tcPr>
          <w:p>
            <w:pPr>
              <w:spacing w:after="0"/>
              <w:rPr>
                <w:sz w:val="12"/>
                <w:szCs w:val="12"/>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rPr>
              <w:t>Sale</w:t>
            </w:r>
          </w:p>
        </w:tc>
        <w:tc>
          <w:tcPr>
            <w:tcW w:w="6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Sold</w:t>
            </w:r>
          </w:p>
        </w:tc>
        <w:tc>
          <w:tcPr>
            <w:tcW w:w="4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vMerge w:val="continue"/>
          </w:tcPr>
          <w:p>
            <w:pPr>
              <w:spacing w:after="0"/>
              <w:rPr>
                <w:sz w:val="12"/>
                <w:szCs w:val="12"/>
                <w:color w:val="auto"/>
              </w:rPr>
            </w:pPr>
          </w:p>
        </w:tc>
        <w:tc>
          <w:tcPr>
            <w:tcW w:w="60" w:type="dxa"/>
            <w:vAlign w:val="bottom"/>
            <w:tcBorders>
              <w:bottom w:val="single" w:sz="8" w:color="CCEEFF"/>
            </w:tcBorders>
            <w:vMerge w:val="continue"/>
          </w:tcPr>
          <w:p>
            <w:pPr>
              <w:spacing w:after="0"/>
              <w:rPr>
                <w:sz w:val="12"/>
                <w:szCs w:val="12"/>
                <w:color w:val="auto"/>
              </w:rPr>
            </w:pPr>
          </w:p>
        </w:tc>
        <w:tc>
          <w:tcPr>
            <w:tcW w:w="720" w:type="dxa"/>
            <w:vAlign w:val="bottom"/>
            <w:tcBorders>
              <w:bottom w:val="single" w:sz="8" w:color="auto"/>
            </w:tcBorders>
            <w:gridSpan w:val="2"/>
            <w:vMerge w:val="continue"/>
          </w:tcPr>
          <w:p>
            <w:pPr>
              <w:spacing w:after="0"/>
              <w:rPr>
                <w:sz w:val="12"/>
                <w:szCs w:val="12"/>
                <w:color w:val="auto"/>
              </w:rPr>
            </w:pPr>
          </w:p>
        </w:tc>
        <w:tc>
          <w:tcPr>
            <w:tcW w:w="40" w:type="dxa"/>
            <w:vAlign w:val="bottom"/>
            <w:tcBorders>
              <w:bottom w:val="single" w:sz="8" w:color="CCEEFF"/>
            </w:tcBorders>
            <w:vMerge w:val="continue"/>
          </w:tcPr>
          <w:p>
            <w:pPr>
              <w:spacing w:after="0"/>
              <w:rPr>
                <w:sz w:val="12"/>
                <w:szCs w:val="12"/>
                <w:color w:val="auto"/>
              </w:rPr>
            </w:pPr>
          </w:p>
        </w:tc>
        <w:tc>
          <w:tcPr>
            <w:tcW w:w="800" w:type="dxa"/>
            <w:vAlign w:val="bottom"/>
            <w:tcBorders>
              <w:bottom w:val="single" w:sz="8" w:color="auto"/>
            </w:tcBorders>
            <w:gridSpan w:val="2"/>
          </w:tcPr>
          <w:p>
            <w:pPr>
              <w:ind w:left="40"/>
              <w:spacing w:after="0"/>
              <w:rPr>
                <w:sz w:val="20"/>
                <w:szCs w:val="20"/>
                <w:color w:val="auto"/>
              </w:rPr>
            </w:pPr>
            <w:r>
              <w:rPr>
                <w:rFonts w:ascii="Arial" w:cs="Arial" w:eastAsia="Arial" w:hAnsi="Arial"/>
                <w:sz w:val="11"/>
                <w:szCs w:val="11"/>
                <w:color w:val="auto"/>
              </w:rPr>
              <w:t>of Real Estate</w:t>
            </w:r>
          </w:p>
        </w:tc>
        <w:tc>
          <w:tcPr>
            <w:tcW w:w="0" w:type="dxa"/>
            <w:vAlign w:val="bottom"/>
          </w:tcPr>
          <w:p>
            <w:pPr>
              <w:spacing w:after="0"/>
              <w:rPr>
                <w:sz w:val="1"/>
                <w:szCs w:val="1"/>
                <w:color w:val="auto"/>
              </w:rPr>
            </w:pPr>
          </w:p>
        </w:tc>
      </w:tr>
      <w:tr>
        <w:trPr>
          <w:trHeight w:val="163"/>
        </w:trPr>
        <w:tc>
          <w:tcPr>
            <w:tcW w:w="2700" w:type="dxa"/>
            <w:vAlign w:val="bottom"/>
            <w:gridSpan w:val="2"/>
            <w:shd w:val="clear" w:color="auto" w:fill="CCEEFF"/>
          </w:tcPr>
          <w:p>
            <w:pPr>
              <w:ind w:left="40"/>
              <w:spacing w:after="0"/>
              <w:rPr>
                <w:sz w:val="20"/>
                <w:szCs w:val="20"/>
                <w:color w:val="auto"/>
              </w:rPr>
            </w:pPr>
            <w:r>
              <w:rPr>
                <w:rFonts w:ascii="Arial" w:cs="Arial" w:eastAsia="Arial" w:hAnsi="Arial"/>
                <w:sz w:val="11"/>
                <w:szCs w:val="11"/>
                <w:i w:val="1"/>
                <w:iCs w:val="1"/>
                <w:color w:val="auto"/>
              </w:rPr>
              <w:t>Dispositions of real estate:</w:t>
            </w:r>
          </w:p>
        </w:tc>
        <w:tc>
          <w:tcPr>
            <w:tcW w:w="16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700" w:type="dxa"/>
            <w:vAlign w:val="bottom"/>
            <w:gridSpan w:val="2"/>
          </w:tcPr>
          <w:p>
            <w:pPr>
              <w:ind w:left="220"/>
              <w:spacing w:after="0" w:line="155" w:lineRule="exact"/>
              <w:rPr>
                <w:sz w:val="20"/>
                <w:szCs w:val="20"/>
                <w:color w:val="auto"/>
              </w:rPr>
            </w:pPr>
            <w:r>
              <w:rPr>
                <w:rFonts w:ascii="Arial" w:cs="Arial" w:eastAsia="Arial" w:hAnsi="Arial"/>
                <w:sz w:val="11"/>
                <w:szCs w:val="11"/>
                <w:color w:val="auto"/>
              </w:rPr>
              <w:t>99 A Street</w:t>
            </w:r>
            <w:r>
              <w:rPr>
                <w:rFonts w:ascii="Arial" w:cs="Arial" w:eastAsia="Arial" w:hAnsi="Arial"/>
                <w:sz w:val="14"/>
                <w:szCs w:val="14"/>
                <w:color w:val="auto"/>
                <w:vertAlign w:val="superscript"/>
              </w:rPr>
              <w:t>(1)</w:t>
            </w:r>
          </w:p>
        </w:tc>
        <w:tc>
          <w:tcPr>
            <w:tcW w:w="1740" w:type="dxa"/>
            <w:vAlign w:val="bottom"/>
            <w:gridSpan w:val="2"/>
          </w:tcPr>
          <w:p>
            <w:pPr>
              <w:ind w:left="40"/>
              <w:spacing w:after="0"/>
              <w:rPr>
                <w:sz w:val="20"/>
                <w:szCs w:val="20"/>
                <w:color w:val="auto"/>
              </w:rPr>
            </w:pPr>
            <w:r>
              <w:rPr>
                <w:rFonts w:ascii="Arial" w:cs="Arial" w:eastAsia="Arial" w:hAnsi="Arial"/>
                <w:sz w:val="11"/>
                <w:szCs w:val="11"/>
                <w:color w:val="auto"/>
              </w:rPr>
              <w:t>Seaport Innovation District/</w:t>
            </w:r>
          </w:p>
        </w:tc>
        <w:tc>
          <w:tcPr>
            <w:tcW w:w="520" w:type="dxa"/>
            <w:vAlign w:val="bottom"/>
          </w:tcPr>
          <w:p>
            <w:pPr>
              <w:jc w:val="center"/>
              <w:spacing w:after="0"/>
              <w:rPr>
                <w:sz w:val="20"/>
                <w:szCs w:val="20"/>
                <w:color w:val="auto"/>
              </w:rPr>
            </w:pPr>
            <w:r>
              <w:rPr>
                <w:rFonts w:ascii="Arial" w:cs="Arial" w:eastAsia="Arial" w:hAnsi="Arial"/>
                <w:sz w:val="11"/>
                <w:szCs w:val="11"/>
                <w:color w:val="auto"/>
              </w:rPr>
              <w:t>3/8/24</w:t>
            </w:r>
          </w:p>
        </w:tc>
        <w:tc>
          <w:tcPr>
            <w:tcW w:w="6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100%</w:t>
            </w:r>
          </w:p>
        </w:tc>
        <w:tc>
          <w:tcPr>
            <w:tcW w:w="40" w:type="dxa"/>
            <w:vAlign w:val="bottom"/>
          </w:tcPr>
          <w:p>
            <w:pPr>
              <w:spacing w:after="0"/>
              <w:rPr>
                <w:sz w:val="13"/>
                <w:szCs w:val="13"/>
                <w:color w:val="auto"/>
              </w:rPr>
            </w:pPr>
          </w:p>
        </w:tc>
        <w:tc>
          <w:tcPr>
            <w:tcW w:w="580" w:type="dxa"/>
            <w:vAlign w:val="bottom"/>
          </w:tcPr>
          <w:p>
            <w:pPr>
              <w:jc w:val="right"/>
              <w:ind w:right="3"/>
              <w:spacing w:after="0"/>
              <w:rPr>
                <w:sz w:val="20"/>
                <w:szCs w:val="20"/>
                <w:color w:val="auto"/>
              </w:rPr>
            </w:pPr>
            <w:r>
              <w:rPr>
                <w:rFonts w:ascii="Arial" w:cs="Arial" w:eastAsia="Arial" w:hAnsi="Arial"/>
                <w:sz w:val="11"/>
                <w:szCs w:val="11"/>
                <w:color w:val="auto"/>
              </w:rPr>
              <w:t>235,000</w:t>
            </w:r>
          </w:p>
        </w:tc>
        <w:tc>
          <w:tcPr>
            <w:tcW w:w="60" w:type="dxa"/>
            <w:vAlign w:val="bottom"/>
          </w:tcPr>
          <w:p>
            <w:pPr>
              <w:spacing w:after="0"/>
              <w:rPr>
                <w:sz w:val="13"/>
                <w:szCs w:val="13"/>
                <w:color w:val="auto"/>
              </w:rPr>
            </w:pPr>
          </w:p>
        </w:tc>
        <w:tc>
          <w:tcPr>
            <w:tcW w:w="200" w:type="dxa"/>
            <w:vAlign w:val="bottom"/>
          </w:tcPr>
          <w:p>
            <w:pPr>
              <w:jc w:val="right"/>
              <w:ind w:right="43"/>
              <w:spacing w:after="0"/>
              <w:rPr>
                <w:sz w:val="20"/>
                <w:szCs w:val="20"/>
                <w:color w:val="auto"/>
              </w:rPr>
            </w:pPr>
            <w:r>
              <w:rPr>
                <w:rFonts w:ascii="Arial" w:cs="Arial" w:eastAsia="Arial" w:hAnsi="Arial"/>
                <w:sz w:val="11"/>
                <w:szCs w:val="11"/>
                <w:color w:val="auto"/>
              </w:rPr>
              <w:t>$</w:t>
            </w:r>
          </w:p>
        </w:tc>
        <w:tc>
          <w:tcPr>
            <w:tcW w:w="520" w:type="dxa"/>
            <w:vAlign w:val="bottom"/>
          </w:tcPr>
          <w:p>
            <w:pPr>
              <w:jc w:val="right"/>
              <w:ind w:right="3"/>
              <w:spacing w:after="0"/>
              <w:rPr>
                <w:sz w:val="20"/>
                <w:szCs w:val="20"/>
                <w:color w:val="auto"/>
              </w:rPr>
            </w:pPr>
            <w:r>
              <w:rPr>
                <w:rFonts w:ascii="Arial" w:cs="Arial" w:eastAsia="Arial" w:hAnsi="Arial"/>
                <w:sz w:val="11"/>
                <w:szCs w:val="11"/>
                <w:color w:val="auto"/>
              </w:rPr>
              <w:t>13,350</w:t>
            </w:r>
          </w:p>
        </w:tc>
        <w:tc>
          <w:tcPr>
            <w:tcW w:w="40" w:type="dxa"/>
            <w:vAlign w:val="bottom"/>
          </w:tcPr>
          <w:p>
            <w:pPr>
              <w:spacing w:after="0"/>
              <w:rPr>
                <w:sz w:val="13"/>
                <w:szCs w:val="13"/>
                <w:color w:val="auto"/>
              </w:rPr>
            </w:pPr>
          </w:p>
        </w:tc>
        <w:tc>
          <w:tcPr>
            <w:tcW w:w="320" w:type="dxa"/>
            <w:vAlign w:val="bottom"/>
          </w:tcPr>
          <w:p>
            <w:pPr>
              <w:ind w:left="40"/>
              <w:spacing w:after="0"/>
              <w:rPr>
                <w:sz w:val="20"/>
                <w:szCs w:val="20"/>
                <w:color w:val="auto"/>
              </w:rPr>
            </w:pPr>
            <w:r>
              <w:rPr>
                <w:rFonts w:ascii="Arial" w:cs="Arial" w:eastAsia="Arial" w:hAnsi="Arial"/>
                <w:sz w:val="11"/>
                <w:szCs w:val="11"/>
                <w:color w:val="auto"/>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3"/>
        </w:trPr>
        <w:tc>
          <w:tcPr>
            <w:tcW w:w="2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740" w:type="dxa"/>
            <w:vAlign w:val="bottom"/>
            <w:gridSpan w:val="2"/>
          </w:tcPr>
          <w:p>
            <w:pPr>
              <w:ind w:left="180"/>
              <w:spacing w:after="0"/>
              <w:rPr>
                <w:sz w:val="20"/>
                <w:szCs w:val="20"/>
                <w:color w:val="auto"/>
              </w:rPr>
            </w:pPr>
            <w:r>
              <w:rPr>
                <w:rFonts w:ascii="Arial" w:cs="Arial" w:eastAsia="Arial" w:hAnsi="Arial"/>
                <w:sz w:val="11"/>
                <w:szCs w:val="11"/>
                <w:color w:val="auto"/>
              </w:rPr>
              <w:t>Greater Boston</w:t>
            </w: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2700" w:type="dxa"/>
            <w:vAlign w:val="bottom"/>
            <w:gridSpan w:val="2"/>
            <w:shd w:val="clear" w:color="auto" w:fill="CCEEFF"/>
          </w:tcPr>
          <w:p>
            <w:pPr>
              <w:ind w:left="220"/>
              <w:spacing w:after="0"/>
              <w:rPr>
                <w:sz w:val="20"/>
                <w:szCs w:val="20"/>
                <w:color w:val="auto"/>
              </w:rPr>
            </w:pPr>
            <w:r>
              <w:rPr>
                <w:rFonts w:ascii="Arial" w:cs="Arial" w:eastAsia="Arial" w:hAnsi="Arial"/>
                <w:sz w:val="11"/>
                <w:szCs w:val="11"/>
                <w:color w:val="auto"/>
              </w:rPr>
              <w:t>Other</w:t>
            </w:r>
          </w:p>
        </w:tc>
        <w:tc>
          <w:tcPr>
            <w:tcW w:w="1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3,863</w:t>
            </w:r>
          </w:p>
        </w:tc>
        <w:tc>
          <w:tcPr>
            <w:tcW w:w="4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392</w:t>
            </w:r>
          </w:p>
        </w:tc>
        <w:tc>
          <w:tcPr>
            <w:tcW w:w="0" w:type="dxa"/>
            <w:vAlign w:val="bottom"/>
          </w:tcPr>
          <w:p>
            <w:pPr>
              <w:spacing w:after="0"/>
              <w:rPr>
                <w:sz w:val="1"/>
                <w:szCs w:val="1"/>
                <w:color w:val="auto"/>
              </w:rPr>
            </w:pPr>
          </w:p>
        </w:tc>
      </w:tr>
      <w:tr>
        <w:trPr>
          <w:trHeight w:val="130"/>
        </w:trPr>
        <w:tc>
          <w:tcPr>
            <w:tcW w:w="2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Borders>
              <w:bottom w:val="single" w:sz="8" w:color="auto"/>
            </w:tcBorders>
          </w:tcPr>
          <w:p>
            <w:pPr>
              <w:jc w:val="right"/>
              <w:ind w:right="43"/>
              <w:spacing w:after="0" w:line="120" w:lineRule="exact"/>
              <w:rPr>
                <w:sz w:val="20"/>
                <w:szCs w:val="20"/>
                <w:color w:val="auto"/>
              </w:rPr>
            </w:pPr>
            <w:r>
              <w:rPr>
                <w:rFonts w:ascii="Arial" w:cs="Arial" w:eastAsia="Arial" w:hAnsi="Arial"/>
                <w:sz w:val="11"/>
                <w:szCs w:val="11"/>
                <w:color w:val="auto"/>
              </w:rPr>
              <w:t>$</w:t>
            </w:r>
          </w:p>
        </w:tc>
        <w:tc>
          <w:tcPr>
            <w:tcW w:w="520" w:type="dxa"/>
            <w:vAlign w:val="bottom"/>
            <w:tcBorders>
              <w:bottom w:val="single" w:sz="8" w:color="auto"/>
            </w:tcBorders>
          </w:tcPr>
          <w:p>
            <w:pPr>
              <w:jc w:val="right"/>
              <w:ind w:right="3"/>
              <w:spacing w:after="0" w:line="120" w:lineRule="exact"/>
              <w:rPr>
                <w:sz w:val="20"/>
                <w:szCs w:val="20"/>
                <w:color w:val="auto"/>
              </w:rPr>
            </w:pPr>
            <w:r>
              <w:rPr>
                <w:rFonts w:ascii="Arial" w:cs="Arial" w:eastAsia="Arial" w:hAnsi="Arial"/>
                <w:sz w:val="11"/>
                <w:szCs w:val="11"/>
                <w:color w:val="auto"/>
              </w:rPr>
              <w:t>17,213</w:t>
            </w:r>
          </w:p>
        </w:tc>
        <w:tc>
          <w:tcPr>
            <w:tcW w:w="40" w:type="dxa"/>
            <w:vAlign w:val="bottom"/>
          </w:tcPr>
          <w:p>
            <w:pPr>
              <w:spacing w:after="0"/>
              <w:rPr>
                <w:sz w:val="11"/>
                <w:szCs w:val="11"/>
                <w:color w:val="auto"/>
              </w:rPr>
            </w:pPr>
          </w:p>
        </w:tc>
        <w:tc>
          <w:tcPr>
            <w:tcW w:w="320" w:type="dxa"/>
            <w:vAlign w:val="bottom"/>
            <w:tcBorders>
              <w:bottom w:val="single" w:sz="8" w:color="auto"/>
            </w:tcBorders>
          </w:tcPr>
          <w:p>
            <w:pPr>
              <w:ind w:left="40"/>
              <w:spacing w:after="0" w:line="120" w:lineRule="exact"/>
              <w:rPr>
                <w:sz w:val="20"/>
                <w:szCs w:val="20"/>
                <w:color w:val="auto"/>
              </w:rPr>
            </w:pPr>
            <w:r>
              <w:rPr>
                <w:rFonts w:ascii="Arial" w:cs="Arial" w:eastAsia="Arial" w:hAnsi="Arial"/>
                <w:sz w:val="11"/>
                <w:szCs w:val="11"/>
                <w:color w:val="auto"/>
              </w:rPr>
              <w:t>$</w:t>
            </w:r>
          </w:p>
        </w:tc>
        <w:tc>
          <w:tcPr>
            <w:tcW w:w="480" w:type="dxa"/>
            <w:vAlign w:val="bottom"/>
            <w:tcBorders>
              <w:bottom w:val="single" w:sz="8" w:color="auto"/>
            </w:tcBorders>
          </w:tcPr>
          <w:p>
            <w:pPr>
              <w:jc w:val="right"/>
              <w:spacing w:after="0" w:line="120" w:lineRule="exact"/>
              <w:rPr>
                <w:sz w:val="20"/>
                <w:szCs w:val="20"/>
                <w:color w:val="auto"/>
              </w:rPr>
            </w:pPr>
            <w:r>
              <w:rPr>
                <w:rFonts w:ascii="Arial" w:cs="Arial" w:eastAsia="Arial" w:hAnsi="Arial"/>
                <w:sz w:val="11"/>
                <w:szCs w:val="11"/>
                <w:color w:val="auto"/>
              </w:rPr>
              <w:t>392</w:t>
            </w: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0" w:lineRule="exact"/>
        <w:rPr>
          <w:sz w:val="20"/>
          <w:szCs w:val="20"/>
          <w:color w:val="auto"/>
        </w:rPr>
      </w:pPr>
    </w:p>
    <w:p>
      <w:pPr>
        <w:ind w:left="900" w:right="859" w:hanging="262"/>
        <w:spacing w:after="0" w:line="305" w:lineRule="auto"/>
        <w:tabs>
          <w:tab w:leader="none" w:pos="900" w:val="left"/>
        </w:tabs>
        <w:numPr>
          <w:ilvl w:val="0"/>
          <w:numId w:val="32"/>
        </w:numPr>
        <w:rPr>
          <w:rFonts w:ascii="Arial" w:cs="Arial" w:eastAsia="Arial" w:hAnsi="Arial"/>
          <w:sz w:val="10"/>
          <w:szCs w:val="10"/>
          <w:color w:val="auto"/>
          <w:highlight w:val="white"/>
        </w:rPr>
      </w:pPr>
      <w:r>
        <w:rPr>
          <w:rFonts w:ascii="Arial" w:cs="Arial" w:eastAsia="Arial" w:hAnsi="Arial"/>
          <w:sz w:val="10"/>
          <w:szCs w:val="10"/>
          <w:color w:val="auto"/>
        </w:rPr>
        <w:t>During the three months ended December 31, 2023, we recognized a real estate impairment charge of $36.1 million to reduce our investment to its current fair value less costs to sell. We completed the sale during the three months ended March 31, 2024.</w:t>
      </w:r>
    </w:p>
    <w:p>
      <w:pPr>
        <w:spacing w:after="0" w:line="109" w:lineRule="exact"/>
        <w:rPr>
          <w:sz w:val="20"/>
          <w:szCs w:val="20"/>
          <w:color w:val="auto"/>
        </w:rPr>
      </w:pPr>
    </w:p>
    <w:p>
      <w:pPr>
        <w:ind w:left="640" w:right="859" w:firstLine="516"/>
        <w:spacing w:after="0" w:line="289" w:lineRule="auto"/>
        <w:rPr>
          <w:sz w:val="20"/>
          <w:szCs w:val="20"/>
          <w:color w:val="auto"/>
        </w:rPr>
      </w:pPr>
      <w:r>
        <w:rPr>
          <w:rFonts w:ascii="Arial" w:cs="Arial" w:eastAsia="Arial" w:hAnsi="Arial"/>
          <w:sz w:val="13"/>
          <w:szCs w:val="13"/>
          <w:color w:val="auto"/>
        </w:rPr>
        <w:t>In July 2024, we completed the disposition of one office building in our New York City submarket aggregating 349,947 RSF, which was classified as held for sale as of June 30, 2024, for a sales price of $60.0 million and recognized no gain or loss.</w:t>
      </w:r>
    </w:p>
    <w:p>
      <w:pPr>
        <w:spacing w:after="0" w:line="102" w:lineRule="exact"/>
        <w:rPr>
          <w:sz w:val="20"/>
          <w:szCs w:val="20"/>
          <w:color w:val="auto"/>
        </w:rPr>
      </w:pPr>
    </w:p>
    <w:p>
      <w:pPr>
        <w:ind w:left="640"/>
        <w:spacing w:after="0"/>
        <w:rPr>
          <w:sz w:val="20"/>
          <w:szCs w:val="20"/>
          <w:color w:val="auto"/>
        </w:rPr>
      </w:pPr>
      <w:r>
        <w:rPr>
          <w:rFonts w:ascii="Arial" w:cs="Arial" w:eastAsia="Arial" w:hAnsi="Arial"/>
          <w:sz w:val="13"/>
          <w:szCs w:val="13"/>
          <w:u w:val="single" w:color="auto"/>
          <w:color w:val="auto"/>
        </w:rPr>
        <w:t>Impairment charges</w:t>
      </w:r>
    </w:p>
    <w:p>
      <w:pPr>
        <w:spacing w:after="0" w:line="162" w:lineRule="exact"/>
        <w:rPr>
          <w:sz w:val="20"/>
          <w:szCs w:val="20"/>
          <w:color w:val="auto"/>
        </w:rPr>
      </w:pPr>
    </w:p>
    <w:p>
      <w:pPr>
        <w:ind w:left="640" w:right="719" w:firstLine="516"/>
        <w:spacing w:after="0" w:line="255" w:lineRule="auto"/>
        <w:rPr>
          <w:sz w:val="20"/>
          <w:szCs w:val="20"/>
          <w:color w:val="auto"/>
        </w:rPr>
      </w:pPr>
      <w:r>
        <w:rPr>
          <w:rFonts w:ascii="Arial" w:cs="Arial" w:eastAsia="Arial" w:hAnsi="Arial"/>
          <w:sz w:val="13"/>
          <w:szCs w:val="13"/>
          <w:color w:val="auto"/>
        </w:rPr>
        <w:t>In 2020 and 2022, we executed purchase agreements for two potential acquisitions in our Greater Boston market, which aggregated 1.4 million of future development RSF. The total purchase price aggregated $366.8 million, and we initially expected to close these acquisitions after 2024. Our intent for each site included the demolition of existing buildings upon expiration of the existing in-place leases and the development of life science properties. During the three months ended June 30, 2024, we decided to no longer proceed with these acquisitions as a result of the current macroeconomic environment that negatively impacted the financial outlooks for these projects. As a result, we recognized impairment charges aggregating $30.8 million, primarily consisting of the pre-acquisition costs related to these potential acquisitions.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188595</wp:posOffset>
            </wp:positionV>
            <wp:extent cx="5584190" cy="32766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584190" cy="3276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900" w:hanging="262"/>
        <w:spacing w:after="0"/>
        <w:tabs>
          <w:tab w:leader="none" w:pos="900" w:val="left"/>
        </w:tabs>
        <w:numPr>
          <w:ilvl w:val="0"/>
          <w:numId w:val="33"/>
        </w:numPr>
        <w:rPr>
          <w:rFonts w:ascii="Arial" w:cs="Arial" w:eastAsia="Arial" w:hAnsi="Arial"/>
          <w:sz w:val="13"/>
          <w:szCs w:val="13"/>
          <w:b w:val="1"/>
          <w:bCs w:val="1"/>
          <w:color w:val="00497F"/>
        </w:rPr>
      </w:pPr>
      <w:r>
        <w:rPr>
          <w:rFonts w:ascii="Arial" w:cs="Arial" w:eastAsia="Arial" w:hAnsi="Arial"/>
          <w:sz w:val="13"/>
          <w:szCs w:val="13"/>
          <w:b w:val="1"/>
          <w:bCs w:val="1"/>
          <w:color w:val="00497F"/>
        </w:rPr>
        <w:t>CONSOLIDATED AND UNCONSOLIDATED REAL ESTATE JOINT VENTURES</w:t>
      </w:r>
    </w:p>
    <w:p>
      <w:pPr>
        <w:spacing w:after="0" w:line="140" w:lineRule="exact"/>
        <w:rPr>
          <w:sz w:val="20"/>
          <w:szCs w:val="20"/>
          <w:color w:val="auto"/>
        </w:rPr>
      </w:pPr>
    </w:p>
    <w:p>
      <w:pPr>
        <w:ind w:left="640" w:right="859" w:firstLine="516"/>
        <w:spacing w:after="0" w:line="314" w:lineRule="auto"/>
        <w:rPr>
          <w:sz w:val="20"/>
          <w:szCs w:val="20"/>
          <w:color w:val="auto"/>
        </w:rPr>
      </w:pPr>
      <w:r>
        <w:rPr>
          <w:rFonts w:ascii="Arial" w:cs="Arial" w:eastAsia="Arial" w:hAnsi="Arial"/>
          <w:sz w:val="12"/>
          <w:szCs w:val="12"/>
          <w:color w:val="auto"/>
        </w:rPr>
        <w:t>From time to time, we enter into joint venture agreements through which we own a partial interest in real estate entities that own, develop, and operate real estate properties. As of June 30, 2024, our real estate joint ventures held the following properties:</w:t>
      </w:r>
    </w:p>
    <w:tbl>
      <w:tblPr>
        <w:tblLayout w:type="fixed"/>
        <w:tblInd w:w="680" w:type="dxa"/>
        <w:tblCellMar>
          <w:top w:w="0" w:type="dxa"/>
          <w:left w:w="0" w:type="dxa"/>
          <w:bottom w:w="0" w:type="dxa"/>
          <w:right w:w="0" w:type="dxa"/>
        </w:tblCellMar>
      </w:tblPr>
      <w:tr>
        <w:trPr>
          <w:trHeight w:val="143"/>
        </w:trPr>
        <w:tc>
          <w:tcPr>
            <w:tcW w:w="3120" w:type="dxa"/>
            <w:vAlign w:val="bottom"/>
            <w:vMerge w:val="restart"/>
          </w:tcPr>
          <w:p>
            <w:pPr>
              <w:ind w:left="1400"/>
              <w:spacing w:after="0"/>
              <w:rPr>
                <w:sz w:val="20"/>
                <w:szCs w:val="20"/>
                <w:color w:val="auto"/>
              </w:rPr>
            </w:pPr>
            <w:r>
              <w:rPr>
                <w:rFonts w:ascii="Arial" w:cs="Arial" w:eastAsia="Arial" w:hAnsi="Arial"/>
                <w:sz w:val="13"/>
                <w:szCs w:val="13"/>
                <w:color w:val="auto"/>
              </w:rPr>
              <w:t>Property</w:t>
            </w:r>
          </w:p>
        </w:tc>
        <w:tc>
          <w:tcPr>
            <w:tcW w:w="1660" w:type="dxa"/>
            <w:vAlign w:val="bottom"/>
            <w:vMerge w:val="restart"/>
          </w:tcPr>
          <w:p>
            <w:pPr>
              <w:ind w:left="680"/>
              <w:spacing w:after="0"/>
              <w:rPr>
                <w:sz w:val="20"/>
                <w:szCs w:val="20"/>
                <w:color w:val="auto"/>
              </w:rPr>
            </w:pPr>
            <w:r>
              <w:rPr>
                <w:rFonts w:ascii="Arial" w:cs="Arial" w:eastAsia="Arial" w:hAnsi="Arial"/>
                <w:sz w:val="13"/>
                <w:szCs w:val="13"/>
                <w:color w:val="auto"/>
              </w:rPr>
              <w:t>Market</w:t>
            </w:r>
          </w:p>
        </w:tc>
        <w:tc>
          <w:tcPr>
            <w:tcW w:w="1760" w:type="dxa"/>
            <w:vAlign w:val="bottom"/>
            <w:vMerge w:val="restart"/>
          </w:tcPr>
          <w:p>
            <w:pPr>
              <w:ind w:left="580"/>
              <w:spacing w:after="0"/>
              <w:rPr>
                <w:sz w:val="20"/>
                <w:szCs w:val="20"/>
                <w:color w:val="auto"/>
              </w:rPr>
            </w:pPr>
            <w:r>
              <w:rPr>
                <w:rFonts w:ascii="Arial" w:cs="Arial" w:eastAsia="Arial" w:hAnsi="Arial"/>
                <w:sz w:val="13"/>
                <w:szCs w:val="13"/>
                <w:color w:val="auto"/>
              </w:rPr>
              <w:t>Submarket</w:t>
            </w:r>
          </w:p>
        </w:tc>
        <w:tc>
          <w:tcPr>
            <w:tcW w:w="1020" w:type="dxa"/>
            <w:vAlign w:val="bottom"/>
            <w:gridSpan w:val="2"/>
          </w:tcPr>
          <w:p>
            <w:pPr>
              <w:jc w:val="center"/>
              <w:ind w:left="96"/>
              <w:spacing w:after="0" w:line="144" w:lineRule="exact"/>
              <w:rPr>
                <w:sz w:val="20"/>
                <w:szCs w:val="20"/>
                <w:color w:val="auto"/>
              </w:rPr>
            </w:pPr>
            <w:r>
              <w:rPr>
                <w:rFonts w:ascii="Arial" w:cs="Arial" w:eastAsia="Arial" w:hAnsi="Arial"/>
                <w:sz w:val="13"/>
                <w:szCs w:val="13"/>
                <w:color w:val="auto"/>
                <w:w w:val="98"/>
              </w:rPr>
              <w:t>Our Ownership</w:t>
            </w:r>
          </w:p>
        </w:tc>
        <w:tc>
          <w:tcPr>
            <w:tcW w:w="0" w:type="dxa"/>
            <w:vAlign w:val="bottom"/>
          </w:tcPr>
          <w:p>
            <w:pPr>
              <w:spacing w:after="0"/>
              <w:rPr>
                <w:sz w:val="1"/>
                <w:szCs w:val="1"/>
                <w:color w:val="auto"/>
              </w:rPr>
            </w:pPr>
          </w:p>
        </w:tc>
      </w:tr>
      <w:tr>
        <w:trPr>
          <w:trHeight w:val="197"/>
        </w:trPr>
        <w:tc>
          <w:tcPr>
            <w:tcW w:w="3120" w:type="dxa"/>
            <w:vAlign w:val="bottom"/>
            <w:vMerge w:val="continue"/>
          </w:tcPr>
          <w:p>
            <w:pPr>
              <w:spacing w:after="0"/>
              <w:rPr>
                <w:sz w:val="17"/>
                <w:szCs w:val="17"/>
                <w:color w:val="auto"/>
              </w:rPr>
            </w:pPr>
          </w:p>
        </w:tc>
        <w:tc>
          <w:tcPr>
            <w:tcW w:w="1660" w:type="dxa"/>
            <w:vAlign w:val="bottom"/>
            <w:vMerge w:val="continue"/>
          </w:tcPr>
          <w:p>
            <w:pPr>
              <w:spacing w:after="0"/>
              <w:rPr>
                <w:sz w:val="17"/>
                <w:szCs w:val="17"/>
                <w:color w:val="auto"/>
              </w:rPr>
            </w:pPr>
          </w:p>
        </w:tc>
        <w:tc>
          <w:tcPr>
            <w:tcW w:w="1760" w:type="dxa"/>
            <w:vAlign w:val="bottom"/>
            <w:vMerge w:val="continue"/>
          </w:tcPr>
          <w:p>
            <w:pPr>
              <w:spacing w:after="0"/>
              <w:rPr>
                <w:sz w:val="17"/>
                <w:szCs w:val="17"/>
                <w:color w:val="auto"/>
              </w:rPr>
            </w:pPr>
          </w:p>
        </w:tc>
        <w:tc>
          <w:tcPr>
            <w:tcW w:w="1020" w:type="dxa"/>
            <w:vAlign w:val="bottom"/>
            <w:gridSpan w:val="2"/>
          </w:tcPr>
          <w:p>
            <w:pPr>
              <w:jc w:val="center"/>
              <w:ind w:left="96"/>
              <w:spacing w:after="0"/>
              <w:rPr>
                <w:sz w:val="20"/>
                <w:szCs w:val="20"/>
                <w:color w:val="auto"/>
              </w:rPr>
            </w:pPr>
            <w:r>
              <w:rPr>
                <w:rFonts w:ascii="Arial" w:cs="Arial" w:eastAsia="Arial" w:hAnsi="Arial"/>
                <w:sz w:val="13"/>
                <w:szCs w:val="13"/>
                <w:color w:val="auto"/>
                <w:w w:val="95"/>
              </w:rPr>
              <w:t>Interest</w:t>
            </w:r>
            <w:r>
              <w:rPr>
                <w:rFonts w:ascii="Arial" w:cs="Arial" w:eastAsia="Arial" w:hAnsi="Arial"/>
                <w:sz w:val="16"/>
                <w:szCs w:val="16"/>
                <w:color w:val="auto"/>
                <w:w w:val="95"/>
                <w:vertAlign w:val="superscript"/>
              </w:rPr>
              <w:t>(1)</w:t>
            </w:r>
          </w:p>
        </w:tc>
        <w:tc>
          <w:tcPr>
            <w:tcW w:w="0" w:type="dxa"/>
            <w:vAlign w:val="bottom"/>
          </w:tcPr>
          <w:p>
            <w:pPr>
              <w:spacing w:after="0"/>
              <w:rPr>
                <w:sz w:val="1"/>
                <w:szCs w:val="1"/>
                <w:color w:val="auto"/>
              </w:rPr>
            </w:pPr>
          </w:p>
        </w:tc>
      </w:tr>
      <w:tr>
        <w:trPr>
          <w:trHeight w:val="200"/>
        </w:trPr>
        <w:tc>
          <w:tcPr>
            <w:tcW w:w="3120" w:type="dxa"/>
            <w:vAlign w:val="bottom"/>
          </w:tcPr>
          <w:p>
            <w:pPr>
              <w:spacing w:after="0"/>
              <w:rPr>
                <w:sz w:val="20"/>
                <w:szCs w:val="20"/>
                <w:color w:val="auto"/>
              </w:rPr>
            </w:pPr>
            <w:r>
              <w:rPr>
                <w:rFonts w:ascii="Arial" w:cs="Arial" w:eastAsia="Arial" w:hAnsi="Arial"/>
                <w:sz w:val="13"/>
                <w:szCs w:val="13"/>
                <w:i w:val="1"/>
                <w:iCs w:val="1"/>
                <w:color w:val="auto"/>
              </w:rPr>
              <w:t>Consolidated real estate joint ventures</w:t>
            </w:r>
            <w:r>
              <w:rPr>
                <w:rFonts w:ascii="Arial" w:cs="Arial" w:eastAsia="Arial" w:hAnsi="Arial"/>
                <w:sz w:val="16"/>
                <w:szCs w:val="16"/>
                <w:i w:val="1"/>
                <w:iCs w:val="1"/>
                <w:color w:val="auto"/>
                <w:vertAlign w:val="superscript"/>
              </w:rPr>
              <w:t>(2)</w:t>
            </w:r>
            <w:r>
              <w:rPr>
                <w:rFonts w:ascii="Arial" w:cs="Arial" w:eastAsia="Arial" w:hAnsi="Arial"/>
                <w:sz w:val="13"/>
                <w:szCs w:val="13"/>
                <w:i w:val="1"/>
                <w:iCs w:val="1"/>
                <w:color w:val="auto"/>
              </w:rPr>
              <w:t>:</w:t>
            </w:r>
          </w:p>
        </w:tc>
        <w:tc>
          <w:tcPr>
            <w:tcW w:w="16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3120" w:type="dxa"/>
            <w:vAlign w:val="bottom"/>
          </w:tcPr>
          <w:p>
            <w:pPr>
              <w:ind w:left="140"/>
              <w:spacing w:after="0"/>
              <w:rPr>
                <w:sz w:val="20"/>
                <w:szCs w:val="20"/>
                <w:color w:val="auto"/>
              </w:rPr>
            </w:pPr>
            <w:r>
              <w:rPr>
                <w:rFonts w:ascii="Arial" w:cs="Arial" w:eastAsia="Arial" w:hAnsi="Arial"/>
                <w:sz w:val="13"/>
                <w:szCs w:val="13"/>
                <w:color w:val="auto"/>
              </w:rPr>
              <w:t>50 and 60 Binney Street</w:t>
            </w:r>
          </w:p>
        </w:tc>
        <w:tc>
          <w:tcPr>
            <w:tcW w:w="1660" w:type="dxa"/>
            <w:vAlign w:val="bottom"/>
          </w:tcPr>
          <w:p>
            <w:pPr>
              <w:ind w:left="180"/>
              <w:spacing w:after="0"/>
              <w:rPr>
                <w:sz w:val="20"/>
                <w:szCs w:val="20"/>
                <w:color w:val="auto"/>
              </w:rPr>
            </w:pPr>
            <w:r>
              <w:rPr>
                <w:rFonts w:ascii="Arial" w:cs="Arial" w:eastAsia="Arial" w:hAnsi="Arial"/>
                <w:sz w:val="13"/>
                <w:szCs w:val="13"/>
                <w:color w:val="auto"/>
              </w:rPr>
              <w:t>Greater Boston</w:t>
            </w:r>
          </w:p>
        </w:tc>
        <w:tc>
          <w:tcPr>
            <w:tcW w:w="1760" w:type="dxa"/>
            <w:vAlign w:val="bottom"/>
          </w:tcPr>
          <w:p>
            <w:pPr>
              <w:ind w:left="100"/>
              <w:spacing w:after="0"/>
              <w:rPr>
                <w:sz w:val="20"/>
                <w:szCs w:val="20"/>
                <w:color w:val="auto"/>
              </w:rPr>
            </w:pPr>
            <w:r>
              <w:rPr>
                <w:rFonts w:ascii="Arial" w:cs="Arial" w:eastAsia="Arial" w:hAnsi="Arial"/>
                <w:sz w:val="13"/>
                <w:szCs w:val="13"/>
                <w:color w:val="auto"/>
              </w:rPr>
              <w:t>Cambridge/Inner Suburbs</w:t>
            </w:r>
          </w:p>
        </w:tc>
        <w:tc>
          <w:tcPr>
            <w:tcW w:w="780" w:type="dxa"/>
            <w:vAlign w:val="bottom"/>
          </w:tcPr>
          <w:p>
            <w:pPr>
              <w:jc w:val="right"/>
              <w:spacing w:after="0"/>
              <w:rPr>
                <w:sz w:val="20"/>
                <w:szCs w:val="20"/>
                <w:color w:val="auto"/>
              </w:rPr>
            </w:pPr>
            <w:r>
              <w:rPr>
                <w:rFonts w:ascii="Arial" w:cs="Arial" w:eastAsia="Arial" w:hAnsi="Arial"/>
                <w:sz w:val="13"/>
                <w:szCs w:val="13"/>
                <w:color w:val="auto"/>
              </w:rPr>
              <w:t>34.0%</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3120" w:type="dxa"/>
            <w:vAlign w:val="bottom"/>
          </w:tcPr>
          <w:p>
            <w:pPr>
              <w:ind w:left="140"/>
              <w:spacing w:after="0"/>
              <w:rPr>
                <w:sz w:val="20"/>
                <w:szCs w:val="20"/>
                <w:color w:val="auto"/>
              </w:rPr>
            </w:pPr>
            <w:r>
              <w:rPr>
                <w:rFonts w:ascii="Arial" w:cs="Arial" w:eastAsia="Arial" w:hAnsi="Arial"/>
                <w:sz w:val="13"/>
                <w:szCs w:val="13"/>
                <w:color w:val="auto"/>
              </w:rPr>
              <w:t>75/125 Binney Street</w:t>
            </w:r>
          </w:p>
        </w:tc>
        <w:tc>
          <w:tcPr>
            <w:tcW w:w="1660" w:type="dxa"/>
            <w:vAlign w:val="bottom"/>
          </w:tcPr>
          <w:p>
            <w:pPr>
              <w:ind w:left="180"/>
              <w:spacing w:after="0"/>
              <w:rPr>
                <w:sz w:val="20"/>
                <w:szCs w:val="20"/>
                <w:color w:val="auto"/>
              </w:rPr>
            </w:pPr>
            <w:r>
              <w:rPr>
                <w:rFonts w:ascii="Arial" w:cs="Arial" w:eastAsia="Arial" w:hAnsi="Arial"/>
                <w:sz w:val="13"/>
                <w:szCs w:val="13"/>
                <w:color w:val="auto"/>
              </w:rPr>
              <w:t>Greater Boston</w:t>
            </w:r>
          </w:p>
        </w:tc>
        <w:tc>
          <w:tcPr>
            <w:tcW w:w="1760" w:type="dxa"/>
            <w:vAlign w:val="bottom"/>
          </w:tcPr>
          <w:p>
            <w:pPr>
              <w:ind w:left="100"/>
              <w:spacing w:after="0"/>
              <w:rPr>
                <w:sz w:val="20"/>
                <w:szCs w:val="20"/>
                <w:color w:val="auto"/>
              </w:rPr>
            </w:pPr>
            <w:r>
              <w:rPr>
                <w:rFonts w:ascii="Arial" w:cs="Arial" w:eastAsia="Arial" w:hAnsi="Arial"/>
                <w:sz w:val="13"/>
                <w:szCs w:val="13"/>
                <w:color w:val="auto"/>
              </w:rPr>
              <w:t>Cambridge/Inner Suburbs</w:t>
            </w:r>
          </w:p>
        </w:tc>
        <w:tc>
          <w:tcPr>
            <w:tcW w:w="780" w:type="dxa"/>
            <w:vAlign w:val="bottom"/>
          </w:tcPr>
          <w:p>
            <w:pPr>
              <w:jc w:val="right"/>
              <w:spacing w:after="0"/>
              <w:rPr>
                <w:sz w:val="20"/>
                <w:szCs w:val="20"/>
                <w:color w:val="auto"/>
              </w:rPr>
            </w:pPr>
            <w:r>
              <w:rPr>
                <w:rFonts w:ascii="Arial" w:cs="Arial" w:eastAsia="Arial" w:hAnsi="Arial"/>
                <w:sz w:val="13"/>
                <w:szCs w:val="13"/>
                <w:color w:val="auto"/>
              </w:rPr>
              <w:t>40.0%</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120" w:type="dxa"/>
            <w:vAlign w:val="bottom"/>
          </w:tcPr>
          <w:p>
            <w:pPr>
              <w:ind w:left="140"/>
              <w:spacing w:after="0"/>
              <w:rPr>
                <w:sz w:val="20"/>
                <w:szCs w:val="20"/>
                <w:color w:val="auto"/>
              </w:rPr>
            </w:pPr>
            <w:r>
              <w:rPr>
                <w:rFonts w:ascii="Arial" w:cs="Arial" w:eastAsia="Arial" w:hAnsi="Arial"/>
                <w:sz w:val="13"/>
                <w:szCs w:val="13"/>
                <w:color w:val="auto"/>
              </w:rPr>
              <w:t>100 and 225 Binney Street and 300 Third Street</w:t>
            </w:r>
          </w:p>
        </w:tc>
        <w:tc>
          <w:tcPr>
            <w:tcW w:w="1660" w:type="dxa"/>
            <w:vAlign w:val="bottom"/>
          </w:tcPr>
          <w:p>
            <w:pPr>
              <w:ind w:left="180"/>
              <w:spacing w:after="0"/>
              <w:rPr>
                <w:sz w:val="20"/>
                <w:szCs w:val="20"/>
                <w:color w:val="auto"/>
              </w:rPr>
            </w:pPr>
            <w:r>
              <w:rPr>
                <w:rFonts w:ascii="Arial" w:cs="Arial" w:eastAsia="Arial" w:hAnsi="Arial"/>
                <w:sz w:val="13"/>
                <w:szCs w:val="13"/>
                <w:color w:val="auto"/>
              </w:rPr>
              <w:t>Greater Boston</w:t>
            </w:r>
          </w:p>
        </w:tc>
        <w:tc>
          <w:tcPr>
            <w:tcW w:w="1760" w:type="dxa"/>
            <w:vAlign w:val="bottom"/>
          </w:tcPr>
          <w:p>
            <w:pPr>
              <w:ind w:left="100"/>
              <w:spacing w:after="0"/>
              <w:rPr>
                <w:sz w:val="20"/>
                <w:szCs w:val="20"/>
                <w:color w:val="auto"/>
              </w:rPr>
            </w:pPr>
            <w:r>
              <w:rPr>
                <w:rFonts w:ascii="Arial" w:cs="Arial" w:eastAsia="Arial" w:hAnsi="Arial"/>
                <w:sz w:val="13"/>
                <w:szCs w:val="13"/>
                <w:color w:val="auto"/>
              </w:rPr>
              <w:t>Cambridge/Inner Suburbs</w:t>
            </w:r>
          </w:p>
        </w:tc>
        <w:tc>
          <w:tcPr>
            <w:tcW w:w="780" w:type="dxa"/>
            <w:vAlign w:val="bottom"/>
          </w:tcPr>
          <w:p>
            <w:pPr>
              <w:jc w:val="right"/>
              <w:spacing w:after="0"/>
              <w:rPr>
                <w:sz w:val="20"/>
                <w:szCs w:val="20"/>
                <w:color w:val="auto"/>
              </w:rPr>
            </w:pPr>
            <w:r>
              <w:rPr>
                <w:rFonts w:ascii="Arial" w:cs="Arial" w:eastAsia="Arial" w:hAnsi="Arial"/>
                <w:sz w:val="13"/>
                <w:szCs w:val="13"/>
                <w:color w:val="auto"/>
              </w:rPr>
              <w:t>30.0%</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120" w:type="dxa"/>
            <w:vAlign w:val="bottom"/>
          </w:tcPr>
          <w:p>
            <w:pPr>
              <w:ind w:left="140"/>
              <w:spacing w:after="0"/>
              <w:rPr>
                <w:sz w:val="20"/>
                <w:szCs w:val="20"/>
                <w:color w:val="auto"/>
              </w:rPr>
            </w:pPr>
            <w:r>
              <w:rPr>
                <w:rFonts w:ascii="Arial" w:cs="Arial" w:eastAsia="Arial" w:hAnsi="Arial"/>
                <w:sz w:val="13"/>
                <w:szCs w:val="13"/>
                <w:color w:val="auto"/>
              </w:rPr>
              <w:t>99 Coolidge Avenue</w:t>
            </w:r>
          </w:p>
        </w:tc>
        <w:tc>
          <w:tcPr>
            <w:tcW w:w="1660" w:type="dxa"/>
            <w:vAlign w:val="bottom"/>
          </w:tcPr>
          <w:p>
            <w:pPr>
              <w:ind w:left="180"/>
              <w:spacing w:after="0"/>
              <w:rPr>
                <w:sz w:val="20"/>
                <w:szCs w:val="20"/>
                <w:color w:val="auto"/>
              </w:rPr>
            </w:pPr>
            <w:r>
              <w:rPr>
                <w:rFonts w:ascii="Arial" w:cs="Arial" w:eastAsia="Arial" w:hAnsi="Arial"/>
                <w:sz w:val="13"/>
                <w:szCs w:val="13"/>
                <w:color w:val="auto"/>
              </w:rPr>
              <w:t>Greater Boston</w:t>
            </w:r>
          </w:p>
        </w:tc>
        <w:tc>
          <w:tcPr>
            <w:tcW w:w="1760" w:type="dxa"/>
            <w:vAlign w:val="bottom"/>
          </w:tcPr>
          <w:p>
            <w:pPr>
              <w:ind w:left="100"/>
              <w:spacing w:after="0"/>
              <w:rPr>
                <w:sz w:val="20"/>
                <w:szCs w:val="20"/>
                <w:color w:val="auto"/>
              </w:rPr>
            </w:pPr>
            <w:r>
              <w:rPr>
                <w:rFonts w:ascii="Arial" w:cs="Arial" w:eastAsia="Arial" w:hAnsi="Arial"/>
                <w:sz w:val="13"/>
                <w:szCs w:val="13"/>
                <w:color w:val="auto"/>
              </w:rPr>
              <w:t>Cambridge/Inner Suburbs</w:t>
            </w:r>
          </w:p>
        </w:tc>
        <w:tc>
          <w:tcPr>
            <w:tcW w:w="780" w:type="dxa"/>
            <w:vAlign w:val="bottom"/>
          </w:tcPr>
          <w:p>
            <w:pPr>
              <w:jc w:val="right"/>
              <w:spacing w:after="0"/>
              <w:rPr>
                <w:sz w:val="20"/>
                <w:szCs w:val="20"/>
                <w:color w:val="auto"/>
              </w:rPr>
            </w:pPr>
            <w:r>
              <w:rPr>
                <w:rFonts w:ascii="Arial" w:cs="Arial" w:eastAsia="Arial" w:hAnsi="Arial"/>
                <w:sz w:val="13"/>
                <w:szCs w:val="13"/>
                <w:color w:val="auto"/>
              </w:rPr>
              <w:t>75.0%</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120" w:type="dxa"/>
            <w:vAlign w:val="bottom"/>
          </w:tcPr>
          <w:p>
            <w:pPr>
              <w:ind w:left="140"/>
              <w:spacing w:after="0"/>
              <w:rPr>
                <w:sz w:val="20"/>
                <w:szCs w:val="20"/>
                <w:color w:val="auto"/>
              </w:rPr>
            </w:pPr>
            <w:r>
              <w:rPr>
                <w:rFonts w:ascii="Arial" w:cs="Arial" w:eastAsia="Arial" w:hAnsi="Arial"/>
                <w:sz w:val="13"/>
                <w:szCs w:val="13"/>
                <w:color w:val="auto"/>
              </w:rPr>
              <w:t>15 Necco Street</w:t>
            </w:r>
          </w:p>
        </w:tc>
        <w:tc>
          <w:tcPr>
            <w:tcW w:w="1660" w:type="dxa"/>
            <w:vAlign w:val="bottom"/>
          </w:tcPr>
          <w:p>
            <w:pPr>
              <w:ind w:left="180"/>
              <w:spacing w:after="0"/>
              <w:rPr>
                <w:sz w:val="20"/>
                <w:szCs w:val="20"/>
                <w:color w:val="auto"/>
              </w:rPr>
            </w:pPr>
            <w:r>
              <w:rPr>
                <w:rFonts w:ascii="Arial" w:cs="Arial" w:eastAsia="Arial" w:hAnsi="Arial"/>
                <w:sz w:val="13"/>
                <w:szCs w:val="13"/>
                <w:color w:val="auto"/>
              </w:rPr>
              <w:t>Greater Boston</w:t>
            </w:r>
          </w:p>
        </w:tc>
        <w:tc>
          <w:tcPr>
            <w:tcW w:w="1760" w:type="dxa"/>
            <w:vAlign w:val="bottom"/>
          </w:tcPr>
          <w:p>
            <w:pPr>
              <w:ind w:left="100"/>
              <w:spacing w:after="0"/>
              <w:rPr>
                <w:sz w:val="20"/>
                <w:szCs w:val="20"/>
                <w:color w:val="auto"/>
              </w:rPr>
            </w:pPr>
            <w:r>
              <w:rPr>
                <w:rFonts w:ascii="Arial" w:cs="Arial" w:eastAsia="Arial" w:hAnsi="Arial"/>
                <w:sz w:val="13"/>
                <w:szCs w:val="13"/>
                <w:color w:val="auto"/>
              </w:rPr>
              <w:t>Seaport Innovation District</w:t>
            </w:r>
          </w:p>
        </w:tc>
        <w:tc>
          <w:tcPr>
            <w:tcW w:w="780" w:type="dxa"/>
            <w:vAlign w:val="bottom"/>
          </w:tcPr>
          <w:p>
            <w:pPr>
              <w:jc w:val="right"/>
              <w:spacing w:after="0"/>
              <w:rPr>
                <w:sz w:val="20"/>
                <w:szCs w:val="20"/>
                <w:color w:val="auto"/>
              </w:rPr>
            </w:pPr>
            <w:r>
              <w:rPr>
                <w:rFonts w:ascii="Arial" w:cs="Arial" w:eastAsia="Arial" w:hAnsi="Arial"/>
                <w:sz w:val="13"/>
                <w:szCs w:val="13"/>
                <w:color w:val="auto"/>
              </w:rPr>
              <w:t>56.7%</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120" w:type="dxa"/>
            <w:vAlign w:val="bottom"/>
          </w:tcPr>
          <w:p>
            <w:pPr>
              <w:ind w:left="140"/>
              <w:spacing w:after="0"/>
              <w:rPr>
                <w:sz w:val="20"/>
                <w:szCs w:val="20"/>
                <w:color w:val="auto"/>
              </w:rPr>
            </w:pPr>
            <w:r>
              <w:rPr>
                <w:rFonts w:ascii="Arial" w:cs="Arial" w:eastAsia="Arial" w:hAnsi="Arial"/>
                <w:sz w:val="13"/>
                <w:szCs w:val="13"/>
                <w:color w:val="auto"/>
              </w:rPr>
              <w:t>285, 299, 307, and 345 Dorchester Avenue</w:t>
            </w:r>
          </w:p>
        </w:tc>
        <w:tc>
          <w:tcPr>
            <w:tcW w:w="1660" w:type="dxa"/>
            <w:vAlign w:val="bottom"/>
          </w:tcPr>
          <w:p>
            <w:pPr>
              <w:ind w:left="180"/>
              <w:spacing w:after="0"/>
              <w:rPr>
                <w:sz w:val="20"/>
                <w:szCs w:val="20"/>
                <w:color w:val="auto"/>
              </w:rPr>
            </w:pPr>
            <w:r>
              <w:rPr>
                <w:rFonts w:ascii="Arial" w:cs="Arial" w:eastAsia="Arial" w:hAnsi="Arial"/>
                <w:sz w:val="13"/>
                <w:szCs w:val="13"/>
                <w:color w:val="auto"/>
              </w:rPr>
              <w:t>Greater Boston</w:t>
            </w:r>
          </w:p>
        </w:tc>
        <w:tc>
          <w:tcPr>
            <w:tcW w:w="1760" w:type="dxa"/>
            <w:vAlign w:val="bottom"/>
          </w:tcPr>
          <w:p>
            <w:pPr>
              <w:ind w:left="100"/>
              <w:spacing w:after="0"/>
              <w:rPr>
                <w:sz w:val="20"/>
                <w:szCs w:val="20"/>
                <w:color w:val="auto"/>
              </w:rPr>
            </w:pPr>
            <w:r>
              <w:rPr>
                <w:rFonts w:ascii="Arial" w:cs="Arial" w:eastAsia="Arial" w:hAnsi="Arial"/>
                <w:sz w:val="13"/>
                <w:szCs w:val="13"/>
                <w:color w:val="auto"/>
              </w:rPr>
              <w:t>Seaport Innovation District</w:t>
            </w:r>
          </w:p>
        </w:tc>
        <w:tc>
          <w:tcPr>
            <w:tcW w:w="780" w:type="dxa"/>
            <w:vAlign w:val="bottom"/>
          </w:tcPr>
          <w:p>
            <w:pPr>
              <w:jc w:val="right"/>
              <w:spacing w:after="0"/>
              <w:rPr>
                <w:sz w:val="20"/>
                <w:szCs w:val="20"/>
                <w:color w:val="auto"/>
              </w:rPr>
            </w:pPr>
            <w:r>
              <w:rPr>
                <w:rFonts w:ascii="Arial" w:cs="Arial" w:eastAsia="Arial" w:hAnsi="Arial"/>
                <w:sz w:val="13"/>
                <w:szCs w:val="13"/>
                <w:color w:val="auto"/>
              </w:rPr>
              <w:t>60.0%</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3120" w:type="dxa"/>
            <w:vAlign w:val="bottom"/>
          </w:tcPr>
          <w:p>
            <w:pPr>
              <w:ind w:left="140"/>
              <w:spacing w:after="0" w:line="164" w:lineRule="exact"/>
              <w:rPr>
                <w:sz w:val="20"/>
                <w:szCs w:val="20"/>
                <w:color w:val="auto"/>
              </w:rPr>
            </w:pPr>
            <w:r>
              <w:rPr>
                <w:rFonts w:ascii="Arial" w:cs="Arial" w:eastAsia="Arial" w:hAnsi="Arial"/>
                <w:sz w:val="13"/>
                <w:szCs w:val="13"/>
                <w:color w:val="auto"/>
              </w:rPr>
              <w:t>Alexandria Center</w:t>
            </w:r>
            <w:r>
              <w:rPr>
                <w:rFonts w:ascii="Arial" w:cs="Arial" w:eastAsia="Arial" w:hAnsi="Arial"/>
                <w:sz w:val="16"/>
                <w:szCs w:val="16"/>
                <w:color w:val="auto"/>
                <w:vertAlign w:val="superscript"/>
              </w:rPr>
              <w:t>®</w:t>
            </w:r>
            <w:r>
              <w:rPr>
                <w:rFonts w:ascii="Arial" w:cs="Arial" w:eastAsia="Arial" w:hAnsi="Arial"/>
                <w:sz w:val="13"/>
                <w:szCs w:val="13"/>
                <w:color w:val="auto"/>
              </w:rPr>
              <w:t xml:space="preserve"> for Science and Technology –</w:t>
            </w:r>
          </w:p>
        </w:tc>
        <w:tc>
          <w:tcPr>
            <w:tcW w:w="1660" w:type="dxa"/>
            <w:vAlign w:val="bottom"/>
          </w:tcPr>
          <w:p>
            <w:pPr>
              <w:ind w:left="180"/>
              <w:spacing w:after="0"/>
              <w:rPr>
                <w:sz w:val="20"/>
                <w:szCs w:val="20"/>
                <w:color w:val="auto"/>
              </w:rPr>
            </w:pPr>
            <w:r>
              <w:rPr>
                <w:rFonts w:ascii="Arial" w:cs="Arial" w:eastAsia="Arial" w:hAnsi="Arial"/>
                <w:sz w:val="13"/>
                <w:szCs w:val="13"/>
                <w:color w:val="auto"/>
              </w:rPr>
              <w:t>San Francisco Bay Area</w:t>
            </w:r>
          </w:p>
        </w:tc>
        <w:tc>
          <w:tcPr>
            <w:tcW w:w="1760" w:type="dxa"/>
            <w:vAlign w:val="bottom"/>
          </w:tcPr>
          <w:p>
            <w:pPr>
              <w:ind w:left="100"/>
              <w:spacing w:after="0"/>
              <w:rPr>
                <w:sz w:val="20"/>
                <w:szCs w:val="20"/>
                <w:color w:val="auto"/>
              </w:rPr>
            </w:pPr>
            <w:r>
              <w:rPr>
                <w:rFonts w:ascii="Arial" w:cs="Arial" w:eastAsia="Arial" w:hAnsi="Arial"/>
                <w:sz w:val="13"/>
                <w:szCs w:val="13"/>
                <w:color w:val="auto"/>
              </w:rPr>
              <w:t>Mission Bay</w:t>
            </w:r>
          </w:p>
        </w:tc>
        <w:tc>
          <w:tcPr>
            <w:tcW w:w="780" w:type="dxa"/>
            <w:vAlign w:val="bottom"/>
          </w:tcPr>
          <w:p>
            <w:pPr>
              <w:jc w:val="right"/>
              <w:spacing w:after="0"/>
              <w:rPr>
                <w:sz w:val="20"/>
                <w:szCs w:val="20"/>
                <w:color w:val="auto"/>
              </w:rPr>
            </w:pPr>
            <w:r>
              <w:rPr>
                <w:rFonts w:ascii="Arial" w:cs="Arial" w:eastAsia="Arial" w:hAnsi="Arial"/>
                <w:sz w:val="13"/>
                <w:szCs w:val="13"/>
                <w:color w:val="auto"/>
              </w:rPr>
              <w:t>25.0%</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3120" w:type="dxa"/>
            <w:vAlign w:val="bottom"/>
          </w:tcPr>
          <w:p>
            <w:pPr>
              <w:ind w:left="260"/>
              <w:spacing w:after="0"/>
              <w:rPr>
                <w:sz w:val="20"/>
                <w:szCs w:val="20"/>
                <w:color w:val="auto"/>
              </w:rPr>
            </w:pPr>
            <w:r>
              <w:rPr>
                <w:rFonts w:ascii="Arial" w:cs="Arial" w:eastAsia="Arial" w:hAnsi="Arial"/>
                <w:sz w:val="13"/>
                <w:szCs w:val="13"/>
                <w:color w:val="auto"/>
              </w:rPr>
              <w:t>Mission Bay</w:t>
            </w:r>
            <w:r>
              <w:rPr>
                <w:rFonts w:ascii="Arial" w:cs="Arial" w:eastAsia="Arial" w:hAnsi="Arial"/>
                <w:sz w:val="16"/>
                <w:szCs w:val="16"/>
                <w:color w:val="auto"/>
                <w:vertAlign w:val="superscript"/>
              </w:rPr>
              <w:t>(3)</w:t>
            </w:r>
          </w:p>
        </w:tc>
        <w:tc>
          <w:tcPr>
            <w:tcW w:w="16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3120" w:type="dxa"/>
            <w:vAlign w:val="bottom"/>
          </w:tcPr>
          <w:p>
            <w:pPr>
              <w:ind w:left="140"/>
              <w:spacing w:after="0"/>
              <w:rPr>
                <w:sz w:val="20"/>
                <w:szCs w:val="20"/>
                <w:color w:val="auto"/>
              </w:rPr>
            </w:pPr>
            <w:r>
              <w:rPr>
                <w:rFonts w:ascii="Arial" w:cs="Arial" w:eastAsia="Arial" w:hAnsi="Arial"/>
                <w:sz w:val="13"/>
                <w:szCs w:val="13"/>
                <w:color w:val="auto"/>
              </w:rPr>
              <w:t>1450 Owens Street</w:t>
            </w:r>
          </w:p>
        </w:tc>
        <w:tc>
          <w:tcPr>
            <w:tcW w:w="1660" w:type="dxa"/>
            <w:vAlign w:val="bottom"/>
          </w:tcPr>
          <w:p>
            <w:pPr>
              <w:ind w:left="180"/>
              <w:spacing w:after="0"/>
              <w:rPr>
                <w:sz w:val="20"/>
                <w:szCs w:val="20"/>
                <w:color w:val="auto"/>
              </w:rPr>
            </w:pPr>
            <w:r>
              <w:rPr>
                <w:rFonts w:ascii="Arial" w:cs="Arial" w:eastAsia="Arial" w:hAnsi="Arial"/>
                <w:sz w:val="13"/>
                <w:szCs w:val="13"/>
                <w:color w:val="auto"/>
              </w:rPr>
              <w:t>San Francisco Bay Area</w:t>
            </w:r>
          </w:p>
        </w:tc>
        <w:tc>
          <w:tcPr>
            <w:tcW w:w="1760" w:type="dxa"/>
            <w:vAlign w:val="bottom"/>
          </w:tcPr>
          <w:p>
            <w:pPr>
              <w:ind w:left="100"/>
              <w:spacing w:after="0"/>
              <w:rPr>
                <w:sz w:val="20"/>
                <w:szCs w:val="20"/>
                <w:color w:val="auto"/>
              </w:rPr>
            </w:pPr>
            <w:r>
              <w:rPr>
                <w:rFonts w:ascii="Arial" w:cs="Arial" w:eastAsia="Arial" w:hAnsi="Arial"/>
                <w:sz w:val="13"/>
                <w:szCs w:val="13"/>
                <w:color w:val="auto"/>
              </w:rPr>
              <w:t>Mission Bay</w:t>
            </w:r>
          </w:p>
        </w:tc>
        <w:tc>
          <w:tcPr>
            <w:tcW w:w="780" w:type="dxa"/>
            <w:vAlign w:val="bottom"/>
          </w:tcPr>
          <w:p>
            <w:pPr>
              <w:jc w:val="right"/>
              <w:spacing w:after="0"/>
              <w:rPr>
                <w:sz w:val="20"/>
                <w:szCs w:val="20"/>
                <w:color w:val="auto"/>
              </w:rPr>
            </w:pPr>
            <w:r>
              <w:rPr>
                <w:rFonts w:ascii="Arial" w:cs="Arial" w:eastAsia="Arial" w:hAnsi="Arial"/>
                <w:sz w:val="13"/>
                <w:szCs w:val="13"/>
                <w:color w:val="auto"/>
              </w:rPr>
              <w:t>26.3%</w:t>
            </w:r>
          </w:p>
        </w:tc>
        <w:tc>
          <w:tcPr>
            <w:tcW w:w="240" w:type="dxa"/>
            <w:vAlign w:val="bottom"/>
          </w:tcPr>
          <w:p>
            <w:pPr>
              <w:jc w:val="right"/>
              <w:ind w:right="38"/>
              <w:spacing w:after="0"/>
              <w:rPr>
                <w:sz w:val="20"/>
                <w:szCs w:val="20"/>
                <w:color w:val="auto"/>
              </w:rPr>
            </w:pPr>
            <w:r>
              <w:rPr>
                <w:rFonts w:ascii="Arial" w:cs="Arial" w:eastAsia="Arial" w:hAnsi="Arial"/>
                <w:sz w:val="8"/>
                <w:szCs w:val="8"/>
                <w:color w:val="auto"/>
              </w:rPr>
              <w:t>(4)</w:t>
            </w:r>
          </w:p>
        </w:tc>
        <w:tc>
          <w:tcPr>
            <w:tcW w:w="0" w:type="dxa"/>
            <w:vAlign w:val="bottom"/>
          </w:tcPr>
          <w:p>
            <w:pPr>
              <w:spacing w:after="0"/>
              <w:rPr>
                <w:sz w:val="1"/>
                <w:szCs w:val="1"/>
                <w:color w:val="auto"/>
              </w:rPr>
            </w:pPr>
          </w:p>
        </w:tc>
      </w:tr>
      <w:tr>
        <w:trPr>
          <w:trHeight w:val="164"/>
        </w:trPr>
        <w:tc>
          <w:tcPr>
            <w:tcW w:w="3120" w:type="dxa"/>
            <w:vAlign w:val="bottom"/>
          </w:tcPr>
          <w:p>
            <w:pPr>
              <w:ind w:left="140"/>
              <w:spacing w:after="0"/>
              <w:rPr>
                <w:sz w:val="20"/>
                <w:szCs w:val="20"/>
                <w:color w:val="auto"/>
              </w:rPr>
            </w:pPr>
            <w:r>
              <w:rPr>
                <w:rFonts w:ascii="Arial" w:cs="Arial" w:eastAsia="Arial" w:hAnsi="Arial"/>
                <w:sz w:val="13"/>
                <w:szCs w:val="13"/>
                <w:color w:val="auto"/>
              </w:rPr>
              <w:t>601, 611, 651, 681, 685, and 701 Gateway</w:t>
            </w:r>
          </w:p>
        </w:tc>
        <w:tc>
          <w:tcPr>
            <w:tcW w:w="1660" w:type="dxa"/>
            <w:vAlign w:val="bottom"/>
          </w:tcPr>
          <w:p>
            <w:pPr>
              <w:ind w:left="180"/>
              <w:spacing w:after="0"/>
              <w:rPr>
                <w:sz w:val="20"/>
                <w:szCs w:val="20"/>
                <w:color w:val="auto"/>
              </w:rPr>
            </w:pPr>
            <w:r>
              <w:rPr>
                <w:rFonts w:ascii="Arial" w:cs="Arial" w:eastAsia="Arial" w:hAnsi="Arial"/>
                <w:sz w:val="13"/>
                <w:szCs w:val="13"/>
                <w:color w:val="auto"/>
              </w:rPr>
              <w:t>San Francisco Bay Area</w:t>
            </w:r>
          </w:p>
        </w:tc>
        <w:tc>
          <w:tcPr>
            <w:tcW w:w="1760" w:type="dxa"/>
            <w:vAlign w:val="bottom"/>
          </w:tcPr>
          <w:p>
            <w:pPr>
              <w:ind w:left="100"/>
              <w:spacing w:after="0"/>
              <w:rPr>
                <w:sz w:val="20"/>
                <w:szCs w:val="20"/>
                <w:color w:val="auto"/>
              </w:rPr>
            </w:pPr>
            <w:r>
              <w:rPr>
                <w:rFonts w:ascii="Arial" w:cs="Arial" w:eastAsia="Arial" w:hAnsi="Arial"/>
                <w:sz w:val="13"/>
                <w:szCs w:val="13"/>
                <w:color w:val="auto"/>
              </w:rPr>
              <w:t>South San Francisco</w:t>
            </w:r>
          </w:p>
        </w:tc>
        <w:tc>
          <w:tcPr>
            <w:tcW w:w="780" w:type="dxa"/>
            <w:vAlign w:val="bottom"/>
          </w:tcPr>
          <w:p>
            <w:pPr>
              <w:jc w:val="right"/>
              <w:spacing w:after="0"/>
              <w:rPr>
                <w:sz w:val="20"/>
                <w:szCs w:val="20"/>
                <w:color w:val="auto"/>
              </w:rPr>
            </w:pPr>
            <w:r>
              <w:rPr>
                <w:rFonts w:ascii="Arial" w:cs="Arial" w:eastAsia="Arial" w:hAnsi="Arial"/>
                <w:sz w:val="13"/>
                <w:szCs w:val="13"/>
                <w:color w:val="auto"/>
              </w:rPr>
              <w:t>50.0%</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120" w:type="dxa"/>
            <w:vAlign w:val="bottom"/>
          </w:tcPr>
          <w:p>
            <w:pPr>
              <w:ind w:left="260"/>
              <w:spacing w:after="0"/>
              <w:rPr>
                <w:sz w:val="20"/>
                <w:szCs w:val="20"/>
                <w:color w:val="auto"/>
              </w:rPr>
            </w:pPr>
            <w:r>
              <w:rPr>
                <w:rFonts w:ascii="Arial" w:cs="Arial" w:eastAsia="Arial" w:hAnsi="Arial"/>
                <w:sz w:val="13"/>
                <w:szCs w:val="13"/>
                <w:color w:val="auto"/>
              </w:rPr>
              <w:t>Boulevard</w:t>
            </w:r>
          </w:p>
        </w:tc>
        <w:tc>
          <w:tcPr>
            <w:tcW w:w="16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3120" w:type="dxa"/>
            <w:vAlign w:val="bottom"/>
          </w:tcPr>
          <w:p>
            <w:pPr>
              <w:ind w:left="140"/>
              <w:spacing w:after="0"/>
              <w:rPr>
                <w:sz w:val="20"/>
                <w:szCs w:val="20"/>
                <w:color w:val="auto"/>
              </w:rPr>
            </w:pPr>
            <w:r>
              <w:rPr>
                <w:rFonts w:ascii="Arial" w:cs="Arial" w:eastAsia="Arial" w:hAnsi="Arial"/>
                <w:sz w:val="13"/>
                <w:szCs w:val="13"/>
                <w:color w:val="auto"/>
              </w:rPr>
              <w:t>751 Gateway Boulevard</w:t>
            </w:r>
          </w:p>
        </w:tc>
        <w:tc>
          <w:tcPr>
            <w:tcW w:w="1660" w:type="dxa"/>
            <w:vAlign w:val="bottom"/>
          </w:tcPr>
          <w:p>
            <w:pPr>
              <w:ind w:left="180"/>
              <w:spacing w:after="0"/>
              <w:rPr>
                <w:sz w:val="20"/>
                <w:szCs w:val="20"/>
                <w:color w:val="auto"/>
              </w:rPr>
            </w:pPr>
            <w:r>
              <w:rPr>
                <w:rFonts w:ascii="Arial" w:cs="Arial" w:eastAsia="Arial" w:hAnsi="Arial"/>
                <w:sz w:val="13"/>
                <w:szCs w:val="13"/>
                <w:color w:val="auto"/>
              </w:rPr>
              <w:t>San Francisco Bay Area</w:t>
            </w:r>
          </w:p>
        </w:tc>
        <w:tc>
          <w:tcPr>
            <w:tcW w:w="1760" w:type="dxa"/>
            <w:vAlign w:val="bottom"/>
          </w:tcPr>
          <w:p>
            <w:pPr>
              <w:ind w:left="100"/>
              <w:spacing w:after="0"/>
              <w:rPr>
                <w:sz w:val="20"/>
                <w:szCs w:val="20"/>
                <w:color w:val="auto"/>
              </w:rPr>
            </w:pPr>
            <w:r>
              <w:rPr>
                <w:rFonts w:ascii="Arial" w:cs="Arial" w:eastAsia="Arial" w:hAnsi="Arial"/>
                <w:sz w:val="13"/>
                <w:szCs w:val="13"/>
                <w:color w:val="auto"/>
              </w:rPr>
              <w:t>South San Francisco</w:t>
            </w:r>
          </w:p>
        </w:tc>
        <w:tc>
          <w:tcPr>
            <w:tcW w:w="780" w:type="dxa"/>
            <w:vAlign w:val="bottom"/>
          </w:tcPr>
          <w:p>
            <w:pPr>
              <w:jc w:val="right"/>
              <w:spacing w:after="0"/>
              <w:rPr>
                <w:sz w:val="20"/>
                <w:szCs w:val="20"/>
                <w:color w:val="auto"/>
              </w:rPr>
            </w:pPr>
            <w:r>
              <w:rPr>
                <w:rFonts w:ascii="Arial" w:cs="Arial" w:eastAsia="Arial" w:hAnsi="Arial"/>
                <w:sz w:val="13"/>
                <w:szCs w:val="13"/>
                <w:color w:val="auto"/>
              </w:rPr>
              <w:t>51.0%</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3120" w:type="dxa"/>
            <w:vAlign w:val="bottom"/>
          </w:tcPr>
          <w:p>
            <w:pPr>
              <w:ind w:left="140"/>
              <w:spacing w:after="0"/>
              <w:rPr>
                <w:sz w:val="20"/>
                <w:szCs w:val="20"/>
                <w:color w:val="auto"/>
              </w:rPr>
            </w:pPr>
            <w:r>
              <w:rPr>
                <w:rFonts w:ascii="Arial" w:cs="Arial" w:eastAsia="Arial" w:hAnsi="Arial"/>
                <w:sz w:val="13"/>
                <w:szCs w:val="13"/>
                <w:color w:val="auto"/>
              </w:rPr>
              <w:t>211 and 213 East Grand Avenue</w:t>
            </w:r>
          </w:p>
        </w:tc>
        <w:tc>
          <w:tcPr>
            <w:tcW w:w="1660" w:type="dxa"/>
            <w:vAlign w:val="bottom"/>
          </w:tcPr>
          <w:p>
            <w:pPr>
              <w:ind w:left="180"/>
              <w:spacing w:after="0"/>
              <w:rPr>
                <w:sz w:val="20"/>
                <w:szCs w:val="20"/>
                <w:color w:val="auto"/>
              </w:rPr>
            </w:pPr>
            <w:r>
              <w:rPr>
                <w:rFonts w:ascii="Arial" w:cs="Arial" w:eastAsia="Arial" w:hAnsi="Arial"/>
                <w:sz w:val="13"/>
                <w:szCs w:val="13"/>
                <w:color w:val="auto"/>
              </w:rPr>
              <w:t>San Francisco Bay Area</w:t>
            </w:r>
          </w:p>
        </w:tc>
        <w:tc>
          <w:tcPr>
            <w:tcW w:w="1760" w:type="dxa"/>
            <w:vAlign w:val="bottom"/>
          </w:tcPr>
          <w:p>
            <w:pPr>
              <w:ind w:left="100"/>
              <w:spacing w:after="0"/>
              <w:rPr>
                <w:sz w:val="20"/>
                <w:szCs w:val="20"/>
                <w:color w:val="auto"/>
              </w:rPr>
            </w:pPr>
            <w:r>
              <w:rPr>
                <w:rFonts w:ascii="Arial" w:cs="Arial" w:eastAsia="Arial" w:hAnsi="Arial"/>
                <w:sz w:val="13"/>
                <w:szCs w:val="13"/>
                <w:color w:val="auto"/>
              </w:rPr>
              <w:t>South San Francisco</w:t>
            </w:r>
          </w:p>
        </w:tc>
        <w:tc>
          <w:tcPr>
            <w:tcW w:w="780" w:type="dxa"/>
            <w:vAlign w:val="bottom"/>
          </w:tcPr>
          <w:p>
            <w:pPr>
              <w:jc w:val="right"/>
              <w:spacing w:after="0"/>
              <w:rPr>
                <w:sz w:val="20"/>
                <w:szCs w:val="20"/>
                <w:color w:val="auto"/>
              </w:rPr>
            </w:pPr>
            <w:r>
              <w:rPr>
                <w:rFonts w:ascii="Arial" w:cs="Arial" w:eastAsia="Arial" w:hAnsi="Arial"/>
                <w:sz w:val="13"/>
                <w:szCs w:val="13"/>
                <w:color w:val="auto"/>
              </w:rPr>
              <w:t>30.0%</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120" w:type="dxa"/>
            <w:vAlign w:val="bottom"/>
          </w:tcPr>
          <w:p>
            <w:pPr>
              <w:ind w:left="140"/>
              <w:spacing w:after="0"/>
              <w:rPr>
                <w:sz w:val="20"/>
                <w:szCs w:val="20"/>
                <w:color w:val="auto"/>
              </w:rPr>
            </w:pPr>
            <w:r>
              <w:rPr>
                <w:rFonts w:ascii="Arial" w:cs="Arial" w:eastAsia="Arial" w:hAnsi="Arial"/>
                <w:sz w:val="13"/>
                <w:szCs w:val="13"/>
                <w:color w:val="auto"/>
              </w:rPr>
              <w:t>500 Forbes Boulevard</w:t>
            </w:r>
          </w:p>
        </w:tc>
        <w:tc>
          <w:tcPr>
            <w:tcW w:w="1660" w:type="dxa"/>
            <w:vAlign w:val="bottom"/>
          </w:tcPr>
          <w:p>
            <w:pPr>
              <w:ind w:left="180"/>
              <w:spacing w:after="0"/>
              <w:rPr>
                <w:sz w:val="20"/>
                <w:szCs w:val="20"/>
                <w:color w:val="auto"/>
              </w:rPr>
            </w:pPr>
            <w:r>
              <w:rPr>
                <w:rFonts w:ascii="Arial" w:cs="Arial" w:eastAsia="Arial" w:hAnsi="Arial"/>
                <w:sz w:val="13"/>
                <w:szCs w:val="13"/>
                <w:color w:val="auto"/>
              </w:rPr>
              <w:t>San Francisco Bay Area</w:t>
            </w:r>
          </w:p>
        </w:tc>
        <w:tc>
          <w:tcPr>
            <w:tcW w:w="1760" w:type="dxa"/>
            <w:vAlign w:val="bottom"/>
          </w:tcPr>
          <w:p>
            <w:pPr>
              <w:ind w:left="100"/>
              <w:spacing w:after="0"/>
              <w:rPr>
                <w:sz w:val="20"/>
                <w:szCs w:val="20"/>
                <w:color w:val="auto"/>
              </w:rPr>
            </w:pPr>
            <w:r>
              <w:rPr>
                <w:rFonts w:ascii="Arial" w:cs="Arial" w:eastAsia="Arial" w:hAnsi="Arial"/>
                <w:sz w:val="13"/>
                <w:szCs w:val="13"/>
                <w:color w:val="auto"/>
              </w:rPr>
              <w:t>South San Francisco</w:t>
            </w:r>
          </w:p>
        </w:tc>
        <w:tc>
          <w:tcPr>
            <w:tcW w:w="780" w:type="dxa"/>
            <w:vAlign w:val="bottom"/>
          </w:tcPr>
          <w:p>
            <w:pPr>
              <w:jc w:val="right"/>
              <w:spacing w:after="0"/>
              <w:rPr>
                <w:sz w:val="20"/>
                <w:szCs w:val="20"/>
                <w:color w:val="auto"/>
              </w:rPr>
            </w:pPr>
            <w:r>
              <w:rPr>
                <w:rFonts w:ascii="Arial" w:cs="Arial" w:eastAsia="Arial" w:hAnsi="Arial"/>
                <w:sz w:val="13"/>
                <w:szCs w:val="13"/>
                <w:color w:val="auto"/>
              </w:rPr>
              <w:t>10.0%</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3120" w:type="dxa"/>
            <w:vAlign w:val="bottom"/>
          </w:tcPr>
          <w:p>
            <w:pPr>
              <w:ind w:left="140"/>
              <w:spacing w:after="0"/>
              <w:rPr>
                <w:sz w:val="20"/>
                <w:szCs w:val="20"/>
                <w:color w:val="auto"/>
              </w:rPr>
            </w:pPr>
            <w:r>
              <w:rPr>
                <w:rFonts w:ascii="Arial" w:cs="Arial" w:eastAsia="Arial" w:hAnsi="Arial"/>
                <w:sz w:val="13"/>
                <w:szCs w:val="13"/>
                <w:color w:val="auto"/>
              </w:rPr>
              <w:t>Alexandria Center</w:t>
            </w:r>
            <w:r>
              <w:rPr>
                <w:rFonts w:ascii="Arial" w:cs="Arial" w:eastAsia="Arial" w:hAnsi="Arial"/>
                <w:sz w:val="16"/>
                <w:szCs w:val="16"/>
                <w:color w:val="auto"/>
                <w:vertAlign w:val="superscript"/>
              </w:rPr>
              <w:t>®</w:t>
            </w:r>
            <w:r>
              <w:rPr>
                <w:rFonts w:ascii="Arial" w:cs="Arial" w:eastAsia="Arial" w:hAnsi="Arial"/>
                <w:sz w:val="13"/>
                <w:szCs w:val="13"/>
                <w:color w:val="auto"/>
              </w:rPr>
              <w:t xml:space="preserve"> for Life Science – Millbrae</w:t>
            </w:r>
          </w:p>
        </w:tc>
        <w:tc>
          <w:tcPr>
            <w:tcW w:w="1660" w:type="dxa"/>
            <w:vAlign w:val="bottom"/>
          </w:tcPr>
          <w:p>
            <w:pPr>
              <w:ind w:left="180"/>
              <w:spacing w:after="0"/>
              <w:rPr>
                <w:sz w:val="20"/>
                <w:szCs w:val="20"/>
                <w:color w:val="auto"/>
              </w:rPr>
            </w:pPr>
            <w:r>
              <w:rPr>
                <w:rFonts w:ascii="Arial" w:cs="Arial" w:eastAsia="Arial" w:hAnsi="Arial"/>
                <w:sz w:val="13"/>
                <w:szCs w:val="13"/>
                <w:color w:val="auto"/>
              </w:rPr>
              <w:t>San Francisco Bay Area</w:t>
            </w:r>
          </w:p>
        </w:tc>
        <w:tc>
          <w:tcPr>
            <w:tcW w:w="1760" w:type="dxa"/>
            <w:vAlign w:val="bottom"/>
          </w:tcPr>
          <w:p>
            <w:pPr>
              <w:ind w:left="100"/>
              <w:spacing w:after="0"/>
              <w:rPr>
                <w:sz w:val="20"/>
                <w:szCs w:val="20"/>
                <w:color w:val="auto"/>
              </w:rPr>
            </w:pPr>
            <w:r>
              <w:rPr>
                <w:rFonts w:ascii="Arial" w:cs="Arial" w:eastAsia="Arial" w:hAnsi="Arial"/>
                <w:sz w:val="13"/>
                <w:szCs w:val="13"/>
                <w:color w:val="auto"/>
              </w:rPr>
              <w:t>South San Francisco</w:t>
            </w:r>
          </w:p>
        </w:tc>
        <w:tc>
          <w:tcPr>
            <w:tcW w:w="780" w:type="dxa"/>
            <w:vAlign w:val="bottom"/>
          </w:tcPr>
          <w:p>
            <w:pPr>
              <w:jc w:val="right"/>
              <w:spacing w:after="0"/>
              <w:rPr>
                <w:sz w:val="20"/>
                <w:szCs w:val="20"/>
                <w:color w:val="auto"/>
              </w:rPr>
            </w:pPr>
            <w:r>
              <w:rPr>
                <w:rFonts w:ascii="Arial" w:cs="Arial" w:eastAsia="Arial" w:hAnsi="Arial"/>
                <w:sz w:val="13"/>
                <w:szCs w:val="13"/>
                <w:color w:val="auto"/>
              </w:rPr>
              <w:t>47.7%</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120" w:type="dxa"/>
            <w:vAlign w:val="bottom"/>
          </w:tcPr>
          <w:p>
            <w:pPr>
              <w:ind w:left="140"/>
              <w:spacing w:after="0"/>
              <w:rPr>
                <w:sz w:val="20"/>
                <w:szCs w:val="20"/>
                <w:color w:val="auto"/>
              </w:rPr>
            </w:pPr>
            <w:r>
              <w:rPr>
                <w:rFonts w:ascii="Arial" w:cs="Arial" w:eastAsia="Arial" w:hAnsi="Arial"/>
                <w:sz w:val="13"/>
                <w:szCs w:val="13"/>
                <w:color w:val="auto"/>
              </w:rPr>
              <w:t>3215 Merryfield Row</w:t>
            </w:r>
          </w:p>
        </w:tc>
        <w:tc>
          <w:tcPr>
            <w:tcW w:w="1660" w:type="dxa"/>
            <w:vAlign w:val="bottom"/>
          </w:tcPr>
          <w:p>
            <w:pPr>
              <w:ind w:left="180"/>
              <w:spacing w:after="0"/>
              <w:rPr>
                <w:sz w:val="20"/>
                <w:szCs w:val="20"/>
                <w:color w:val="auto"/>
              </w:rPr>
            </w:pPr>
            <w:r>
              <w:rPr>
                <w:rFonts w:ascii="Arial" w:cs="Arial" w:eastAsia="Arial" w:hAnsi="Arial"/>
                <w:sz w:val="13"/>
                <w:szCs w:val="13"/>
                <w:color w:val="auto"/>
              </w:rPr>
              <w:t>San Diego</w:t>
            </w:r>
          </w:p>
        </w:tc>
        <w:tc>
          <w:tcPr>
            <w:tcW w:w="1760" w:type="dxa"/>
            <w:vAlign w:val="bottom"/>
          </w:tcPr>
          <w:p>
            <w:pPr>
              <w:ind w:left="100"/>
              <w:spacing w:after="0"/>
              <w:rPr>
                <w:sz w:val="20"/>
                <w:szCs w:val="20"/>
                <w:color w:val="auto"/>
              </w:rPr>
            </w:pPr>
            <w:r>
              <w:rPr>
                <w:rFonts w:ascii="Arial" w:cs="Arial" w:eastAsia="Arial" w:hAnsi="Arial"/>
                <w:sz w:val="13"/>
                <w:szCs w:val="13"/>
                <w:color w:val="auto"/>
              </w:rPr>
              <w:t>Torrey Pines</w:t>
            </w:r>
          </w:p>
        </w:tc>
        <w:tc>
          <w:tcPr>
            <w:tcW w:w="780" w:type="dxa"/>
            <w:vAlign w:val="bottom"/>
          </w:tcPr>
          <w:p>
            <w:pPr>
              <w:jc w:val="right"/>
              <w:spacing w:after="0"/>
              <w:rPr>
                <w:sz w:val="20"/>
                <w:szCs w:val="20"/>
                <w:color w:val="auto"/>
              </w:rPr>
            </w:pPr>
            <w:r>
              <w:rPr>
                <w:rFonts w:ascii="Arial" w:cs="Arial" w:eastAsia="Arial" w:hAnsi="Arial"/>
                <w:sz w:val="13"/>
                <w:szCs w:val="13"/>
                <w:color w:val="auto"/>
              </w:rPr>
              <w:t>30.0%</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3120" w:type="dxa"/>
            <w:vAlign w:val="bottom"/>
          </w:tcPr>
          <w:p>
            <w:pPr>
              <w:ind w:left="140"/>
              <w:spacing w:after="0"/>
              <w:rPr>
                <w:sz w:val="20"/>
                <w:szCs w:val="20"/>
                <w:color w:val="auto"/>
              </w:rPr>
            </w:pPr>
            <w:r>
              <w:rPr>
                <w:rFonts w:ascii="Arial" w:cs="Arial" w:eastAsia="Arial" w:hAnsi="Arial"/>
                <w:sz w:val="13"/>
                <w:szCs w:val="13"/>
                <w:color w:val="auto"/>
              </w:rPr>
              <w:t>Campus Point by Alexandria</w:t>
            </w:r>
            <w:r>
              <w:rPr>
                <w:rFonts w:ascii="Arial" w:cs="Arial" w:eastAsia="Arial" w:hAnsi="Arial"/>
                <w:sz w:val="16"/>
                <w:szCs w:val="16"/>
                <w:color w:val="auto"/>
                <w:vertAlign w:val="superscript"/>
              </w:rPr>
              <w:t>(5)</w:t>
            </w:r>
          </w:p>
        </w:tc>
        <w:tc>
          <w:tcPr>
            <w:tcW w:w="1660" w:type="dxa"/>
            <w:vAlign w:val="bottom"/>
          </w:tcPr>
          <w:p>
            <w:pPr>
              <w:ind w:left="180"/>
              <w:spacing w:after="0"/>
              <w:rPr>
                <w:sz w:val="20"/>
                <w:szCs w:val="20"/>
                <w:color w:val="auto"/>
              </w:rPr>
            </w:pPr>
            <w:r>
              <w:rPr>
                <w:rFonts w:ascii="Arial" w:cs="Arial" w:eastAsia="Arial" w:hAnsi="Arial"/>
                <w:sz w:val="13"/>
                <w:szCs w:val="13"/>
                <w:color w:val="auto"/>
              </w:rPr>
              <w:t>San Diego</w:t>
            </w:r>
          </w:p>
        </w:tc>
        <w:tc>
          <w:tcPr>
            <w:tcW w:w="1760" w:type="dxa"/>
            <w:vAlign w:val="bottom"/>
          </w:tcPr>
          <w:p>
            <w:pPr>
              <w:ind w:left="100"/>
              <w:spacing w:after="0"/>
              <w:rPr>
                <w:sz w:val="20"/>
                <w:szCs w:val="20"/>
                <w:color w:val="auto"/>
              </w:rPr>
            </w:pPr>
            <w:r>
              <w:rPr>
                <w:rFonts w:ascii="Arial" w:cs="Arial" w:eastAsia="Arial" w:hAnsi="Arial"/>
                <w:sz w:val="13"/>
                <w:szCs w:val="13"/>
                <w:color w:val="auto"/>
              </w:rPr>
              <w:t>University Town Center</w:t>
            </w:r>
          </w:p>
        </w:tc>
        <w:tc>
          <w:tcPr>
            <w:tcW w:w="780" w:type="dxa"/>
            <w:vAlign w:val="bottom"/>
          </w:tcPr>
          <w:p>
            <w:pPr>
              <w:jc w:val="right"/>
              <w:spacing w:after="0"/>
              <w:rPr>
                <w:sz w:val="20"/>
                <w:szCs w:val="20"/>
                <w:color w:val="auto"/>
              </w:rPr>
            </w:pPr>
            <w:r>
              <w:rPr>
                <w:rFonts w:ascii="Arial" w:cs="Arial" w:eastAsia="Arial" w:hAnsi="Arial"/>
                <w:sz w:val="13"/>
                <w:szCs w:val="13"/>
                <w:color w:val="auto"/>
              </w:rPr>
              <w:t>55.0%</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120" w:type="dxa"/>
            <w:vAlign w:val="bottom"/>
          </w:tcPr>
          <w:p>
            <w:pPr>
              <w:ind w:left="140"/>
              <w:spacing w:after="0"/>
              <w:rPr>
                <w:sz w:val="20"/>
                <w:szCs w:val="20"/>
                <w:color w:val="auto"/>
              </w:rPr>
            </w:pPr>
            <w:r>
              <w:rPr>
                <w:rFonts w:ascii="Arial" w:cs="Arial" w:eastAsia="Arial" w:hAnsi="Arial"/>
                <w:sz w:val="13"/>
                <w:szCs w:val="13"/>
                <w:color w:val="auto"/>
              </w:rPr>
              <w:t>5200 Illumina Way</w:t>
            </w:r>
          </w:p>
        </w:tc>
        <w:tc>
          <w:tcPr>
            <w:tcW w:w="1660" w:type="dxa"/>
            <w:vAlign w:val="bottom"/>
          </w:tcPr>
          <w:p>
            <w:pPr>
              <w:ind w:left="180"/>
              <w:spacing w:after="0"/>
              <w:rPr>
                <w:sz w:val="20"/>
                <w:szCs w:val="20"/>
                <w:color w:val="auto"/>
              </w:rPr>
            </w:pPr>
            <w:r>
              <w:rPr>
                <w:rFonts w:ascii="Arial" w:cs="Arial" w:eastAsia="Arial" w:hAnsi="Arial"/>
                <w:sz w:val="13"/>
                <w:szCs w:val="13"/>
                <w:color w:val="auto"/>
              </w:rPr>
              <w:t>San Diego</w:t>
            </w:r>
          </w:p>
        </w:tc>
        <w:tc>
          <w:tcPr>
            <w:tcW w:w="1760" w:type="dxa"/>
            <w:vAlign w:val="bottom"/>
          </w:tcPr>
          <w:p>
            <w:pPr>
              <w:ind w:left="100"/>
              <w:spacing w:after="0"/>
              <w:rPr>
                <w:sz w:val="20"/>
                <w:szCs w:val="20"/>
                <w:color w:val="auto"/>
              </w:rPr>
            </w:pPr>
            <w:r>
              <w:rPr>
                <w:rFonts w:ascii="Arial" w:cs="Arial" w:eastAsia="Arial" w:hAnsi="Arial"/>
                <w:sz w:val="13"/>
                <w:szCs w:val="13"/>
                <w:color w:val="auto"/>
              </w:rPr>
              <w:t>University Town Center</w:t>
            </w:r>
          </w:p>
        </w:tc>
        <w:tc>
          <w:tcPr>
            <w:tcW w:w="780" w:type="dxa"/>
            <w:vAlign w:val="bottom"/>
          </w:tcPr>
          <w:p>
            <w:pPr>
              <w:jc w:val="right"/>
              <w:spacing w:after="0"/>
              <w:rPr>
                <w:sz w:val="20"/>
                <w:szCs w:val="20"/>
                <w:color w:val="auto"/>
              </w:rPr>
            </w:pPr>
            <w:r>
              <w:rPr>
                <w:rFonts w:ascii="Arial" w:cs="Arial" w:eastAsia="Arial" w:hAnsi="Arial"/>
                <w:sz w:val="13"/>
                <w:szCs w:val="13"/>
                <w:color w:val="auto"/>
              </w:rPr>
              <w:t>51.0%</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ectPr>
          <w:pgSz w:w="11900" w:h="16897" w:orient="portrait"/>
          <w:cols w:equalWidth="0" w:num="1">
            <w:col w:w="9019"/>
          </w:cols>
          <w:pgMar w:left="1440" w:top="569" w:right="1440" w:bottom="0" w:gutter="0" w:footer="0" w:header="0"/>
        </w:sectPr>
      </w:pPr>
    </w:p>
    <w:bookmarkStart w:id="17" w:name="page18"/>
    <w:bookmarkEnd w:id="1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982345</wp:posOffset>
            </wp:positionH>
            <wp:positionV relativeFrom="page">
              <wp:posOffset>88900</wp:posOffset>
            </wp:positionV>
            <wp:extent cx="5584190" cy="39376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584190" cy="3937635"/>
                    </a:xfrm>
                    <a:prstGeom prst="rect">
                      <a:avLst/>
                    </a:prstGeom>
                    <a:noFill/>
                  </pic:spPr>
                </pic:pic>
              </a:graphicData>
            </a:graphic>
          </wp:anchor>
        </w:drawing>
      </w:r>
    </w:p>
    <w:tbl>
      <w:tblPr>
        <w:tblLayout w:type="fixed"/>
        <w:tblInd w:w="640" w:type="dxa"/>
        <w:tblCellMar>
          <w:top w:w="0" w:type="dxa"/>
          <w:left w:w="0" w:type="dxa"/>
          <w:bottom w:w="0" w:type="dxa"/>
          <w:right w:w="0" w:type="dxa"/>
        </w:tblCellMar>
      </w:tblPr>
      <w:tr>
        <w:trPr>
          <w:trHeight w:val="169"/>
        </w:trPr>
        <w:tc>
          <w:tcPr>
            <w:tcW w:w="3300" w:type="dxa"/>
            <w:vAlign w:val="bottom"/>
            <w:gridSpan w:val="2"/>
          </w:tcPr>
          <w:p>
            <w:pPr>
              <w:ind w:left="180"/>
              <w:spacing w:after="0"/>
              <w:rPr>
                <w:sz w:val="20"/>
                <w:szCs w:val="20"/>
                <w:color w:val="auto"/>
              </w:rPr>
            </w:pPr>
            <w:r>
              <w:rPr>
                <w:rFonts w:ascii="Arial" w:cs="Arial" w:eastAsia="Arial" w:hAnsi="Arial"/>
                <w:sz w:val="13"/>
                <w:szCs w:val="13"/>
                <w:color w:val="auto"/>
              </w:rPr>
              <w:t>9625 Towne Centre Drive</w:t>
            </w:r>
          </w:p>
        </w:tc>
        <w:tc>
          <w:tcPr>
            <w:tcW w:w="1580" w:type="dxa"/>
            <w:vAlign w:val="bottom"/>
          </w:tcPr>
          <w:p>
            <w:pPr>
              <w:ind w:left="40"/>
              <w:spacing w:after="0"/>
              <w:rPr>
                <w:sz w:val="20"/>
                <w:szCs w:val="20"/>
                <w:color w:val="auto"/>
              </w:rPr>
            </w:pPr>
            <w:r>
              <w:rPr>
                <w:rFonts w:ascii="Arial" w:cs="Arial" w:eastAsia="Arial" w:hAnsi="Arial"/>
                <w:sz w:val="13"/>
                <w:szCs w:val="13"/>
                <w:color w:val="auto"/>
              </w:rPr>
              <w:t>San Diego</w:t>
            </w:r>
          </w:p>
        </w:tc>
        <w:tc>
          <w:tcPr>
            <w:tcW w:w="1740" w:type="dxa"/>
            <w:vAlign w:val="bottom"/>
          </w:tcPr>
          <w:p>
            <w:pPr>
              <w:ind w:left="40"/>
              <w:spacing w:after="0"/>
              <w:rPr>
                <w:sz w:val="20"/>
                <w:szCs w:val="20"/>
                <w:color w:val="auto"/>
              </w:rPr>
            </w:pPr>
            <w:r>
              <w:rPr>
                <w:rFonts w:ascii="Arial" w:cs="Arial" w:eastAsia="Arial" w:hAnsi="Arial"/>
                <w:sz w:val="13"/>
                <w:szCs w:val="13"/>
                <w:color w:val="auto"/>
              </w:rPr>
              <w:t>University Town Center</w:t>
            </w:r>
          </w:p>
        </w:tc>
        <w:tc>
          <w:tcPr>
            <w:tcW w:w="740" w:type="dxa"/>
            <w:vAlign w:val="bottom"/>
          </w:tcPr>
          <w:p>
            <w:pPr>
              <w:jc w:val="right"/>
              <w:spacing w:after="0"/>
              <w:rPr>
                <w:sz w:val="20"/>
                <w:szCs w:val="20"/>
                <w:color w:val="auto"/>
              </w:rPr>
            </w:pPr>
            <w:r>
              <w:rPr>
                <w:rFonts w:ascii="Arial" w:cs="Arial" w:eastAsia="Arial" w:hAnsi="Arial"/>
                <w:sz w:val="13"/>
                <w:szCs w:val="13"/>
                <w:color w:val="auto"/>
              </w:rPr>
              <w:t>30.0%</w:t>
            </w: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3300" w:type="dxa"/>
            <w:vAlign w:val="bottom"/>
            <w:gridSpan w:val="2"/>
          </w:tcPr>
          <w:p>
            <w:pPr>
              <w:ind w:left="180"/>
              <w:spacing w:after="0"/>
              <w:rPr>
                <w:sz w:val="20"/>
                <w:szCs w:val="20"/>
                <w:color w:val="auto"/>
              </w:rPr>
            </w:pPr>
            <w:r>
              <w:rPr>
                <w:rFonts w:ascii="Arial" w:cs="Arial" w:eastAsia="Arial" w:hAnsi="Arial"/>
                <w:sz w:val="13"/>
                <w:szCs w:val="13"/>
                <w:color w:val="auto"/>
              </w:rPr>
              <w:t>SD Tech by Alexandria</w:t>
            </w:r>
            <w:r>
              <w:rPr>
                <w:rFonts w:ascii="Arial" w:cs="Arial" w:eastAsia="Arial" w:hAnsi="Arial"/>
                <w:sz w:val="16"/>
                <w:szCs w:val="16"/>
                <w:color w:val="auto"/>
                <w:vertAlign w:val="superscript"/>
              </w:rPr>
              <w:t>(6)</w:t>
            </w:r>
          </w:p>
        </w:tc>
        <w:tc>
          <w:tcPr>
            <w:tcW w:w="1580" w:type="dxa"/>
            <w:vAlign w:val="bottom"/>
          </w:tcPr>
          <w:p>
            <w:pPr>
              <w:ind w:left="40"/>
              <w:spacing w:after="0"/>
              <w:rPr>
                <w:sz w:val="20"/>
                <w:szCs w:val="20"/>
                <w:color w:val="auto"/>
              </w:rPr>
            </w:pPr>
            <w:r>
              <w:rPr>
                <w:rFonts w:ascii="Arial" w:cs="Arial" w:eastAsia="Arial" w:hAnsi="Arial"/>
                <w:sz w:val="13"/>
                <w:szCs w:val="13"/>
                <w:color w:val="auto"/>
              </w:rPr>
              <w:t>San Diego</w:t>
            </w:r>
          </w:p>
        </w:tc>
        <w:tc>
          <w:tcPr>
            <w:tcW w:w="1740" w:type="dxa"/>
            <w:vAlign w:val="bottom"/>
          </w:tcPr>
          <w:p>
            <w:pPr>
              <w:ind w:left="40"/>
              <w:spacing w:after="0"/>
              <w:rPr>
                <w:sz w:val="20"/>
                <w:szCs w:val="20"/>
                <w:color w:val="auto"/>
              </w:rPr>
            </w:pPr>
            <w:r>
              <w:rPr>
                <w:rFonts w:ascii="Arial" w:cs="Arial" w:eastAsia="Arial" w:hAnsi="Arial"/>
                <w:sz w:val="13"/>
                <w:szCs w:val="13"/>
                <w:color w:val="auto"/>
              </w:rPr>
              <w:t>Sorrento Mesa</w:t>
            </w:r>
          </w:p>
        </w:tc>
        <w:tc>
          <w:tcPr>
            <w:tcW w:w="740" w:type="dxa"/>
            <w:vAlign w:val="bottom"/>
          </w:tcPr>
          <w:p>
            <w:pPr>
              <w:jc w:val="right"/>
              <w:spacing w:after="0"/>
              <w:rPr>
                <w:sz w:val="20"/>
                <w:szCs w:val="20"/>
                <w:color w:val="auto"/>
              </w:rPr>
            </w:pPr>
            <w:r>
              <w:rPr>
                <w:rFonts w:ascii="Arial" w:cs="Arial" w:eastAsia="Arial" w:hAnsi="Arial"/>
                <w:sz w:val="13"/>
                <w:szCs w:val="13"/>
                <w:color w:val="auto"/>
              </w:rPr>
              <w:t>50.0%</w:t>
            </w: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300" w:type="dxa"/>
            <w:vAlign w:val="bottom"/>
            <w:gridSpan w:val="2"/>
          </w:tcPr>
          <w:p>
            <w:pPr>
              <w:ind w:left="180"/>
              <w:spacing w:after="0"/>
              <w:rPr>
                <w:sz w:val="20"/>
                <w:szCs w:val="20"/>
                <w:color w:val="auto"/>
              </w:rPr>
            </w:pPr>
            <w:r>
              <w:rPr>
                <w:rFonts w:ascii="Arial" w:cs="Arial" w:eastAsia="Arial" w:hAnsi="Arial"/>
                <w:sz w:val="13"/>
                <w:szCs w:val="13"/>
                <w:color w:val="auto"/>
              </w:rPr>
              <w:t>Pacific Technology Park</w:t>
            </w:r>
          </w:p>
        </w:tc>
        <w:tc>
          <w:tcPr>
            <w:tcW w:w="1580" w:type="dxa"/>
            <w:vAlign w:val="bottom"/>
          </w:tcPr>
          <w:p>
            <w:pPr>
              <w:ind w:left="40"/>
              <w:spacing w:after="0"/>
              <w:rPr>
                <w:sz w:val="20"/>
                <w:szCs w:val="20"/>
                <w:color w:val="auto"/>
              </w:rPr>
            </w:pPr>
            <w:r>
              <w:rPr>
                <w:rFonts w:ascii="Arial" w:cs="Arial" w:eastAsia="Arial" w:hAnsi="Arial"/>
                <w:sz w:val="13"/>
                <w:szCs w:val="13"/>
                <w:color w:val="auto"/>
              </w:rPr>
              <w:t>San Diego</w:t>
            </w:r>
          </w:p>
        </w:tc>
        <w:tc>
          <w:tcPr>
            <w:tcW w:w="1740" w:type="dxa"/>
            <w:vAlign w:val="bottom"/>
          </w:tcPr>
          <w:p>
            <w:pPr>
              <w:ind w:left="40"/>
              <w:spacing w:after="0"/>
              <w:rPr>
                <w:sz w:val="20"/>
                <w:szCs w:val="20"/>
                <w:color w:val="auto"/>
              </w:rPr>
            </w:pPr>
            <w:r>
              <w:rPr>
                <w:rFonts w:ascii="Arial" w:cs="Arial" w:eastAsia="Arial" w:hAnsi="Arial"/>
                <w:sz w:val="13"/>
                <w:szCs w:val="13"/>
                <w:color w:val="auto"/>
              </w:rPr>
              <w:t>Sorrento Mesa</w:t>
            </w:r>
          </w:p>
        </w:tc>
        <w:tc>
          <w:tcPr>
            <w:tcW w:w="740" w:type="dxa"/>
            <w:vAlign w:val="bottom"/>
          </w:tcPr>
          <w:p>
            <w:pPr>
              <w:jc w:val="right"/>
              <w:spacing w:after="0"/>
              <w:rPr>
                <w:sz w:val="20"/>
                <w:szCs w:val="20"/>
                <w:color w:val="auto"/>
              </w:rPr>
            </w:pPr>
            <w:r>
              <w:rPr>
                <w:rFonts w:ascii="Arial" w:cs="Arial" w:eastAsia="Arial" w:hAnsi="Arial"/>
                <w:sz w:val="13"/>
                <w:szCs w:val="13"/>
                <w:color w:val="auto"/>
              </w:rPr>
              <w:t>50.0%</w:t>
            </w: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3300" w:type="dxa"/>
            <w:vAlign w:val="bottom"/>
            <w:gridSpan w:val="2"/>
          </w:tcPr>
          <w:p>
            <w:pPr>
              <w:ind w:left="180"/>
              <w:spacing w:after="0"/>
              <w:rPr>
                <w:sz w:val="20"/>
                <w:szCs w:val="20"/>
                <w:color w:val="auto"/>
              </w:rPr>
            </w:pPr>
            <w:r>
              <w:rPr>
                <w:rFonts w:ascii="Arial" w:cs="Arial" w:eastAsia="Arial" w:hAnsi="Arial"/>
                <w:sz w:val="13"/>
                <w:szCs w:val="13"/>
                <w:color w:val="auto"/>
              </w:rPr>
              <w:t>Summers Ridge Science Park</w:t>
            </w:r>
            <w:r>
              <w:rPr>
                <w:rFonts w:ascii="Arial" w:cs="Arial" w:eastAsia="Arial" w:hAnsi="Arial"/>
                <w:sz w:val="16"/>
                <w:szCs w:val="16"/>
                <w:color w:val="auto"/>
                <w:vertAlign w:val="superscript"/>
              </w:rPr>
              <w:t>(7)</w:t>
            </w:r>
          </w:p>
        </w:tc>
        <w:tc>
          <w:tcPr>
            <w:tcW w:w="1580" w:type="dxa"/>
            <w:vAlign w:val="bottom"/>
          </w:tcPr>
          <w:p>
            <w:pPr>
              <w:ind w:left="40"/>
              <w:spacing w:after="0"/>
              <w:rPr>
                <w:sz w:val="20"/>
                <w:szCs w:val="20"/>
                <w:color w:val="auto"/>
              </w:rPr>
            </w:pPr>
            <w:r>
              <w:rPr>
                <w:rFonts w:ascii="Arial" w:cs="Arial" w:eastAsia="Arial" w:hAnsi="Arial"/>
                <w:sz w:val="13"/>
                <w:szCs w:val="13"/>
                <w:color w:val="auto"/>
              </w:rPr>
              <w:t>San Diego</w:t>
            </w:r>
          </w:p>
        </w:tc>
        <w:tc>
          <w:tcPr>
            <w:tcW w:w="1740" w:type="dxa"/>
            <w:vAlign w:val="bottom"/>
          </w:tcPr>
          <w:p>
            <w:pPr>
              <w:ind w:left="40"/>
              <w:spacing w:after="0"/>
              <w:rPr>
                <w:sz w:val="20"/>
                <w:szCs w:val="20"/>
                <w:color w:val="auto"/>
              </w:rPr>
            </w:pPr>
            <w:r>
              <w:rPr>
                <w:rFonts w:ascii="Arial" w:cs="Arial" w:eastAsia="Arial" w:hAnsi="Arial"/>
                <w:sz w:val="13"/>
                <w:szCs w:val="13"/>
                <w:color w:val="auto"/>
              </w:rPr>
              <w:t>Sorrento Mesa</w:t>
            </w:r>
          </w:p>
        </w:tc>
        <w:tc>
          <w:tcPr>
            <w:tcW w:w="740" w:type="dxa"/>
            <w:vAlign w:val="bottom"/>
          </w:tcPr>
          <w:p>
            <w:pPr>
              <w:jc w:val="right"/>
              <w:spacing w:after="0"/>
              <w:rPr>
                <w:sz w:val="20"/>
                <w:szCs w:val="20"/>
                <w:color w:val="auto"/>
              </w:rPr>
            </w:pPr>
            <w:r>
              <w:rPr>
                <w:rFonts w:ascii="Arial" w:cs="Arial" w:eastAsia="Arial" w:hAnsi="Arial"/>
                <w:sz w:val="13"/>
                <w:szCs w:val="13"/>
                <w:color w:val="auto"/>
              </w:rPr>
              <w:t>30.0%</w:t>
            </w: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9"/>
        </w:trPr>
        <w:tc>
          <w:tcPr>
            <w:tcW w:w="3300" w:type="dxa"/>
            <w:vAlign w:val="bottom"/>
            <w:gridSpan w:val="2"/>
          </w:tcPr>
          <w:p>
            <w:pPr>
              <w:ind w:left="180"/>
              <w:spacing w:after="0" w:line="129" w:lineRule="exact"/>
              <w:rPr>
                <w:sz w:val="20"/>
                <w:szCs w:val="20"/>
                <w:color w:val="auto"/>
              </w:rPr>
            </w:pPr>
            <w:r>
              <w:rPr>
                <w:rFonts w:ascii="Arial" w:cs="Arial" w:eastAsia="Arial" w:hAnsi="Arial"/>
                <w:sz w:val="13"/>
                <w:szCs w:val="13"/>
                <w:color w:val="auto"/>
              </w:rPr>
              <w:t>1201 and 1208 Eastlake Avenue East and 199 East</w:t>
            </w:r>
          </w:p>
        </w:tc>
        <w:tc>
          <w:tcPr>
            <w:tcW w:w="1580" w:type="dxa"/>
            <w:vAlign w:val="bottom"/>
          </w:tcPr>
          <w:p>
            <w:pPr>
              <w:ind w:left="40"/>
              <w:spacing w:after="0" w:line="129" w:lineRule="exact"/>
              <w:rPr>
                <w:sz w:val="20"/>
                <w:szCs w:val="20"/>
                <w:color w:val="auto"/>
              </w:rPr>
            </w:pPr>
            <w:r>
              <w:rPr>
                <w:rFonts w:ascii="Arial" w:cs="Arial" w:eastAsia="Arial" w:hAnsi="Arial"/>
                <w:sz w:val="13"/>
                <w:szCs w:val="13"/>
                <w:color w:val="auto"/>
              </w:rPr>
              <w:t>Seattle</w:t>
            </w:r>
          </w:p>
        </w:tc>
        <w:tc>
          <w:tcPr>
            <w:tcW w:w="1740" w:type="dxa"/>
            <w:vAlign w:val="bottom"/>
          </w:tcPr>
          <w:p>
            <w:pPr>
              <w:ind w:left="40"/>
              <w:spacing w:after="0" w:line="129" w:lineRule="exact"/>
              <w:rPr>
                <w:sz w:val="20"/>
                <w:szCs w:val="20"/>
                <w:color w:val="auto"/>
              </w:rPr>
            </w:pPr>
            <w:r>
              <w:rPr>
                <w:rFonts w:ascii="Arial" w:cs="Arial" w:eastAsia="Arial" w:hAnsi="Arial"/>
                <w:sz w:val="13"/>
                <w:szCs w:val="13"/>
                <w:color w:val="auto"/>
              </w:rPr>
              <w:t>Lake Union</w:t>
            </w:r>
          </w:p>
        </w:tc>
        <w:tc>
          <w:tcPr>
            <w:tcW w:w="740" w:type="dxa"/>
            <w:vAlign w:val="bottom"/>
          </w:tcPr>
          <w:p>
            <w:pPr>
              <w:jc w:val="right"/>
              <w:spacing w:after="0" w:line="129" w:lineRule="exact"/>
              <w:rPr>
                <w:sz w:val="20"/>
                <w:szCs w:val="20"/>
                <w:color w:val="auto"/>
              </w:rPr>
            </w:pPr>
            <w:r>
              <w:rPr>
                <w:rFonts w:ascii="Arial" w:cs="Arial" w:eastAsia="Arial" w:hAnsi="Arial"/>
                <w:sz w:val="13"/>
                <w:szCs w:val="13"/>
                <w:color w:val="auto"/>
              </w:rPr>
              <w:t>30.0%</w:t>
            </w: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3300" w:type="dxa"/>
            <w:vAlign w:val="bottom"/>
            <w:gridSpan w:val="2"/>
          </w:tcPr>
          <w:p>
            <w:pPr>
              <w:ind w:left="300"/>
              <w:spacing w:after="0"/>
              <w:rPr>
                <w:sz w:val="20"/>
                <w:szCs w:val="20"/>
                <w:color w:val="auto"/>
              </w:rPr>
            </w:pPr>
            <w:r>
              <w:rPr>
                <w:rFonts w:ascii="Arial" w:cs="Arial" w:eastAsia="Arial" w:hAnsi="Arial"/>
                <w:sz w:val="13"/>
                <w:szCs w:val="13"/>
                <w:color w:val="auto"/>
              </w:rPr>
              <w:t>Blaine Street</w:t>
            </w:r>
          </w:p>
        </w:tc>
        <w:tc>
          <w:tcPr>
            <w:tcW w:w="15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400" w:type="dxa"/>
            <w:vAlign w:val="bottom"/>
            <w:shd w:val="clear" w:color="auto" w:fill="CCEEFF"/>
          </w:tcPr>
          <w:p>
            <w:pPr>
              <w:ind w:left="180"/>
              <w:spacing w:after="0"/>
              <w:rPr>
                <w:sz w:val="20"/>
                <w:szCs w:val="20"/>
                <w:color w:val="auto"/>
              </w:rPr>
            </w:pPr>
            <w:r>
              <w:rPr>
                <w:rFonts w:ascii="Arial" w:cs="Arial" w:eastAsia="Arial" w:hAnsi="Arial"/>
                <w:sz w:val="13"/>
                <w:szCs w:val="13"/>
                <w:color w:val="auto"/>
                <w:w w:val="92"/>
              </w:rPr>
              <w:t>400</w:t>
            </w:r>
          </w:p>
        </w:tc>
        <w:tc>
          <w:tcPr>
            <w:tcW w:w="2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Dexter Avenue North</w:t>
            </w:r>
          </w:p>
        </w:tc>
        <w:tc>
          <w:tcPr>
            <w:tcW w:w="1580" w:type="dxa"/>
            <w:vAlign w:val="bottom"/>
            <w:shd w:val="clear" w:color="auto" w:fill="CCEEFF"/>
          </w:tcPr>
          <w:p>
            <w:pPr>
              <w:ind w:left="40"/>
              <w:spacing w:after="0"/>
              <w:rPr>
                <w:sz w:val="20"/>
                <w:szCs w:val="20"/>
                <w:color w:val="auto"/>
              </w:rPr>
            </w:pPr>
            <w:r>
              <w:rPr>
                <w:rFonts w:ascii="Arial" w:cs="Arial" w:eastAsia="Arial" w:hAnsi="Arial"/>
                <w:sz w:val="13"/>
                <w:szCs w:val="13"/>
                <w:color w:val="auto"/>
              </w:rPr>
              <w:t>Seattle</w:t>
            </w:r>
          </w:p>
        </w:tc>
        <w:tc>
          <w:tcPr>
            <w:tcW w:w="1740" w:type="dxa"/>
            <w:vAlign w:val="bottom"/>
            <w:shd w:val="clear" w:color="auto" w:fill="CCEEFF"/>
          </w:tcPr>
          <w:p>
            <w:pPr>
              <w:ind w:left="40"/>
              <w:spacing w:after="0"/>
              <w:rPr>
                <w:sz w:val="20"/>
                <w:szCs w:val="20"/>
                <w:color w:val="auto"/>
              </w:rPr>
            </w:pPr>
            <w:r>
              <w:rPr>
                <w:rFonts w:ascii="Arial" w:cs="Arial" w:eastAsia="Arial" w:hAnsi="Arial"/>
                <w:sz w:val="13"/>
                <w:szCs w:val="13"/>
                <w:color w:val="auto"/>
              </w:rPr>
              <w:t>Lake Union</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30.0%</w:t>
            </w: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400" w:type="dxa"/>
            <w:vAlign w:val="bottom"/>
          </w:tcPr>
          <w:p>
            <w:pPr>
              <w:ind w:left="180"/>
              <w:spacing w:after="0"/>
              <w:rPr>
                <w:sz w:val="20"/>
                <w:szCs w:val="20"/>
                <w:color w:val="auto"/>
              </w:rPr>
            </w:pPr>
            <w:r>
              <w:rPr>
                <w:rFonts w:ascii="Arial" w:cs="Arial" w:eastAsia="Arial" w:hAnsi="Arial"/>
                <w:sz w:val="13"/>
                <w:szCs w:val="13"/>
                <w:color w:val="auto"/>
                <w:w w:val="92"/>
              </w:rPr>
              <w:t>800</w:t>
            </w:r>
          </w:p>
        </w:tc>
        <w:tc>
          <w:tcPr>
            <w:tcW w:w="2900" w:type="dxa"/>
            <w:vAlign w:val="bottom"/>
          </w:tcPr>
          <w:p>
            <w:pPr>
              <w:ind w:left="20"/>
              <w:spacing w:after="0"/>
              <w:rPr>
                <w:sz w:val="20"/>
                <w:szCs w:val="20"/>
                <w:color w:val="auto"/>
              </w:rPr>
            </w:pPr>
            <w:r>
              <w:rPr>
                <w:rFonts w:ascii="Arial" w:cs="Arial" w:eastAsia="Arial" w:hAnsi="Arial"/>
                <w:sz w:val="13"/>
                <w:szCs w:val="13"/>
                <w:color w:val="auto"/>
              </w:rPr>
              <w:t>Mercer Street</w:t>
            </w:r>
          </w:p>
        </w:tc>
        <w:tc>
          <w:tcPr>
            <w:tcW w:w="1580" w:type="dxa"/>
            <w:vAlign w:val="bottom"/>
          </w:tcPr>
          <w:p>
            <w:pPr>
              <w:ind w:left="40"/>
              <w:spacing w:after="0"/>
              <w:rPr>
                <w:sz w:val="20"/>
                <w:szCs w:val="20"/>
                <w:color w:val="auto"/>
              </w:rPr>
            </w:pPr>
            <w:r>
              <w:rPr>
                <w:rFonts w:ascii="Arial" w:cs="Arial" w:eastAsia="Arial" w:hAnsi="Arial"/>
                <w:sz w:val="13"/>
                <w:szCs w:val="13"/>
                <w:color w:val="auto"/>
              </w:rPr>
              <w:t>Seattle</w:t>
            </w:r>
          </w:p>
        </w:tc>
        <w:tc>
          <w:tcPr>
            <w:tcW w:w="1740" w:type="dxa"/>
            <w:vAlign w:val="bottom"/>
          </w:tcPr>
          <w:p>
            <w:pPr>
              <w:ind w:left="40"/>
              <w:spacing w:after="0"/>
              <w:rPr>
                <w:sz w:val="20"/>
                <w:szCs w:val="20"/>
                <w:color w:val="auto"/>
              </w:rPr>
            </w:pPr>
            <w:r>
              <w:rPr>
                <w:rFonts w:ascii="Arial" w:cs="Arial" w:eastAsia="Arial" w:hAnsi="Arial"/>
                <w:sz w:val="13"/>
                <w:szCs w:val="13"/>
                <w:color w:val="auto"/>
              </w:rPr>
              <w:t>Lake Union</w:t>
            </w:r>
          </w:p>
        </w:tc>
        <w:tc>
          <w:tcPr>
            <w:tcW w:w="740" w:type="dxa"/>
            <w:vAlign w:val="bottom"/>
          </w:tcPr>
          <w:p>
            <w:pPr>
              <w:jc w:val="right"/>
              <w:spacing w:after="0"/>
              <w:rPr>
                <w:sz w:val="20"/>
                <w:szCs w:val="20"/>
                <w:color w:val="auto"/>
              </w:rPr>
            </w:pPr>
            <w:r>
              <w:rPr>
                <w:rFonts w:ascii="Arial" w:cs="Arial" w:eastAsia="Arial" w:hAnsi="Arial"/>
                <w:sz w:val="13"/>
                <w:szCs w:val="13"/>
                <w:color w:val="auto"/>
              </w:rPr>
              <w:t>60.0%</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3300" w:type="dxa"/>
            <w:vAlign w:val="bottom"/>
            <w:gridSpan w:val="2"/>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3300" w:type="dxa"/>
            <w:vAlign w:val="bottom"/>
            <w:gridSpan w:val="2"/>
          </w:tcPr>
          <w:p>
            <w:pPr>
              <w:ind w:left="40"/>
              <w:spacing w:after="0"/>
              <w:rPr>
                <w:sz w:val="20"/>
                <w:szCs w:val="20"/>
                <w:color w:val="auto"/>
              </w:rPr>
            </w:pPr>
            <w:r>
              <w:rPr>
                <w:rFonts w:ascii="Arial" w:cs="Arial" w:eastAsia="Arial" w:hAnsi="Arial"/>
                <w:sz w:val="13"/>
                <w:szCs w:val="13"/>
                <w:i w:val="1"/>
                <w:iCs w:val="1"/>
                <w:color w:val="auto"/>
              </w:rPr>
              <w:t>Unconsolidated real estate joint ventures</w:t>
            </w:r>
            <w:r>
              <w:rPr>
                <w:rFonts w:ascii="Arial" w:cs="Arial" w:eastAsia="Arial" w:hAnsi="Arial"/>
                <w:sz w:val="16"/>
                <w:szCs w:val="16"/>
                <w:i w:val="1"/>
                <w:iCs w:val="1"/>
                <w:color w:val="auto"/>
                <w:vertAlign w:val="superscript"/>
              </w:rPr>
              <w:t>(2)</w:t>
            </w:r>
            <w:r>
              <w:rPr>
                <w:rFonts w:ascii="Arial" w:cs="Arial" w:eastAsia="Arial" w:hAnsi="Arial"/>
                <w:sz w:val="13"/>
                <w:szCs w:val="13"/>
                <w:i w:val="1"/>
                <w:iCs w:val="1"/>
                <w:color w:val="auto"/>
              </w:rPr>
              <w:t>:</w:t>
            </w:r>
          </w:p>
        </w:tc>
        <w:tc>
          <w:tcPr>
            <w:tcW w:w="15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3300" w:type="dxa"/>
            <w:vAlign w:val="bottom"/>
            <w:gridSpan w:val="2"/>
          </w:tcPr>
          <w:p>
            <w:pPr>
              <w:ind w:left="180"/>
              <w:spacing w:after="0"/>
              <w:rPr>
                <w:sz w:val="20"/>
                <w:szCs w:val="20"/>
                <w:color w:val="auto"/>
              </w:rPr>
            </w:pPr>
            <w:r>
              <w:rPr>
                <w:rFonts w:ascii="Arial" w:cs="Arial" w:eastAsia="Arial" w:hAnsi="Arial"/>
                <w:sz w:val="13"/>
                <w:szCs w:val="13"/>
                <w:color w:val="auto"/>
              </w:rPr>
              <w:t>1655 and 1725 Third Street</w:t>
            </w:r>
          </w:p>
        </w:tc>
        <w:tc>
          <w:tcPr>
            <w:tcW w:w="1580" w:type="dxa"/>
            <w:vAlign w:val="bottom"/>
          </w:tcPr>
          <w:p>
            <w:pPr>
              <w:ind w:left="40"/>
              <w:spacing w:after="0"/>
              <w:rPr>
                <w:sz w:val="20"/>
                <w:szCs w:val="20"/>
                <w:color w:val="auto"/>
              </w:rPr>
            </w:pPr>
            <w:r>
              <w:rPr>
                <w:rFonts w:ascii="Arial" w:cs="Arial" w:eastAsia="Arial" w:hAnsi="Arial"/>
                <w:sz w:val="13"/>
                <w:szCs w:val="13"/>
                <w:color w:val="auto"/>
              </w:rPr>
              <w:t>San Francisco Bay Area</w:t>
            </w:r>
          </w:p>
        </w:tc>
        <w:tc>
          <w:tcPr>
            <w:tcW w:w="1740" w:type="dxa"/>
            <w:vAlign w:val="bottom"/>
          </w:tcPr>
          <w:p>
            <w:pPr>
              <w:ind w:left="40"/>
              <w:spacing w:after="0"/>
              <w:rPr>
                <w:sz w:val="20"/>
                <w:szCs w:val="20"/>
                <w:color w:val="auto"/>
              </w:rPr>
            </w:pPr>
            <w:r>
              <w:rPr>
                <w:rFonts w:ascii="Arial" w:cs="Arial" w:eastAsia="Arial" w:hAnsi="Arial"/>
                <w:sz w:val="13"/>
                <w:szCs w:val="13"/>
                <w:color w:val="auto"/>
              </w:rPr>
              <w:t>Mission Bay</w:t>
            </w:r>
          </w:p>
        </w:tc>
        <w:tc>
          <w:tcPr>
            <w:tcW w:w="740" w:type="dxa"/>
            <w:vAlign w:val="bottom"/>
          </w:tcPr>
          <w:p>
            <w:pPr>
              <w:jc w:val="right"/>
              <w:spacing w:after="0"/>
              <w:rPr>
                <w:sz w:val="20"/>
                <w:szCs w:val="20"/>
                <w:color w:val="auto"/>
              </w:rPr>
            </w:pPr>
            <w:r>
              <w:rPr>
                <w:rFonts w:ascii="Arial" w:cs="Arial" w:eastAsia="Arial" w:hAnsi="Arial"/>
                <w:sz w:val="13"/>
                <w:szCs w:val="13"/>
                <w:color w:val="auto"/>
              </w:rPr>
              <w:t>10.0%</w:t>
            </w:r>
          </w:p>
        </w:tc>
        <w:tc>
          <w:tcPr>
            <w:tcW w:w="380" w:type="dxa"/>
            <w:vAlign w:val="bottom"/>
            <w:vMerge w:val="restart"/>
          </w:tcPr>
          <w:p>
            <w:pPr>
              <w:jc w:val="right"/>
              <w:ind w:right="178"/>
              <w:spacing w:after="0"/>
              <w:rPr>
                <w:sz w:val="20"/>
                <w:szCs w:val="20"/>
                <w:color w:val="auto"/>
              </w:rPr>
            </w:pPr>
            <w:r>
              <w:rPr>
                <w:rFonts w:ascii="Arial" w:cs="Arial" w:eastAsia="Arial" w:hAnsi="Arial"/>
                <w:sz w:val="8"/>
                <w:szCs w:val="8"/>
                <w:color w:val="auto"/>
              </w:rPr>
              <w:t>(8)</w:t>
            </w:r>
          </w:p>
        </w:tc>
        <w:tc>
          <w:tcPr>
            <w:tcW w:w="0" w:type="dxa"/>
            <w:vAlign w:val="bottom"/>
          </w:tcPr>
          <w:p>
            <w:pPr>
              <w:spacing w:after="0"/>
              <w:rPr>
                <w:sz w:val="1"/>
                <w:szCs w:val="1"/>
                <w:color w:val="auto"/>
              </w:rPr>
            </w:pPr>
          </w:p>
        </w:tc>
      </w:tr>
      <w:tr>
        <w:trPr>
          <w:trHeight w:val="136"/>
        </w:trPr>
        <w:tc>
          <w:tcPr>
            <w:tcW w:w="3300" w:type="dxa"/>
            <w:vAlign w:val="bottom"/>
            <w:gridSpan w:val="2"/>
            <w:vMerge w:val="restart"/>
          </w:tcPr>
          <w:p>
            <w:pPr>
              <w:ind w:left="180"/>
              <w:spacing w:after="0"/>
              <w:rPr>
                <w:sz w:val="20"/>
                <w:szCs w:val="20"/>
                <w:color w:val="auto"/>
              </w:rPr>
            </w:pPr>
            <w:r>
              <w:rPr>
                <w:rFonts w:ascii="Arial" w:cs="Arial" w:eastAsia="Arial" w:hAnsi="Arial"/>
                <w:sz w:val="13"/>
                <w:szCs w:val="13"/>
                <w:color w:val="auto"/>
              </w:rPr>
              <w:t>1401/1413 Research Boulevard</w:t>
            </w:r>
          </w:p>
        </w:tc>
        <w:tc>
          <w:tcPr>
            <w:tcW w:w="1580" w:type="dxa"/>
            <w:vAlign w:val="bottom"/>
            <w:vMerge w:val="restart"/>
          </w:tcPr>
          <w:p>
            <w:pPr>
              <w:ind w:left="40"/>
              <w:spacing w:after="0"/>
              <w:rPr>
                <w:sz w:val="20"/>
                <w:szCs w:val="20"/>
                <w:color w:val="auto"/>
              </w:rPr>
            </w:pPr>
            <w:r>
              <w:rPr>
                <w:rFonts w:ascii="Arial" w:cs="Arial" w:eastAsia="Arial" w:hAnsi="Arial"/>
                <w:sz w:val="13"/>
                <w:szCs w:val="13"/>
                <w:color w:val="auto"/>
              </w:rPr>
              <w:t>Maryland</w:t>
            </w:r>
          </w:p>
        </w:tc>
        <w:tc>
          <w:tcPr>
            <w:tcW w:w="1740" w:type="dxa"/>
            <w:vAlign w:val="bottom"/>
            <w:vMerge w:val="restart"/>
          </w:tcPr>
          <w:p>
            <w:pPr>
              <w:ind w:left="40"/>
              <w:spacing w:after="0"/>
              <w:rPr>
                <w:sz w:val="20"/>
                <w:szCs w:val="20"/>
                <w:color w:val="auto"/>
              </w:rPr>
            </w:pPr>
            <w:r>
              <w:rPr>
                <w:rFonts w:ascii="Arial" w:cs="Arial" w:eastAsia="Arial" w:hAnsi="Arial"/>
                <w:sz w:val="13"/>
                <w:szCs w:val="13"/>
                <w:color w:val="auto"/>
              </w:rPr>
              <w:t>Rockville</w:t>
            </w: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65.0%</w:t>
            </w:r>
          </w:p>
        </w:tc>
        <w:tc>
          <w:tcPr>
            <w:tcW w:w="3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3300" w:type="dxa"/>
            <w:vAlign w:val="bottom"/>
            <w:gridSpan w:val="2"/>
            <w:vMerge w:val="continue"/>
          </w:tcPr>
          <w:p>
            <w:pPr>
              <w:spacing w:after="0"/>
              <w:rPr>
                <w:sz w:val="5"/>
                <w:szCs w:val="5"/>
                <w:color w:val="auto"/>
              </w:rPr>
            </w:pPr>
          </w:p>
        </w:tc>
        <w:tc>
          <w:tcPr>
            <w:tcW w:w="1580" w:type="dxa"/>
            <w:vAlign w:val="bottom"/>
            <w:vMerge w:val="continue"/>
          </w:tcPr>
          <w:p>
            <w:pPr>
              <w:spacing w:after="0"/>
              <w:rPr>
                <w:sz w:val="5"/>
                <w:szCs w:val="5"/>
                <w:color w:val="auto"/>
              </w:rPr>
            </w:pPr>
          </w:p>
        </w:tc>
        <w:tc>
          <w:tcPr>
            <w:tcW w:w="174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380" w:type="dxa"/>
            <w:vAlign w:val="bottom"/>
            <w:vMerge w:val="restart"/>
          </w:tcPr>
          <w:p>
            <w:pPr>
              <w:jc w:val="right"/>
              <w:ind w:right="178"/>
              <w:spacing w:after="0"/>
              <w:rPr>
                <w:sz w:val="20"/>
                <w:szCs w:val="20"/>
                <w:color w:val="auto"/>
              </w:rPr>
            </w:pPr>
            <w:r>
              <w:rPr>
                <w:rFonts w:ascii="Arial" w:cs="Arial" w:eastAsia="Arial" w:hAnsi="Arial"/>
                <w:sz w:val="8"/>
                <w:szCs w:val="8"/>
                <w:color w:val="auto"/>
              </w:rPr>
              <w:t>(8)</w:t>
            </w:r>
          </w:p>
        </w:tc>
        <w:tc>
          <w:tcPr>
            <w:tcW w:w="0" w:type="dxa"/>
            <w:vAlign w:val="bottom"/>
          </w:tcPr>
          <w:p>
            <w:pPr>
              <w:spacing w:after="0"/>
              <w:rPr>
                <w:sz w:val="1"/>
                <w:szCs w:val="1"/>
                <w:color w:val="auto"/>
              </w:rPr>
            </w:pPr>
          </w:p>
        </w:tc>
      </w:tr>
      <w:tr>
        <w:trPr>
          <w:trHeight w:val="204"/>
        </w:trPr>
        <w:tc>
          <w:tcPr>
            <w:tcW w:w="3300" w:type="dxa"/>
            <w:vAlign w:val="bottom"/>
            <w:gridSpan w:val="2"/>
          </w:tcPr>
          <w:p>
            <w:pPr>
              <w:ind w:left="180"/>
              <w:spacing w:after="0"/>
              <w:rPr>
                <w:sz w:val="20"/>
                <w:szCs w:val="20"/>
                <w:color w:val="auto"/>
              </w:rPr>
            </w:pPr>
            <w:r>
              <w:rPr>
                <w:rFonts w:ascii="Arial" w:cs="Arial" w:eastAsia="Arial" w:hAnsi="Arial"/>
                <w:sz w:val="13"/>
                <w:szCs w:val="13"/>
                <w:color w:val="auto"/>
              </w:rPr>
              <w:t>1450 Research Boulevard</w:t>
            </w:r>
          </w:p>
        </w:tc>
        <w:tc>
          <w:tcPr>
            <w:tcW w:w="1580" w:type="dxa"/>
            <w:vAlign w:val="bottom"/>
          </w:tcPr>
          <w:p>
            <w:pPr>
              <w:ind w:left="40"/>
              <w:spacing w:after="0"/>
              <w:rPr>
                <w:sz w:val="20"/>
                <w:szCs w:val="20"/>
                <w:color w:val="auto"/>
              </w:rPr>
            </w:pPr>
            <w:r>
              <w:rPr>
                <w:rFonts w:ascii="Arial" w:cs="Arial" w:eastAsia="Arial" w:hAnsi="Arial"/>
                <w:sz w:val="13"/>
                <w:szCs w:val="13"/>
                <w:color w:val="auto"/>
              </w:rPr>
              <w:t>Maryland</w:t>
            </w:r>
          </w:p>
        </w:tc>
        <w:tc>
          <w:tcPr>
            <w:tcW w:w="1740" w:type="dxa"/>
            <w:vAlign w:val="bottom"/>
          </w:tcPr>
          <w:p>
            <w:pPr>
              <w:ind w:left="40"/>
              <w:spacing w:after="0"/>
              <w:rPr>
                <w:sz w:val="20"/>
                <w:szCs w:val="20"/>
                <w:color w:val="auto"/>
              </w:rPr>
            </w:pPr>
            <w:r>
              <w:rPr>
                <w:rFonts w:ascii="Arial" w:cs="Arial" w:eastAsia="Arial" w:hAnsi="Arial"/>
                <w:sz w:val="13"/>
                <w:szCs w:val="13"/>
                <w:color w:val="auto"/>
              </w:rPr>
              <w:t>Rockville</w:t>
            </w:r>
          </w:p>
        </w:tc>
        <w:tc>
          <w:tcPr>
            <w:tcW w:w="740" w:type="dxa"/>
            <w:vAlign w:val="bottom"/>
          </w:tcPr>
          <w:p>
            <w:pPr>
              <w:jc w:val="right"/>
              <w:spacing w:after="0"/>
              <w:rPr>
                <w:sz w:val="20"/>
                <w:szCs w:val="20"/>
                <w:color w:val="auto"/>
              </w:rPr>
            </w:pPr>
            <w:r>
              <w:rPr>
                <w:rFonts w:ascii="Arial" w:cs="Arial" w:eastAsia="Arial" w:hAnsi="Arial"/>
                <w:sz w:val="13"/>
                <w:szCs w:val="13"/>
                <w:color w:val="auto"/>
              </w:rPr>
              <w:t>73.2%</w:t>
            </w:r>
          </w:p>
        </w:tc>
        <w:tc>
          <w:tcPr>
            <w:tcW w:w="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00" w:type="dxa"/>
            <w:vAlign w:val="bottom"/>
          </w:tcPr>
          <w:p>
            <w:pPr>
              <w:ind w:left="180"/>
              <w:spacing w:after="0"/>
              <w:rPr>
                <w:sz w:val="20"/>
                <w:szCs w:val="20"/>
                <w:color w:val="auto"/>
              </w:rPr>
            </w:pPr>
            <w:r>
              <w:rPr>
                <w:rFonts w:ascii="Arial" w:cs="Arial" w:eastAsia="Arial" w:hAnsi="Arial"/>
                <w:sz w:val="13"/>
                <w:szCs w:val="13"/>
                <w:color w:val="auto"/>
                <w:w w:val="92"/>
              </w:rPr>
              <w:t>101</w:t>
            </w:r>
          </w:p>
        </w:tc>
        <w:tc>
          <w:tcPr>
            <w:tcW w:w="2900" w:type="dxa"/>
            <w:vAlign w:val="bottom"/>
          </w:tcPr>
          <w:p>
            <w:pPr>
              <w:ind w:left="20"/>
              <w:spacing w:after="0"/>
              <w:rPr>
                <w:sz w:val="20"/>
                <w:szCs w:val="20"/>
                <w:color w:val="auto"/>
              </w:rPr>
            </w:pPr>
            <w:r>
              <w:rPr>
                <w:rFonts w:ascii="Arial" w:cs="Arial" w:eastAsia="Arial" w:hAnsi="Arial"/>
                <w:sz w:val="13"/>
                <w:szCs w:val="13"/>
                <w:color w:val="auto"/>
              </w:rPr>
              <w:t>West Dickman Street</w:t>
            </w:r>
          </w:p>
        </w:tc>
        <w:tc>
          <w:tcPr>
            <w:tcW w:w="1580" w:type="dxa"/>
            <w:vAlign w:val="bottom"/>
          </w:tcPr>
          <w:p>
            <w:pPr>
              <w:ind w:left="40"/>
              <w:spacing w:after="0"/>
              <w:rPr>
                <w:sz w:val="20"/>
                <w:szCs w:val="20"/>
                <w:color w:val="auto"/>
              </w:rPr>
            </w:pPr>
            <w:r>
              <w:rPr>
                <w:rFonts w:ascii="Arial" w:cs="Arial" w:eastAsia="Arial" w:hAnsi="Arial"/>
                <w:sz w:val="13"/>
                <w:szCs w:val="13"/>
                <w:color w:val="auto"/>
              </w:rPr>
              <w:t>Maryland</w:t>
            </w:r>
          </w:p>
        </w:tc>
        <w:tc>
          <w:tcPr>
            <w:tcW w:w="1740" w:type="dxa"/>
            <w:vAlign w:val="bottom"/>
          </w:tcPr>
          <w:p>
            <w:pPr>
              <w:ind w:left="40"/>
              <w:spacing w:after="0"/>
              <w:rPr>
                <w:sz w:val="20"/>
                <w:szCs w:val="20"/>
                <w:color w:val="auto"/>
              </w:rPr>
            </w:pPr>
            <w:r>
              <w:rPr>
                <w:rFonts w:ascii="Arial" w:cs="Arial" w:eastAsia="Arial" w:hAnsi="Arial"/>
                <w:sz w:val="13"/>
                <w:szCs w:val="13"/>
                <w:color w:val="auto"/>
              </w:rPr>
              <w:t>Beltsville</w:t>
            </w:r>
          </w:p>
        </w:tc>
        <w:tc>
          <w:tcPr>
            <w:tcW w:w="740" w:type="dxa"/>
            <w:vAlign w:val="bottom"/>
          </w:tcPr>
          <w:p>
            <w:pPr>
              <w:jc w:val="right"/>
              <w:spacing w:after="0"/>
              <w:rPr>
                <w:sz w:val="20"/>
                <w:szCs w:val="20"/>
                <w:color w:val="auto"/>
              </w:rPr>
            </w:pPr>
            <w:r>
              <w:rPr>
                <w:rFonts w:ascii="Arial" w:cs="Arial" w:eastAsia="Arial" w:hAnsi="Arial"/>
                <w:sz w:val="13"/>
                <w:szCs w:val="13"/>
                <w:color w:val="auto"/>
              </w:rPr>
              <w:t>58.2%</w:t>
            </w:r>
          </w:p>
        </w:tc>
        <w:tc>
          <w:tcPr>
            <w:tcW w:w="380" w:type="dxa"/>
            <w:vAlign w:val="bottom"/>
          </w:tcPr>
          <w:p>
            <w:pPr>
              <w:jc w:val="right"/>
              <w:ind w:right="178"/>
              <w:spacing w:after="0"/>
              <w:rPr>
                <w:sz w:val="20"/>
                <w:szCs w:val="20"/>
                <w:color w:val="auto"/>
              </w:rPr>
            </w:pPr>
            <w:r>
              <w:rPr>
                <w:rFonts w:ascii="Arial" w:cs="Arial" w:eastAsia="Arial" w:hAnsi="Arial"/>
                <w:sz w:val="8"/>
                <w:szCs w:val="8"/>
                <w:color w:val="auto"/>
              </w:rPr>
              <w:t>(8)</w:t>
            </w: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900" w:hanging="262"/>
        <w:spacing w:after="0"/>
        <w:tabs>
          <w:tab w:leader="none" w:pos="900" w:val="left"/>
        </w:tabs>
        <w:numPr>
          <w:ilvl w:val="0"/>
          <w:numId w:val="34"/>
        </w:numPr>
        <w:rPr>
          <w:rFonts w:ascii="Arial" w:cs="Arial" w:eastAsia="Arial" w:hAnsi="Arial"/>
          <w:sz w:val="10"/>
          <w:szCs w:val="10"/>
          <w:color w:val="auto"/>
        </w:rPr>
      </w:pPr>
      <w:r>
        <w:rPr>
          <w:rFonts w:ascii="Arial" w:cs="Arial" w:eastAsia="Arial" w:hAnsi="Arial"/>
          <w:sz w:val="10"/>
          <w:szCs w:val="10"/>
          <w:color w:val="auto"/>
        </w:rPr>
        <w:t>Refer to the table on the next page that shows the categorization of our joint ventures under the consolidation framework.</w:t>
      </w:r>
    </w:p>
    <w:p>
      <w:pPr>
        <w:spacing w:after="0" w:line="13" w:lineRule="exact"/>
        <w:rPr>
          <w:rFonts w:ascii="Arial" w:cs="Arial" w:eastAsia="Arial" w:hAnsi="Arial"/>
          <w:sz w:val="10"/>
          <w:szCs w:val="10"/>
          <w:color w:val="auto"/>
        </w:rPr>
      </w:pPr>
    </w:p>
    <w:p>
      <w:pPr>
        <w:ind w:left="900" w:right="699" w:hanging="262"/>
        <w:spacing w:after="0" w:line="246" w:lineRule="auto"/>
        <w:tabs>
          <w:tab w:leader="none" w:pos="900" w:val="left"/>
        </w:tabs>
        <w:numPr>
          <w:ilvl w:val="0"/>
          <w:numId w:val="34"/>
        </w:numPr>
        <w:rPr>
          <w:rFonts w:ascii="Arial" w:cs="Arial" w:eastAsia="Arial" w:hAnsi="Arial"/>
          <w:sz w:val="10"/>
          <w:szCs w:val="10"/>
          <w:color w:val="auto"/>
        </w:rPr>
      </w:pPr>
      <w:r>
        <w:rPr>
          <w:rFonts w:ascii="Arial" w:cs="Arial" w:eastAsia="Arial" w:hAnsi="Arial"/>
          <w:sz w:val="10"/>
          <w:szCs w:val="10"/>
          <w:color w:val="auto"/>
        </w:rPr>
        <w:t>In addition to the real estate joint ventures listed, various partners hold insignificant noncontrolling interests in three other consolidated real estate joint ventures in North America and we hold an interest in one other insignificant unconsolidated real estate joint venture in North America.</w:t>
      </w:r>
    </w:p>
    <w:p>
      <w:pPr>
        <w:ind w:left="900" w:hanging="262"/>
        <w:spacing w:after="0"/>
        <w:tabs>
          <w:tab w:leader="none" w:pos="900" w:val="left"/>
        </w:tabs>
        <w:numPr>
          <w:ilvl w:val="0"/>
          <w:numId w:val="34"/>
        </w:numPr>
        <w:rPr>
          <w:rFonts w:ascii="Arial" w:cs="Arial" w:eastAsia="Arial" w:hAnsi="Arial"/>
          <w:sz w:val="10"/>
          <w:szCs w:val="10"/>
          <w:color w:val="auto"/>
        </w:rPr>
      </w:pPr>
      <w:r>
        <w:rPr>
          <w:rFonts w:ascii="Arial" w:cs="Arial" w:eastAsia="Arial" w:hAnsi="Arial"/>
          <w:sz w:val="10"/>
          <w:szCs w:val="10"/>
          <w:color w:val="auto"/>
        </w:rPr>
        <w:t>Includes 409 and 499 Illinois Street, 1500 and 1700 Owens Street, and 455 Mission Bay Boulevard South.</w:t>
      </w:r>
    </w:p>
    <w:p>
      <w:pPr>
        <w:spacing w:after="0" w:line="7" w:lineRule="exact"/>
        <w:rPr>
          <w:rFonts w:ascii="Arial" w:cs="Arial" w:eastAsia="Arial" w:hAnsi="Arial"/>
          <w:sz w:val="10"/>
          <w:szCs w:val="10"/>
          <w:color w:val="auto"/>
        </w:rPr>
      </w:pPr>
    </w:p>
    <w:p>
      <w:pPr>
        <w:ind w:left="900" w:right="659" w:hanging="262"/>
        <w:spacing w:after="0" w:line="250" w:lineRule="auto"/>
        <w:tabs>
          <w:tab w:leader="none" w:pos="900" w:val="left"/>
        </w:tabs>
        <w:numPr>
          <w:ilvl w:val="0"/>
          <w:numId w:val="34"/>
        </w:numPr>
        <w:rPr>
          <w:rFonts w:ascii="Arial" w:cs="Arial" w:eastAsia="Arial" w:hAnsi="Arial"/>
          <w:sz w:val="10"/>
          <w:szCs w:val="10"/>
          <w:color w:val="auto"/>
        </w:rPr>
      </w:pPr>
      <w:r>
        <w:rPr>
          <w:rFonts w:ascii="Arial" w:cs="Arial" w:eastAsia="Arial" w:hAnsi="Arial"/>
          <w:sz w:val="10"/>
          <w:szCs w:val="10"/>
          <w:color w:val="auto"/>
        </w:rPr>
        <w:t>During the six months ended June 30, 2024, our equity ownership decreased from 40.6% to 26.3% based on continued funding of construction costs by our joint venture partner and a reallocation of equity to our joint venture partner of $30.2 million from us. The noncontrolling interest share of our joint venture partner is anticipated to increase to 75% and ours to decrease to 25% as our partner contributes additional equity to fund the construction of the project.</w:t>
      </w:r>
    </w:p>
    <w:p>
      <w:pPr>
        <w:spacing w:after="0" w:line="1" w:lineRule="exact"/>
        <w:rPr>
          <w:rFonts w:ascii="Arial" w:cs="Arial" w:eastAsia="Arial" w:hAnsi="Arial"/>
          <w:sz w:val="10"/>
          <w:szCs w:val="10"/>
          <w:color w:val="auto"/>
        </w:rPr>
      </w:pPr>
    </w:p>
    <w:p>
      <w:pPr>
        <w:ind w:left="900" w:hanging="262"/>
        <w:spacing w:after="0"/>
        <w:tabs>
          <w:tab w:leader="none" w:pos="900" w:val="left"/>
        </w:tabs>
        <w:numPr>
          <w:ilvl w:val="0"/>
          <w:numId w:val="34"/>
        </w:numPr>
        <w:rPr>
          <w:rFonts w:ascii="Arial" w:cs="Arial" w:eastAsia="Arial" w:hAnsi="Arial"/>
          <w:sz w:val="10"/>
          <w:szCs w:val="10"/>
          <w:color w:val="auto"/>
        </w:rPr>
      </w:pPr>
      <w:r>
        <w:rPr>
          <w:rFonts w:ascii="Arial" w:cs="Arial" w:eastAsia="Arial" w:hAnsi="Arial"/>
          <w:sz w:val="10"/>
          <w:szCs w:val="10"/>
          <w:color w:val="auto"/>
        </w:rPr>
        <w:t>Includes 10210, 10260, 10290, and 10300 Campus Point Drive and 4110, 4135, 4155, 4161, 4165, 4224, and 4242 Campus Point Court.</w:t>
      </w:r>
    </w:p>
    <w:p>
      <w:pPr>
        <w:spacing w:after="0" w:line="3" w:lineRule="exact"/>
        <w:rPr>
          <w:rFonts w:ascii="Arial" w:cs="Arial" w:eastAsia="Arial" w:hAnsi="Arial"/>
          <w:sz w:val="10"/>
          <w:szCs w:val="10"/>
          <w:color w:val="auto"/>
        </w:rPr>
      </w:pPr>
    </w:p>
    <w:p>
      <w:pPr>
        <w:ind w:left="900" w:hanging="262"/>
        <w:spacing w:after="0"/>
        <w:tabs>
          <w:tab w:leader="none" w:pos="900" w:val="left"/>
        </w:tabs>
        <w:numPr>
          <w:ilvl w:val="0"/>
          <w:numId w:val="34"/>
        </w:numPr>
        <w:rPr>
          <w:rFonts w:ascii="Arial" w:cs="Arial" w:eastAsia="Arial" w:hAnsi="Arial"/>
          <w:sz w:val="10"/>
          <w:szCs w:val="10"/>
          <w:color w:val="auto"/>
        </w:rPr>
      </w:pPr>
      <w:r>
        <w:rPr>
          <w:rFonts w:ascii="Arial" w:cs="Arial" w:eastAsia="Arial" w:hAnsi="Arial"/>
          <w:sz w:val="10"/>
          <w:szCs w:val="10"/>
          <w:color w:val="auto"/>
        </w:rPr>
        <w:t>Includes 9605, 9645, 9675, 9685, 9725, 9735, 9805, 9808, 9855, and 9868 Scranton Road and 10055, 10065, and 10075 Barnes Canyon Road.</w:t>
      </w:r>
    </w:p>
    <w:p>
      <w:pPr>
        <w:spacing w:after="0" w:line="3" w:lineRule="exact"/>
        <w:rPr>
          <w:rFonts w:ascii="Arial" w:cs="Arial" w:eastAsia="Arial" w:hAnsi="Arial"/>
          <w:sz w:val="10"/>
          <w:szCs w:val="10"/>
          <w:color w:val="auto"/>
        </w:rPr>
      </w:pPr>
    </w:p>
    <w:p>
      <w:pPr>
        <w:ind w:left="900" w:hanging="262"/>
        <w:spacing w:after="0"/>
        <w:tabs>
          <w:tab w:leader="none" w:pos="900" w:val="left"/>
        </w:tabs>
        <w:numPr>
          <w:ilvl w:val="0"/>
          <w:numId w:val="34"/>
        </w:numPr>
        <w:rPr>
          <w:rFonts w:ascii="Arial" w:cs="Arial" w:eastAsia="Arial" w:hAnsi="Arial"/>
          <w:sz w:val="10"/>
          <w:szCs w:val="10"/>
          <w:color w:val="auto"/>
        </w:rPr>
      </w:pPr>
      <w:r>
        <w:rPr>
          <w:rFonts w:ascii="Arial" w:cs="Arial" w:eastAsia="Arial" w:hAnsi="Arial"/>
          <w:sz w:val="10"/>
          <w:szCs w:val="10"/>
          <w:color w:val="auto"/>
        </w:rPr>
        <w:t>Includes 9965, 9975, 9985, and 9995 Summers Ridge Road.</w:t>
      </w:r>
    </w:p>
    <w:p>
      <w:pPr>
        <w:spacing w:after="0" w:line="3" w:lineRule="exact"/>
        <w:rPr>
          <w:rFonts w:ascii="Arial" w:cs="Arial" w:eastAsia="Arial" w:hAnsi="Arial"/>
          <w:sz w:val="10"/>
          <w:szCs w:val="10"/>
          <w:color w:val="auto"/>
        </w:rPr>
      </w:pPr>
    </w:p>
    <w:p>
      <w:pPr>
        <w:ind w:left="900" w:right="899" w:hanging="262"/>
        <w:spacing w:after="0" w:line="284" w:lineRule="auto"/>
        <w:tabs>
          <w:tab w:leader="none" w:pos="900" w:val="left"/>
        </w:tabs>
        <w:numPr>
          <w:ilvl w:val="0"/>
          <w:numId w:val="34"/>
        </w:numPr>
        <w:rPr>
          <w:rFonts w:ascii="Arial" w:cs="Arial" w:eastAsia="Arial" w:hAnsi="Arial"/>
          <w:sz w:val="10"/>
          <w:szCs w:val="10"/>
          <w:color w:val="auto"/>
        </w:rPr>
      </w:pPr>
      <w:r>
        <w:rPr>
          <w:rFonts w:ascii="Arial" w:cs="Arial" w:eastAsia="Arial" w:hAnsi="Arial"/>
          <w:sz w:val="10"/>
          <w:szCs w:val="10"/>
          <w:color w:val="auto"/>
        </w:rPr>
        <w:t>Represents a joint venture with a local real estate operator in which our joint venture partner manages the day-to-day activities that significantly affect the economic performance of the joint venture.</w:t>
      </w:r>
    </w:p>
    <w:p>
      <w:pPr>
        <w:spacing w:after="0" w:line="119" w:lineRule="exact"/>
        <w:rPr>
          <w:sz w:val="20"/>
          <w:szCs w:val="20"/>
          <w:color w:val="auto"/>
        </w:rPr>
      </w:pPr>
    </w:p>
    <w:p>
      <w:pPr>
        <w:ind w:left="640" w:right="839" w:firstLine="516"/>
        <w:spacing w:after="0" w:line="274" w:lineRule="auto"/>
        <w:rPr>
          <w:sz w:val="20"/>
          <w:szCs w:val="20"/>
          <w:color w:val="auto"/>
        </w:rPr>
      </w:pPr>
      <w:r>
        <w:rPr>
          <w:rFonts w:ascii="Arial" w:cs="Arial" w:eastAsia="Arial" w:hAnsi="Arial"/>
          <w:sz w:val="12"/>
          <w:szCs w:val="12"/>
          <w:color w:val="auto"/>
        </w:rPr>
        <w:t>Our consolidation policy is described under “Consolidation” in Note 2 – “Summary of significant accounting policies” to our unaudited consolidated financial statements. Consolidation accounting is highly technical, but its framework is primarily based on the controlling financial interests and benefits of the joint ventures. We generally consolidate a joint venture that is a legal entity that we</w:t>
      </w:r>
    </w:p>
    <w:p>
      <w:pPr>
        <w:spacing w:after="0" w:line="1" w:lineRule="exact"/>
        <w:rPr>
          <w:sz w:val="20"/>
          <w:szCs w:val="20"/>
          <w:color w:val="auto"/>
        </w:rPr>
      </w:pPr>
    </w:p>
    <w:p>
      <w:pPr>
        <w:ind w:left="640" w:right="659"/>
        <w:spacing w:after="0" w:line="270" w:lineRule="auto"/>
        <w:rPr>
          <w:sz w:val="20"/>
          <w:szCs w:val="20"/>
          <w:color w:val="auto"/>
        </w:rPr>
      </w:pPr>
      <w:r>
        <w:rPr>
          <w:rFonts w:ascii="Arial" w:cs="Arial" w:eastAsia="Arial" w:hAnsi="Arial"/>
          <w:sz w:val="12"/>
          <w:szCs w:val="12"/>
          <w:color w:val="auto"/>
        </w:rPr>
        <w:t>control (i.e., we have the power to direct the activities of the joint venture that most significantly affect its economic performance) through contractual rights, regardless of our ownership interest, and where we determine that we have benefits through the allocation of</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13"/>
          <w:szCs w:val="13"/>
          <w:color w:val="auto"/>
        </w:rPr>
        <w:t>earnings or losses and fees paid to us that could be significant to the joint venture (the “VIE model”).</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188595</wp:posOffset>
            </wp:positionV>
            <wp:extent cx="5584190" cy="6515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584190" cy="6515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900" w:hanging="262"/>
        <w:spacing w:after="0"/>
        <w:tabs>
          <w:tab w:leader="none" w:pos="900" w:val="left"/>
        </w:tabs>
        <w:numPr>
          <w:ilvl w:val="0"/>
          <w:numId w:val="35"/>
        </w:numPr>
        <w:rPr>
          <w:rFonts w:ascii="Arial" w:cs="Arial" w:eastAsia="Arial" w:hAnsi="Arial"/>
          <w:sz w:val="13"/>
          <w:szCs w:val="13"/>
          <w:b w:val="1"/>
          <w:bCs w:val="1"/>
          <w:color w:val="00497F"/>
        </w:rPr>
      </w:pPr>
      <w:r>
        <w:rPr>
          <w:rFonts w:ascii="Arial" w:cs="Arial" w:eastAsia="Arial" w:hAnsi="Arial"/>
          <w:sz w:val="13"/>
          <w:szCs w:val="13"/>
          <w:b w:val="1"/>
          <w:bCs w:val="1"/>
          <w:color w:val="00497F"/>
        </w:rPr>
        <w:t>CONSOLIDATED AND UNCONSOLIDATED REAL ESTATE JOINT VENTURES (continued)</w:t>
      </w:r>
    </w:p>
    <w:p>
      <w:pPr>
        <w:spacing w:after="0" w:line="291" w:lineRule="exact"/>
        <w:rPr>
          <w:sz w:val="20"/>
          <w:szCs w:val="20"/>
          <w:color w:val="auto"/>
        </w:rPr>
      </w:pPr>
    </w:p>
    <w:p>
      <w:pPr>
        <w:ind w:left="640" w:right="739" w:firstLine="516"/>
        <w:spacing w:after="0" w:line="263" w:lineRule="auto"/>
        <w:rPr>
          <w:sz w:val="20"/>
          <w:szCs w:val="20"/>
          <w:color w:val="auto"/>
        </w:rPr>
      </w:pPr>
      <w:r>
        <w:rPr>
          <w:rFonts w:ascii="Arial" w:cs="Arial" w:eastAsia="Arial" w:hAnsi="Arial"/>
          <w:sz w:val="13"/>
          <w:szCs w:val="13"/>
          <w:color w:val="auto"/>
        </w:rPr>
        <w:t>We also generally consolidate joint ventures when we have a controlling financial interest through voting rights and where our voting interest is greater than 50% (the “voting model”). Voting interest differs from ownership interest for some joint ventures. We account for joint ventures that do not meet the consolidation criteria under the equity method of accounting by recognizing our share of income and losses.</w:t>
      </w:r>
    </w:p>
    <w:p>
      <w:pPr>
        <w:spacing w:after="0" w:line="118" w:lineRule="exact"/>
        <w:rPr>
          <w:sz w:val="20"/>
          <w:szCs w:val="20"/>
          <w:color w:val="auto"/>
        </w:rPr>
      </w:pPr>
    </w:p>
    <w:p>
      <w:pPr>
        <w:ind w:left="1160"/>
        <w:spacing w:after="0"/>
        <w:rPr>
          <w:sz w:val="20"/>
          <w:szCs w:val="20"/>
          <w:color w:val="auto"/>
        </w:rPr>
      </w:pPr>
      <w:r>
        <w:rPr>
          <w:rFonts w:ascii="Arial" w:cs="Arial" w:eastAsia="Arial" w:hAnsi="Arial"/>
          <w:sz w:val="13"/>
          <w:szCs w:val="13"/>
          <w:color w:val="auto"/>
        </w:rPr>
        <w:t>The table below shows the categorization of our real estate joint ventures under the consolidation framework:</w:t>
      </w:r>
    </w:p>
    <w:p>
      <w:pPr>
        <w:spacing w:after="0" w:line="98" w:lineRule="exact"/>
        <w:rPr>
          <w:sz w:val="20"/>
          <w:szCs w:val="20"/>
          <w:color w:val="auto"/>
        </w:rPr>
      </w:pPr>
    </w:p>
    <w:tbl>
      <w:tblPr>
        <w:tblLayout w:type="fixed"/>
        <w:tblInd w:w="640" w:type="dxa"/>
        <w:tblCellMar>
          <w:top w:w="0" w:type="dxa"/>
          <w:left w:w="0" w:type="dxa"/>
          <w:bottom w:w="0" w:type="dxa"/>
          <w:right w:w="0" w:type="dxa"/>
        </w:tblCellMar>
      </w:tblPr>
      <w:tr>
        <w:trPr>
          <w:trHeight w:val="149"/>
        </w:trPr>
        <w:tc>
          <w:tcPr>
            <w:tcW w:w="2300" w:type="dxa"/>
            <w:vAlign w:val="bottom"/>
            <w:vMerge w:val="restart"/>
          </w:tcPr>
          <w:p>
            <w:pPr>
              <w:ind w:left="860"/>
              <w:spacing w:after="0"/>
              <w:rPr>
                <w:sz w:val="20"/>
                <w:szCs w:val="20"/>
                <w:color w:val="auto"/>
              </w:rPr>
            </w:pPr>
            <w:r>
              <w:rPr>
                <w:rFonts w:ascii="Arial" w:cs="Arial" w:eastAsia="Arial" w:hAnsi="Arial"/>
                <w:sz w:val="13"/>
                <w:szCs w:val="13"/>
                <w:color w:val="auto"/>
              </w:rPr>
              <w:t>Property</w:t>
            </w:r>
            <w:r>
              <w:rPr>
                <w:rFonts w:ascii="Arial" w:cs="Arial" w:eastAsia="Arial" w:hAnsi="Arial"/>
                <w:sz w:val="16"/>
                <w:szCs w:val="16"/>
                <w:color w:val="auto"/>
                <w:vertAlign w:val="superscript"/>
              </w:rPr>
              <w:t>(1)</w:t>
            </w:r>
          </w:p>
        </w:tc>
        <w:tc>
          <w:tcPr>
            <w:tcW w:w="100" w:type="dxa"/>
            <w:vAlign w:val="bottom"/>
            <w:vMerge w:val="restart"/>
          </w:tcPr>
          <w:p>
            <w:pPr>
              <w:spacing w:after="0"/>
              <w:rPr>
                <w:sz w:val="12"/>
                <w:szCs w:val="12"/>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3"/>
                <w:szCs w:val="13"/>
                <w:color w:val="auto"/>
                <w:w w:val="98"/>
              </w:rPr>
              <w:t>Consolidation</w:t>
            </w:r>
          </w:p>
        </w:tc>
        <w:tc>
          <w:tcPr>
            <w:tcW w:w="940" w:type="dxa"/>
            <w:vAlign w:val="bottom"/>
            <w:vMerge w:val="restart"/>
          </w:tcPr>
          <w:p>
            <w:pPr>
              <w:jc w:val="center"/>
              <w:spacing w:after="0"/>
              <w:rPr>
                <w:sz w:val="20"/>
                <w:szCs w:val="20"/>
                <w:color w:val="auto"/>
              </w:rPr>
            </w:pPr>
            <w:r>
              <w:rPr>
                <w:rFonts w:ascii="Arial" w:cs="Arial" w:eastAsia="Arial" w:hAnsi="Arial"/>
                <w:sz w:val="13"/>
                <w:szCs w:val="13"/>
                <w:color w:val="auto"/>
                <w:w w:val="97"/>
              </w:rPr>
              <w:t>Voting Interest</w:t>
            </w:r>
          </w:p>
        </w:tc>
        <w:tc>
          <w:tcPr>
            <w:tcW w:w="80" w:type="dxa"/>
            <w:vAlign w:val="bottom"/>
          </w:tcPr>
          <w:p>
            <w:pPr>
              <w:spacing w:after="0"/>
              <w:rPr>
                <w:sz w:val="12"/>
                <w:szCs w:val="12"/>
                <w:color w:val="auto"/>
              </w:rPr>
            </w:pPr>
          </w:p>
        </w:tc>
        <w:tc>
          <w:tcPr>
            <w:tcW w:w="2160" w:type="dxa"/>
            <w:vAlign w:val="bottom"/>
            <w:vMerge w:val="restart"/>
          </w:tcPr>
          <w:p>
            <w:pPr>
              <w:jc w:val="center"/>
              <w:spacing w:after="0"/>
              <w:rPr>
                <w:sz w:val="20"/>
                <w:szCs w:val="20"/>
                <w:color w:val="auto"/>
              </w:rPr>
            </w:pPr>
            <w:r>
              <w:rPr>
                <w:rFonts w:ascii="Arial" w:cs="Arial" w:eastAsia="Arial" w:hAnsi="Arial"/>
                <w:sz w:val="13"/>
                <w:szCs w:val="13"/>
                <w:color w:val="auto"/>
                <w:w w:val="97"/>
              </w:rPr>
              <w:t>Consolidation Analysis</w:t>
            </w:r>
          </w:p>
        </w:tc>
        <w:tc>
          <w:tcPr>
            <w:tcW w:w="60" w:type="dxa"/>
            <w:vAlign w:val="bottom"/>
          </w:tcPr>
          <w:p>
            <w:pPr>
              <w:spacing w:after="0"/>
              <w:rPr>
                <w:sz w:val="12"/>
                <w:szCs w:val="12"/>
                <w:color w:val="auto"/>
              </w:rPr>
            </w:pPr>
          </w:p>
        </w:tc>
        <w:tc>
          <w:tcPr>
            <w:tcW w:w="960" w:type="dxa"/>
            <w:vAlign w:val="bottom"/>
            <w:vMerge w:val="restart"/>
          </w:tcPr>
          <w:p>
            <w:pPr>
              <w:jc w:val="center"/>
              <w:spacing w:after="0"/>
              <w:rPr>
                <w:sz w:val="20"/>
                <w:szCs w:val="20"/>
                <w:color w:val="auto"/>
              </w:rPr>
            </w:pPr>
            <w:r>
              <w:rPr>
                <w:rFonts w:ascii="Arial" w:cs="Arial" w:eastAsia="Arial" w:hAnsi="Arial"/>
                <w:sz w:val="13"/>
                <w:szCs w:val="13"/>
                <w:color w:val="auto"/>
                <w:w w:val="99"/>
              </w:rPr>
              <w:t>Conclusion</w:t>
            </w:r>
          </w:p>
        </w:tc>
        <w:tc>
          <w:tcPr>
            <w:tcW w:w="0" w:type="dxa"/>
            <w:vAlign w:val="bottom"/>
          </w:tcPr>
          <w:p>
            <w:pPr>
              <w:spacing w:after="0"/>
              <w:rPr>
                <w:sz w:val="1"/>
                <w:szCs w:val="1"/>
                <w:color w:val="auto"/>
              </w:rPr>
            </w:pPr>
          </w:p>
        </w:tc>
      </w:tr>
      <w:tr>
        <w:trPr>
          <w:trHeight w:val="161"/>
        </w:trPr>
        <w:tc>
          <w:tcPr>
            <w:tcW w:w="2300" w:type="dxa"/>
            <w:vAlign w:val="bottom"/>
            <w:tcBorders>
              <w:bottom w:val="single" w:sz="8" w:color="auto"/>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Model</w:t>
            </w:r>
          </w:p>
        </w:tc>
        <w:tc>
          <w:tcPr>
            <w:tcW w:w="100" w:type="dxa"/>
            <w:vAlign w:val="bottom"/>
          </w:tcPr>
          <w:p>
            <w:pPr>
              <w:spacing w:after="0"/>
              <w:rPr>
                <w:sz w:val="13"/>
                <w:szCs w:val="13"/>
                <w:color w:val="auto"/>
              </w:rPr>
            </w:pPr>
          </w:p>
        </w:tc>
        <w:tc>
          <w:tcPr>
            <w:tcW w:w="940" w:type="dxa"/>
            <w:vAlign w:val="bottom"/>
            <w:tcBorders>
              <w:bottom w:val="single" w:sz="8" w:color="auto"/>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2160" w:type="dxa"/>
            <w:vAlign w:val="bottom"/>
            <w:tcBorders>
              <w:bottom w:val="single" w:sz="8" w:color="auto"/>
            </w:tcBorders>
            <w:vMerge w:val="continue"/>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2400" w:type="dxa"/>
            <w:vAlign w:val="bottom"/>
            <w:gridSpan w:val="2"/>
            <w:vMerge w:val="restart"/>
          </w:tcPr>
          <w:p>
            <w:pPr>
              <w:ind w:left="40"/>
              <w:spacing w:after="0"/>
              <w:rPr>
                <w:sz w:val="20"/>
                <w:szCs w:val="20"/>
                <w:color w:val="auto"/>
              </w:rPr>
            </w:pPr>
            <w:r>
              <w:rPr>
                <w:rFonts w:ascii="Arial" w:cs="Arial" w:eastAsia="Arial" w:hAnsi="Arial"/>
                <w:sz w:val="13"/>
                <w:szCs w:val="13"/>
                <w:color w:val="auto"/>
              </w:rPr>
              <w:t>50 and 60 Binney Street</w:t>
            </w: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0"/>
        </w:trPr>
        <w:tc>
          <w:tcPr>
            <w:tcW w:w="2400" w:type="dxa"/>
            <w:vAlign w:val="bottom"/>
            <w:gridSpan w:val="2"/>
            <w:vMerge w:val="continue"/>
          </w:tcPr>
          <w:p>
            <w:pPr>
              <w:spacing w:after="0"/>
              <w:rPr>
                <w:sz w:val="14"/>
                <w:szCs w:val="14"/>
                <w:color w:val="auto"/>
              </w:rPr>
            </w:pPr>
          </w:p>
        </w:tc>
        <w:tc>
          <w:tcPr>
            <w:tcW w:w="920" w:type="dxa"/>
            <w:vAlign w:val="bottom"/>
            <w:tcBorders>
              <w:left w:val="single" w:sz="8" w:color="auto"/>
              <w:right w:val="single" w:sz="8" w:color="auto"/>
            </w:tcBorders>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940" w:type="dxa"/>
            <w:vAlign w:val="bottom"/>
            <w:tcBorders>
              <w:right w:val="single" w:sz="8" w:color="auto"/>
            </w:tcBorders>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2160" w:type="dxa"/>
            <w:vAlign w:val="bottom"/>
            <w:tcBorders>
              <w:right w:val="single" w:sz="8" w:color="auto"/>
            </w:tcBorders>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c>
          <w:tcPr>
            <w:tcW w:w="9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400" w:type="dxa"/>
            <w:vAlign w:val="bottom"/>
            <w:gridSpan w:val="2"/>
          </w:tcPr>
          <w:p>
            <w:pPr>
              <w:ind w:left="40"/>
              <w:spacing w:after="0"/>
              <w:rPr>
                <w:sz w:val="20"/>
                <w:szCs w:val="20"/>
                <w:color w:val="auto"/>
              </w:rPr>
            </w:pPr>
            <w:r>
              <w:rPr>
                <w:rFonts w:ascii="Arial" w:cs="Arial" w:eastAsia="Arial" w:hAnsi="Arial"/>
                <w:sz w:val="13"/>
                <w:szCs w:val="13"/>
                <w:color w:val="auto"/>
              </w:rPr>
              <w:t>75/125 Binney Street</w:t>
            </w:r>
          </w:p>
        </w:tc>
        <w:tc>
          <w:tcPr>
            <w:tcW w:w="920" w:type="dxa"/>
            <w:vAlign w:val="bottom"/>
            <w:tcBorders>
              <w:left w:val="single" w:sz="8" w:color="auto"/>
              <w:right w:val="single" w:sz="8" w:color="auto"/>
            </w:tcBorders>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940" w:type="dxa"/>
            <w:vAlign w:val="bottom"/>
            <w:tcBorders>
              <w:right w:val="single" w:sz="8" w:color="auto"/>
            </w:tcBorders>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8"/>
              </w:rPr>
              <w:t>We have:</w:t>
            </w:r>
          </w:p>
        </w:tc>
        <w:tc>
          <w:tcPr>
            <w:tcW w:w="60" w:type="dxa"/>
            <w:vAlign w:val="bottom"/>
            <w:tcBorders>
              <w:right w:val="single" w:sz="8" w:color="auto"/>
            </w:tcBorders>
          </w:tcPr>
          <w:p>
            <w:pPr>
              <w:spacing w:after="0"/>
              <w:rPr>
                <w:sz w:val="15"/>
                <w:szCs w:val="15"/>
                <w:color w:val="auto"/>
              </w:rPr>
            </w:pPr>
          </w:p>
        </w:tc>
        <w:tc>
          <w:tcPr>
            <w:tcW w:w="9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400" w:type="dxa"/>
            <w:vAlign w:val="bottom"/>
            <w:gridSpan w:val="2"/>
          </w:tcPr>
          <w:p>
            <w:pPr>
              <w:ind w:left="40"/>
              <w:spacing w:after="0" w:line="143" w:lineRule="exact"/>
              <w:rPr>
                <w:sz w:val="20"/>
                <w:szCs w:val="20"/>
                <w:color w:val="auto"/>
              </w:rPr>
            </w:pPr>
            <w:r>
              <w:rPr>
                <w:rFonts w:ascii="Arial" w:cs="Arial" w:eastAsia="Arial" w:hAnsi="Arial"/>
                <w:sz w:val="13"/>
                <w:szCs w:val="13"/>
                <w:color w:val="auto"/>
              </w:rPr>
              <w:t>100 and 225 Binney Street and 300</w:t>
            </w:r>
          </w:p>
        </w:tc>
        <w:tc>
          <w:tcPr>
            <w:tcW w:w="92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2160" w:type="dxa"/>
            <w:vAlign w:val="bottom"/>
            <w:tcBorders>
              <w:right w:val="single" w:sz="8" w:color="auto"/>
            </w:tcBorders>
          </w:tcPr>
          <w:p>
            <w:pPr>
              <w:spacing w:after="0"/>
              <w:rPr>
                <w:sz w:val="12"/>
                <w:szCs w:val="12"/>
                <w:color w:val="auto"/>
              </w:rPr>
            </w:pPr>
          </w:p>
        </w:tc>
        <w:tc>
          <w:tcPr>
            <w:tcW w:w="6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400" w:type="dxa"/>
            <w:vAlign w:val="bottom"/>
            <w:gridSpan w:val="2"/>
          </w:tcPr>
          <w:p>
            <w:pPr>
              <w:ind w:left="160"/>
              <w:spacing w:after="0"/>
              <w:rPr>
                <w:sz w:val="20"/>
                <w:szCs w:val="20"/>
                <w:color w:val="auto"/>
              </w:rPr>
            </w:pPr>
            <w:r>
              <w:rPr>
                <w:rFonts w:ascii="Arial" w:cs="Arial" w:eastAsia="Arial" w:hAnsi="Arial"/>
                <w:sz w:val="13"/>
                <w:szCs w:val="13"/>
                <w:color w:val="auto"/>
              </w:rPr>
              <w:t>Third Street</w:t>
            </w:r>
          </w:p>
        </w:tc>
        <w:tc>
          <w:tcPr>
            <w:tcW w:w="920" w:type="dxa"/>
            <w:vAlign w:val="bottom"/>
            <w:tcBorders>
              <w:left w:val="single" w:sz="8" w:color="auto"/>
              <w:right w:val="single" w:sz="8" w:color="auto"/>
            </w:tcBorders>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940" w:type="dxa"/>
            <w:vAlign w:val="bottom"/>
            <w:tcBorders>
              <w:right w:val="single" w:sz="8" w:color="auto"/>
            </w:tcBorders>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2160" w:type="dxa"/>
            <w:vAlign w:val="bottom"/>
            <w:tcBorders>
              <w:right w:val="single" w:sz="8" w:color="auto"/>
            </w:tcBorders>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c>
          <w:tcPr>
            <w:tcW w:w="9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400" w:type="dxa"/>
            <w:vAlign w:val="bottom"/>
            <w:gridSpan w:val="2"/>
          </w:tcPr>
          <w:p>
            <w:pPr>
              <w:ind w:left="40"/>
              <w:spacing w:after="0"/>
              <w:rPr>
                <w:sz w:val="20"/>
                <w:szCs w:val="20"/>
                <w:color w:val="auto"/>
              </w:rPr>
            </w:pPr>
            <w:r>
              <w:rPr>
                <w:rFonts w:ascii="Arial" w:cs="Arial" w:eastAsia="Arial" w:hAnsi="Arial"/>
                <w:sz w:val="13"/>
                <w:szCs w:val="13"/>
                <w:color w:val="auto"/>
              </w:rPr>
              <w:t>99 Coolidge Avenue</w:t>
            </w:r>
          </w:p>
        </w:tc>
        <w:tc>
          <w:tcPr>
            <w:tcW w:w="920" w:type="dxa"/>
            <w:vAlign w:val="bottom"/>
            <w:tcBorders>
              <w:left w:val="single" w:sz="8" w:color="auto"/>
              <w:right w:val="single" w:sz="8" w:color="auto"/>
            </w:tcBorders>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80" w:type="dxa"/>
            <w:vAlign w:val="bottom"/>
            <w:tcBorders>
              <w:right w:val="single" w:sz="8" w:color="auto"/>
            </w:tcBorders>
          </w:tcPr>
          <w:p>
            <w:pPr>
              <w:spacing w:after="0"/>
              <w:rPr>
                <w:sz w:val="13"/>
                <w:szCs w:val="13"/>
                <w:color w:val="auto"/>
              </w:rPr>
            </w:pPr>
          </w:p>
        </w:tc>
        <w:tc>
          <w:tcPr>
            <w:tcW w:w="216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(i)   The power to direct the</w:t>
            </w:r>
          </w:p>
        </w:tc>
        <w:tc>
          <w:tcPr>
            <w:tcW w:w="60" w:type="dxa"/>
            <w:vAlign w:val="bottom"/>
            <w:tcBorders>
              <w:right w:val="single" w:sz="8" w:color="auto"/>
            </w:tcBorders>
          </w:tcPr>
          <w:p>
            <w:pPr>
              <w:spacing w:after="0"/>
              <w:rPr>
                <w:sz w:val="13"/>
                <w:szCs w:val="13"/>
                <w:color w:val="auto"/>
              </w:rPr>
            </w:pPr>
          </w:p>
        </w:tc>
        <w:tc>
          <w:tcPr>
            <w:tcW w:w="9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400" w:type="dxa"/>
            <w:vAlign w:val="bottom"/>
            <w:gridSpan w:val="2"/>
            <w:vMerge w:val="restart"/>
          </w:tcPr>
          <w:p>
            <w:pPr>
              <w:ind w:left="40"/>
              <w:spacing w:after="0"/>
              <w:rPr>
                <w:sz w:val="20"/>
                <w:szCs w:val="20"/>
                <w:color w:val="auto"/>
              </w:rPr>
            </w:pPr>
            <w:r>
              <w:rPr>
                <w:rFonts w:ascii="Arial" w:cs="Arial" w:eastAsia="Arial" w:hAnsi="Arial"/>
                <w:sz w:val="13"/>
                <w:szCs w:val="13"/>
                <w:color w:val="auto"/>
              </w:rPr>
              <w:t>15 Necco Street</w:t>
            </w:r>
          </w:p>
        </w:tc>
        <w:tc>
          <w:tcPr>
            <w:tcW w:w="920" w:type="dxa"/>
            <w:vAlign w:val="bottom"/>
            <w:tcBorders>
              <w:left w:val="single" w:sz="8" w:color="auto"/>
              <w:right w:val="single" w:sz="8" w:color="auto"/>
            </w:tcBorders>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940" w:type="dxa"/>
            <w:vAlign w:val="bottom"/>
            <w:tcBorders>
              <w:right w:val="single" w:sz="8" w:color="auto"/>
            </w:tcBorders>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c>
          <w:tcPr>
            <w:tcW w:w="2160" w:type="dxa"/>
            <w:vAlign w:val="bottom"/>
            <w:tcBorders>
              <w:right w:val="single" w:sz="8" w:color="auto"/>
            </w:tcBorders>
          </w:tcPr>
          <w:p>
            <w:pPr>
              <w:ind w:left="320"/>
              <w:spacing w:after="0" w:line="129" w:lineRule="exact"/>
              <w:rPr>
                <w:sz w:val="20"/>
                <w:szCs w:val="20"/>
                <w:color w:val="auto"/>
              </w:rPr>
            </w:pPr>
            <w:r>
              <w:rPr>
                <w:rFonts w:ascii="Arial" w:cs="Arial" w:eastAsia="Arial" w:hAnsi="Arial"/>
                <w:sz w:val="13"/>
                <w:szCs w:val="13"/>
                <w:color w:val="auto"/>
              </w:rPr>
              <w:t>activities of the joint venture</w:t>
            </w:r>
          </w:p>
        </w:tc>
        <w:tc>
          <w:tcPr>
            <w:tcW w:w="60" w:type="dxa"/>
            <w:vAlign w:val="bottom"/>
            <w:tcBorders>
              <w:right w:val="single" w:sz="8" w:color="auto"/>
            </w:tcBorders>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2400" w:type="dxa"/>
            <w:vAlign w:val="bottom"/>
            <w:gridSpan w:val="2"/>
            <w:vMerge w:val="continue"/>
          </w:tcPr>
          <w:p>
            <w:pPr>
              <w:spacing w:after="0"/>
              <w:rPr>
                <w:sz w:val="7"/>
                <w:szCs w:val="7"/>
                <w:color w:val="auto"/>
              </w:rPr>
            </w:pPr>
          </w:p>
        </w:tc>
        <w:tc>
          <w:tcPr>
            <w:tcW w:w="920" w:type="dxa"/>
            <w:vAlign w:val="bottom"/>
            <w:tcBorders>
              <w:left w:val="single" w:sz="8" w:color="auto"/>
              <w:right w:val="single" w:sz="8" w:color="auto"/>
            </w:tcBorders>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940" w:type="dxa"/>
            <w:vAlign w:val="bottom"/>
            <w:tcBorders>
              <w:right w:val="single" w:sz="8" w:color="auto"/>
            </w:tcBorders>
          </w:tcPr>
          <w:p>
            <w:pPr>
              <w:spacing w:after="0"/>
              <w:rPr>
                <w:sz w:val="7"/>
                <w:szCs w:val="7"/>
                <w:color w:val="auto"/>
              </w:rPr>
            </w:pPr>
          </w:p>
        </w:tc>
        <w:tc>
          <w:tcPr>
            <w:tcW w:w="80" w:type="dxa"/>
            <w:vAlign w:val="bottom"/>
            <w:tcBorders>
              <w:right w:val="single" w:sz="8" w:color="auto"/>
            </w:tcBorders>
          </w:tcPr>
          <w:p>
            <w:pPr>
              <w:spacing w:after="0"/>
              <w:rPr>
                <w:sz w:val="7"/>
                <w:szCs w:val="7"/>
                <w:color w:val="auto"/>
              </w:rPr>
            </w:pPr>
          </w:p>
        </w:tc>
        <w:tc>
          <w:tcPr>
            <w:tcW w:w="2160" w:type="dxa"/>
            <w:vAlign w:val="bottom"/>
            <w:tcBorders>
              <w:right w:val="single" w:sz="8" w:color="auto"/>
            </w:tcBorders>
            <w:vMerge w:val="restart"/>
          </w:tcPr>
          <w:p>
            <w:pPr>
              <w:ind w:left="320"/>
              <w:spacing w:after="0" w:line="129" w:lineRule="exact"/>
              <w:rPr>
                <w:sz w:val="20"/>
                <w:szCs w:val="20"/>
                <w:color w:val="auto"/>
              </w:rPr>
            </w:pPr>
            <w:r>
              <w:rPr>
                <w:rFonts w:ascii="Arial" w:cs="Arial" w:eastAsia="Arial" w:hAnsi="Arial"/>
                <w:sz w:val="13"/>
                <w:szCs w:val="13"/>
                <w:color w:val="auto"/>
              </w:rPr>
              <w:t>that most significantly affect its</w:t>
            </w:r>
          </w:p>
        </w:tc>
        <w:tc>
          <w:tcPr>
            <w:tcW w:w="60" w:type="dxa"/>
            <w:vAlign w:val="bottom"/>
            <w:tcBorders>
              <w:right w:val="single" w:sz="8" w:color="auto"/>
            </w:tcBorders>
          </w:tcPr>
          <w:p>
            <w:pPr>
              <w:spacing w:after="0"/>
              <w:rPr>
                <w:sz w:val="7"/>
                <w:szCs w:val="7"/>
                <w:color w:val="auto"/>
              </w:rPr>
            </w:pPr>
          </w:p>
        </w:tc>
        <w:tc>
          <w:tcPr>
            <w:tcW w:w="9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6"/>
        </w:trPr>
        <w:tc>
          <w:tcPr>
            <w:tcW w:w="2400" w:type="dxa"/>
            <w:vAlign w:val="bottom"/>
            <w:gridSpan w:val="2"/>
            <w:vMerge w:val="restart"/>
          </w:tcPr>
          <w:p>
            <w:pPr>
              <w:ind w:left="40"/>
              <w:spacing w:after="0"/>
              <w:rPr>
                <w:sz w:val="20"/>
                <w:szCs w:val="20"/>
                <w:color w:val="auto"/>
              </w:rPr>
            </w:pPr>
            <w:r>
              <w:rPr>
                <w:rFonts w:ascii="Arial" w:cs="Arial" w:eastAsia="Arial" w:hAnsi="Arial"/>
                <w:sz w:val="13"/>
                <w:szCs w:val="13"/>
                <w:color w:val="auto"/>
              </w:rPr>
              <w:t>285, 299, 307, and 345 Dorchester</w:t>
            </w:r>
          </w:p>
        </w:tc>
        <w:tc>
          <w:tcPr>
            <w:tcW w:w="920" w:type="dxa"/>
            <w:vAlign w:val="bottom"/>
            <w:tcBorders>
              <w:left w:val="single" w:sz="8" w:color="auto"/>
              <w:right w:val="single" w:sz="8" w:color="auto"/>
            </w:tcBorders>
          </w:tcPr>
          <w:p>
            <w:pPr>
              <w:spacing w:after="0"/>
              <w:rPr>
                <w:sz w:val="4"/>
                <w:szCs w:val="4"/>
                <w:color w:val="auto"/>
              </w:rPr>
            </w:pPr>
          </w:p>
        </w:tc>
        <w:tc>
          <w:tcPr>
            <w:tcW w:w="100" w:type="dxa"/>
            <w:vAlign w:val="bottom"/>
            <w:tcBorders>
              <w:right w:val="single" w:sz="8" w:color="auto"/>
            </w:tcBorders>
          </w:tcPr>
          <w:p>
            <w:pPr>
              <w:spacing w:after="0"/>
              <w:rPr>
                <w:sz w:val="4"/>
                <w:szCs w:val="4"/>
                <w:color w:val="auto"/>
              </w:rPr>
            </w:pPr>
          </w:p>
        </w:tc>
        <w:tc>
          <w:tcPr>
            <w:tcW w:w="940" w:type="dxa"/>
            <w:vAlign w:val="bottom"/>
            <w:tcBorders>
              <w:right w:val="single" w:sz="8" w:color="auto"/>
            </w:tcBorders>
          </w:tcPr>
          <w:p>
            <w:pPr>
              <w:spacing w:after="0"/>
              <w:rPr>
                <w:sz w:val="4"/>
                <w:szCs w:val="4"/>
                <w:color w:val="auto"/>
              </w:rPr>
            </w:pPr>
          </w:p>
        </w:tc>
        <w:tc>
          <w:tcPr>
            <w:tcW w:w="80" w:type="dxa"/>
            <w:vAlign w:val="bottom"/>
            <w:tcBorders>
              <w:right w:val="single" w:sz="8" w:color="auto"/>
            </w:tcBorders>
          </w:tcPr>
          <w:p>
            <w:pPr>
              <w:spacing w:after="0"/>
              <w:rPr>
                <w:sz w:val="4"/>
                <w:szCs w:val="4"/>
                <w:color w:val="auto"/>
              </w:rPr>
            </w:pPr>
          </w:p>
        </w:tc>
        <w:tc>
          <w:tcPr>
            <w:tcW w:w="2160" w:type="dxa"/>
            <w:vAlign w:val="bottom"/>
            <w:tcBorders>
              <w:right w:val="single" w:sz="8" w:color="auto"/>
            </w:tcBorders>
            <w:vMerge w:val="continue"/>
          </w:tcPr>
          <w:p>
            <w:pPr>
              <w:spacing w:after="0"/>
              <w:rPr>
                <w:sz w:val="4"/>
                <w:szCs w:val="4"/>
                <w:color w:val="auto"/>
              </w:rPr>
            </w:pPr>
          </w:p>
        </w:tc>
        <w:tc>
          <w:tcPr>
            <w:tcW w:w="60" w:type="dxa"/>
            <w:vAlign w:val="bottom"/>
            <w:tcBorders>
              <w:right w:val="single" w:sz="8" w:color="auto"/>
            </w:tcBorders>
          </w:tcPr>
          <w:p>
            <w:pPr>
              <w:spacing w:after="0"/>
              <w:rPr>
                <w:sz w:val="4"/>
                <w:szCs w:val="4"/>
                <w:color w:val="auto"/>
              </w:rPr>
            </w:pPr>
          </w:p>
        </w:tc>
        <w:tc>
          <w:tcPr>
            <w:tcW w:w="96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29"/>
        </w:trPr>
        <w:tc>
          <w:tcPr>
            <w:tcW w:w="2400" w:type="dxa"/>
            <w:vAlign w:val="bottom"/>
            <w:gridSpan w:val="2"/>
            <w:vMerge w:val="continue"/>
          </w:tcPr>
          <w:p>
            <w:pPr>
              <w:spacing w:after="0"/>
              <w:rPr>
                <w:sz w:val="11"/>
                <w:szCs w:val="11"/>
                <w:color w:val="auto"/>
              </w:rPr>
            </w:pPr>
          </w:p>
        </w:tc>
        <w:tc>
          <w:tcPr>
            <w:tcW w:w="920" w:type="dxa"/>
            <w:vAlign w:val="bottom"/>
            <w:tcBorders>
              <w:left w:val="single" w:sz="8" w:color="auto"/>
              <w:right w:val="single" w:sz="8" w:color="auto"/>
            </w:tcBorders>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940" w:type="dxa"/>
            <w:vAlign w:val="bottom"/>
            <w:tcBorders>
              <w:right w:val="single" w:sz="8" w:color="auto"/>
            </w:tcBorders>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c>
          <w:tcPr>
            <w:tcW w:w="2160" w:type="dxa"/>
            <w:vAlign w:val="bottom"/>
            <w:tcBorders>
              <w:right w:val="single" w:sz="8" w:color="auto"/>
            </w:tcBorders>
          </w:tcPr>
          <w:p>
            <w:pPr>
              <w:ind w:left="320"/>
              <w:spacing w:after="0" w:line="129" w:lineRule="exact"/>
              <w:rPr>
                <w:sz w:val="20"/>
                <w:szCs w:val="20"/>
                <w:color w:val="auto"/>
              </w:rPr>
            </w:pPr>
            <w:r>
              <w:rPr>
                <w:rFonts w:ascii="Arial" w:cs="Arial" w:eastAsia="Arial" w:hAnsi="Arial"/>
                <w:sz w:val="13"/>
                <w:szCs w:val="13"/>
                <w:color w:val="auto"/>
              </w:rPr>
              <w:t>economic performance; and</w:t>
            </w:r>
          </w:p>
        </w:tc>
        <w:tc>
          <w:tcPr>
            <w:tcW w:w="60" w:type="dxa"/>
            <w:vAlign w:val="bottom"/>
            <w:tcBorders>
              <w:right w:val="single" w:sz="8" w:color="auto"/>
            </w:tcBorders>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400" w:type="dxa"/>
            <w:vAlign w:val="bottom"/>
            <w:gridSpan w:val="2"/>
          </w:tcPr>
          <w:p>
            <w:pPr>
              <w:ind w:left="160"/>
              <w:spacing w:after="0"/>
              <w:rPr>
                <w:sz w:val="20"/>
                <w:szCs w:val="20"/>
                <w:color w:val="auto"/>
              </w:rPr>
            </w:pPr>
            <w:r>
              <w:rPr>
                <w:rFonts w:ascii="Arial" w:cs="Arial" w:eastAsia="Arial" w:hAnsi="Arial"/>
                <w:sz w:val="13"/>
                <w:szCs w:val="13"/>
                <w:color w:val="auto"/>
              </w:rPr>
              <w:t>Avenue</w:t>
            </w:r>
          </w:p>
        </w:tc>
        <w:tc>
          <w:tcPr>
            <w:tcW w:w="920" w:type="dxa"/>
            <w:vAlign w:val="bottom"/>
            <w:tcBorders>
              <w:left w:val="single" w:sz="8" w:color="auto"/>
              <w:right w:val="single" w:sz="8" w:color="auto"/>
            </w:tcBorders>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80" w:type="dxa"/>
            <w:vAlign w:val="bottom"/>
            <w:tcBorders>
              <w:right w:val="single" w:sz="8" w:color="auto"/>
            </w:tcBorders>
          </w:tcPr>
          <w:p>
            <w:pPr>
              <w:spacing w:after="0"/>
              <w:rPr>
                <w:sz w:val="13"/>
                <w:szCs w:val="13"/>
                <w:color w:val="auto"/>
              </w:rPr>
            </w:pPr>
          </w:p>
        </w:tc>
        <w:tc>
          <w:tcPr>
            <w:tcW w:w="2160" w:type="dxa"/>
            <w:vAlign w:val="bottom"/>
            <w:tcBorders>
              <w:right w:val="single" w:sz="8" w:color="auto"/>
            </w:tcBorders>
          </w:tcPr>
          <w:p>
            <w:pPr>
              <w:spacing w:after="0"/>
              <w:rPr>
                <w:sz w:val="13"/>
                <w:szCs w:val="13"/>
                <w:color w:val="auto"/>
              </w:rPr>
            </w:pPr>
          </w:p>
        </w:tc>
        <w:tc>
          <w:tcPr>
            <w:tcW w:w="60" w:type="dxa"/>
            <w:vAlign w:val="bottom"/>
            <w:tcBorders>
              <w:right w:val="single" w:sz="8" w:color="auto"/>
            </w:tcBorders>
          </w:tcPr>
          <w:p>
            <w:pPr>
              <w:spacing w:after="0"/>
              <w:rPr>
                <w:sz w:val="13"/>
                <w:szCs w:val="13"/>
                <w:color w:val="auto"/>
              </w:rPr>
            </w:pPr>
          </w:p>
        </w:tc>
        <w:tc>
          <w:tcPr>
            <w:tcW w:w="9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40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Alexandria Center</w:t>
            </w:r>
            <w:r>
              <w:rPr>
                <w:rFonts w:ascii="Arial" w:cs="Arial" w:eastAsia="Arial" w:hAnsi="Arial"/>
                <w:sz w:val="16"/>
                <w:szCs w:val="16"/>
                <w:color w:val="auto"/>
                <w:vertAlign w:val="superscript"/>
              </w:rPr>
              <w:t>®</w:t>
            </w:r>
            <w:r>
              <w:rPr>
                <w:rFonts w:ascii="Arial" w:cs="Arial" w:eastAsia="Arial" w:hAnsi="Arial"/>
                <w:sz w:val="13"/>
                <w:szCs w:val="13"/>
                <w:color w:val="auto"/>
              </w:rPr>
              <w:t xml:space="preserve"> for Science and</w:t>
            </w:r>
          </w:p>
        </w:tc>
        <w:tc>
          <w:tcPr>
            <w:tcW w:w="92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2160" w:type="dxa"/>
            <w:vAlign w:val="bottom"/>
            <w:tcBorders>
              <w:right w:val="single" w:sz="8" w:color="auto"/>
            </w:tcBorders>
          </w:tcPr>
          <w:p>
            <w:pPr>
              <w:spacing w:after="0"/>
              <w:rPr>
                <w:sz w:val="12"/>
                <w:szCs w:val="12"/>
                <w:color w:val="auto"/>
              </w:rPr>
            </w:pPr>
          </w:p>
        </w:tc>
        <w:tc>
          <w:tcPr>
            <w:tcW w:w="6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400" w:type="dxa"/>
            <w:vAlign w:val="bottom"/>
            <w:gridSpan w:val="2"/>
          </w:tcPr>
          <w:p>
            <w:pPr>
              <w:ind w:left="160"/>
              <w:spacing w:after="0"/>
              <w:rPr>
                <w:sz w:val="20"/>
                <w:szCs w:val="20"/>
                <w:color w:val="auto"/>
              </w:rPr>
            </w:pPr>
            <w:r>
              <w:rPr>
                <w:rFonts w:ascii="Arial" w:cs="Arial" w:eastAsia="Arial" w:hAnsi="Arial"/>
                <w:sz w:val="13"/>
                <w:szCs w:val="13"/>
                <w:color w:val="auto"/>
              </w:rPr>
              <w:t>Technology – Mission Bay</w:t>
            </w:r>
          </w:p>
        </w:tc>
        <w:tc>
          <w:tcPr>
            <w:tcW w:w="920" w:type="dxa"/>
            <w:vAlign w:val="bottom"/>
            <w:tcBorders>
              <w:left w:val="single" w:sz="8" w:color="auto"/>
              <w:right w:val="single" w:sz="8" w:color="auto"/>
            </w:tcBorders>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940" w:type="dxa"/>
            <w:vAlign w:val="bottom"/>
            <w:tcBorders>
              <w:right w:val="single" w:sz="8" w:color="auto"/>
            </w:tcBorders>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2160" w:type="dxa"/>
            <w:vAlign w:val="bottom"/>
            <w:tcBorders>
              <w:right w:val="single" w:sz="8" w:color="auto"/>
            </w:tcBorders>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c>
          <w:tcPr>
            <w:tcW w:w="9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400" w:type="dxa"/>
            <w:vAlign w:val="bottom"/>
            <w:gridSpan w:val="2"/>
          </w:tcPr>
          <w:p>
            <w:pPr>
              <w:ind w:left="40"/>
              <w:spacing w:after="0"/>
              <w:rPr>
                <w:sz w:val="20"/>
                <w:szCs w:val="20"/>
                <w:color w:val="auto"/>
              </w:rPr>
            </w:pPr>
            <w:r>
              <w:rPr>
                <w:rFonts w:ascii="Arial" w:cs="Arial" w:eastAsia="Arial" w:hAnsi="Arial"/>
                <w:sz w:val="13"/>
                <w:szCs w:val="13"/>
                <w:color w:val="auto"/>
              </w:rPr>
              <w:t>1450 Owens Street</w:t>
            </w:r>
          </w:p>
        </w:tc>
        <w:tc>
          <w:tcPr>
            <w:tcW w:w="920" w:type="dxa"/>
            <w:vAlign w:val="bottom"/>
            <w:tcBorders>
              <w:left w:val="single" w:sz="8" w:color="auto"/>
              <w:right w:val="single" w:sz="8" w:color="auto"/>
            </w:tcBorders>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940" w:type="dxa"/>
            <w:vAlign w:val="bottom"/>
            <w:tcBorders>
              <w:right w:val="single" w:sz="8" w:color="auto"/>
            </w:tcBorders>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2160" w:type="dxa"/>
            <w:vAlign w:val="bottom"/>
            <w:tcBorders>
              <w:right w:val="single" w:sz="8" w:color="auto"/>
            </w:tcBorders>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9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400" w:type="dxa"/>
            <w:vAlign w:val="bottom"/>
            <w:gridSpan w:val="2"/>
          </w:tcPr>
          <w:p>
            <w:pPr>
              <w:ind w:left="40"/>
              <w:spacing w:after="0" w:line="143" w:lineRule="exact"/>
              <w:rPr>
                <w:sz w:val="20"/>
                <w:szCs w:val="20"/>
                <w:color w:val="auto"/>
              </w:rPr>
            </w:pPr>
            <w:r>
              <w:rPr>
                <w:rFonts w:ascii="Arial" w:cs="Arial" w:eastAsia="Arial" w:hAnsi="Arial"/>
                <w:sz w:val="13"/>
                <w:szCs w:val="13"/>
                <w:color w:val="auto"/>
              </w:rPr>
              <w:t>601, 611, 651, 681, 685, and 701</w:t>
            </w:r>
          </w:p>
        </w:tc>
        <w:tc>
          <w:tcPr>
            <w:tcW w:w="92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2160" w:type="dxa"/>
            <w:vAlign w:val="bottom"/>
            <w:tcBorders>
              <w:right w:val="single" w:sz="8" w:color="auto"/>
            </w:tcBorders>
          </w:tcPr>
          <w:p>
            <w:pPr>
              <w:spacing w:after="0"/>
              <w:rPr>
                <w:sz w:val="12"/>
                <w:szCs w:val="12"/>
                <w:color w:val="auto"/>
              </w:rPr>
            </w:pPr>
          </w:p>
        </w:tc>
        <w:tc>
          <w:tcPr>
            <w:tcW w:w="6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400" w:type="dxa"/>
            <w:vAlign w:val="bottom"/>
            <w:gridSpan w:val="2"/>
          </w:tcPr>
          <w:p>
            <w:pPr>
              <w:ind w:left="160"/>
              <w:spacing w:after="0"/>
              <w:rPr>
                <w:sz w:val="20"/>
                <w:szCs w:val="20"/>
                <w:color w:val="auto"/>
              </w:rPr>
            </w:pPr>
            <w:r>
              <w:rPr>
                <w:rFonts w:ascii="Arial" w:cs="Arial" w:eastAsia="Arial" w:hAnsi="Arial"/>
                <w:sz w:val="13"/>
                <w:szCs w:val="13"/>
                <w:color w:val="auto"/>
              </w:rPr>
              <w:t>Gateway Boulevard</w:t>
            </w:r>
          </w:p>
        </w:tc>
        <w:tc>
          <w:tcPr>
            <w:tcW w:w="920" w:type="dxa"/>
            <w:vAlign w:val="bottom"/>
            <w:tcBorders>
              <w:left w:val="single" w:sz="8" w:color="auto"/>
              <w:right w:val="single" w:sz="8" w:color="auto"/>
            </w:tcBorders>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940" w:type="dxa"/>
            <w:vAlign w:val="bottom"/>
            <w:tcBorders>
              <w:right w:val="single" w:sz="8" w:color="auto"/>
            </w:tcBorders>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2160" w:type="dxa"/>
            <w:vAlign w:val="bottom"/>
            <w:tcBorders>
              <w:right w:val="single" w:sz="8" w:color="auto"/>
            </w:tcBorders>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c>
          <w:tcPr>
            <w:tcW w:w="9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400" w:type="dxa"/>
            <w:vAlign w:val="bottom"/>
            <w:gridSpan w:val="2"/>
          </w:tcPr>
          <w:p>
            <w:pPr>
              <w:ind w:left="40"/>
              <w:spacing w:after="0"/>
              <w:rPr>
                <w:sz w:val="20"/>
                <w:szCs w:val="20"/>
                <w:color w:val="auto"/>
              </w:rPr>
            </w:pPr>
            <w:r>
              <w:rPr>
                <w:rFonts w:ascii="Arial" w:cs="Arial" w:eastAsia="Arial" w:hAnsi="Arial"/>
                <w:sz w:val="13"/>
                <w:szCs w:val="13"/>
                <w:color w:val="auto"/>
              </w:rPr>
              <w:t>751 Gateway Boulevard</w:t>
            </w:r>
          </w:p>
        </w:tc>
        <w:tc>
          <w:tcPr>
            <w:tcW w:w="920" w:type="dxa"/>
            <w:vAlign w:val="bottom"/>
            <w:tcBorders>
              <w:left w:val="single" w:sz="8" w:color="auto"/>
              <w:right w:val="single" w:sz="8" w:color="auto"/>
            </w:tcBorders>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940" w:type="dxa"/>
            <w:vAlign w:val="bottom"/>
            <w:tcBorders>
              <w:right w:val="single" w:sz="8" w:color="auto"/>
            </w:tcBorders>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2160" w:type="dxa"/>
            <w:vAlign w:val="bottom"/>
            <w:tcBorders>
              <w:right w:val="single" w:sz="8" w:color="auto"/>
            </w:tcBorders>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9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400" w:type="dxa"/>
            <w:vAlign w:val="bottom"/>
            <w:gridSpan w:val="2"/>
          </w:tcPr>
          <w:p>
            <w:pPr>
              <w:ind w:left="40"/>
              <w:spacing w:after="0"/>
              <w:rPr>
                <w:sz w:val="20"/>
                <w:szCs w:val="20"/>
                <w:color w:val="auto"/>
              </w:rPr>
            </w:pPr>
            <w:r>
              <w:rPr>
                <w:rFonts w:ascii="Arial" w:cs="Arial" w:eastAsia="Arial" w:hAnsi="Arial"/>
                <w:sz w:val="13"/>
                <w:szCs w:val="13"/>
                <w:color w:val="auto"/>
              </w:rPr>
              <w:t>211 and 213 East Grand Avenue</w:t>
            </w:r>
          </w:p>
        </w:tc>
        <w:tc>
          <w:tcPr>
            <w:tcW w:w="920" w:type="dxa"/>
            <w:vAlign w:val="bottom"/>
            <w:tcBorders>
              <w:left w:val="single" w:sz="8" w:color="auto"/>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216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(ii)  Benefits that can be significant</w:t>
            </w:r>
          </w:p>
        </w:tc>
        <w:tc>
          <w:tcPr>
            <w:tcW w:w="60" w:type="dxa"/>
            <w:vAlign w:val="bottom"/>
            <w:tcBorders>
              <w:right w:val="single" w:sz="8" w:color="auto"/>
            </w:tcBorders>
          </w:tcPr>
          <w:p>
            <w:pPr>
              <w:spacing w:after="0"/>
              <w:rPr>
                <w:sz w:val="16"/>
                <w:szCs w:val="16"/>
                <w:color w:val="auto"/>
              </w:rPr>
            </w:pP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Consolidated</w:t>
            </w:r>
          </w:p>
        </w:tc>
        <w:tc>
          <w:tcPr>
            <w:tcW w:w="0" w:type="dxa"/>
            <w:vAlign w:val="bottom"/>
          </w:tcPr>
          <w:p>
            <w:pPr>
              <w:spacing w:after="0"/>
              <w:rPr>
                <w:sz w:val="1"/>
                <w:szCs w:val="1"/>
                <w:color w:val="auto"/>
              </w:rPr>
            </w:pPr>
          </w:p>
        </w:tc>
      </w:tr>
      <w:tr>
        <w:trPr>
          <w:trHeight w:val="151"/>
        </w:trPr>
        <w:tc>
          <w:tcPr>
            <w:tcW w:w="2400" w:type="dxa"/>
            <w:vAlign w:val="bottom"/>
            <w:gridSpan w:val="2"/>
          </w:tcPr>
          <w:p>
            <w:pPr>
              <w:ind w:left="40"/>
              <w:spacing w:after="0"/>
              <w:rPr>
                <w:sz w:val="20"/>
                <w:szCs w:val="20"/>
                <w:color w:val="auto"/>
              </w:rPr>
            </w:pPr>
            <w:r>
              <w:rPr>
                <w:rFonts w:ascii="Arial" w:cs="Arial" w:eastAsia="Arial" w:hAnsi="Arial"/>
                <w:sz w:val="13"/>
                <w:szCs w:val="13"/>
                <w:color w:val="auto"/>
              </w:rPr>
              <w:t>500 Forbes Boulevard</w:t>
            </w:r>
          </w:p>
        </w:tc>
        <w:tc>
          <w:tcPr>
            <w:tcW w:w="9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color w:val="auto"/>
                <w:w w:val="99"/>
              </w:rPr>
              <w:t>VIE model</w:t>
            </w:r>
          </w:p>
        </w:tc>
        <w:tc>
          <w:tcPr>
            <w:tcW w:w="10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9"/>
              </w:rPr>
              <w:t>Not applicable</w:t>
            </w:r>
          </w:p>
        </w:tc>
        <w:tc>
          <w:tcPr>
            <w:tcW w:w="80" w:type="dxa"/>
            <w:vAlign w:val="bottom"/>
            <w:tcBorders>
              <w:right w:val="single" w:sz="8" w:color="auto"/>
            </w:tcBorders>
          </w:tcPr>
          <w:p>
            <w:pPr>
              <w:spacing w:after="0"/>
              <w:rPr>
                <w:sz w:val="13"/>
                <w:szCs w:val="13"/>
                <w:color w:val="auto"/>
              </w:rPr>
            </w:pPr>
          </w:p>
        </w:tc>
        <w:tc>
          <w:tcPr>
            <w:tcW w:w="2160" w:type="dxa"/>
            <w:vAlign w:val="bottom"/>
            <w:tcBorders>
              <w:right w:val="single" w:sz="8" w:color="auto"/>
            </w:tcBorders>
          </w:tcPr>
          <w:p>
            <w:pPr>
              <w:ind w:left="320"/>
              <w:spacing w:after="0"/>
              <w:rPr>
                <w:sz w:val="20"/>
                <w:szCs w:val="20"/>
                <w:color w:val="auto"/>
              </w:rPr>
            </w:pPr>
            <w:r>
              <w:rPr>
                <w:rFonts w:ascii="Arial" w:cs="Arial" w:eastAsia="Arial" w:hAnsi="Arial"/>
                <w:sz w:val="13"/>
                <w:szCs w:val="13"/>
                <w:color w:val="auto"/>
              </w:rPr>
              <w:t>to the joint venture.</w:t>
            </w:r>
          </w:p>
        </w:tc>
        <w:tc>
          <w:tcPr>
            <w:tcW w:w="60" w:type="dxa"/>
            <w:vAlign w:val="bottom"/>
            <w:tcBorders>
              <w:right w:val="single" w:sz="8" w:color="auto"/>
            </w:tcBorders>
          </w:tcPr>
          <w:p>
            <w:pPr>
              <w:spacing w:after="0"/>
              <w:rPr>
                <w:sz w:val="13"/>
                <w:szCs w:val="13"/>
                <w:color w:val="auto"/>
              </w:rPr>
            </w:pPr>
          </w:p>
        </w:tc>
        <w:tc>
          <w:tcPr>
            <w:tcW w:w="9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300" w:type="dxa"/>
            <w:vAlign w:val="bottom"/>
            <w:vMerge w:val="restart"/>
          </w:tcPr>
          <w:p>
            <w:pPr>
              <w:ind w:left="106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9"/>
                <w:szCs w:val="9"/>
                <w:color w:val="auto"/>
              </w:rPr>
            </w:pPr>
          </w:p>
        </w:tc>
        <w:tc>
          <w:tcPr>
            <w:tcW w:w="920" w:type="dxa"/>
            <w:vAlign w:val="bottom"/>
            <w:tcBorders>
              <w:left w:val="single" w:sz="8" w:color="auto"/>
              <w:right w:val="single" w:sz="8" w:color="auto"/>
            </w:tcBorders>
            <w:vMerge w:val="continue"/>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940" w:type="dxa"/>
            <w:vAlign w:val="bottom"/>
            <w:tcBorders>
              <w:right w:val="single" w:sz="8" w:color="auto"/>
            </w:tcBorders>
            <w:vMerge w:val="restart"/>
          </w:tcPr>
          <w:p>
            <w:pPr>
              <w:jc w:val="center"/>
              <w:spacing w:after="0" w:line="129" w:lineRule="exact"/>
              <w:rPr>
                <w:sz w:val="20"/>
                <w:szCs w:val="20"/>
                <w:color w:val="auto"/>
              </w:rPr>
            </w:pPr>
            <w:r>
              <w:rPr>
                <w:rFonts w:ascii="Arial" w:cs="Arial" w:eastAsia="Arial" w:hAnsi="Arial"/>
                <w:sz w:val="13"/>
                <w:szCs w:val="13"/>
                <w:color w:val="auto"/>
                <w:w w:val="96"/>
              </w:rPr>
              <w:t>under VIE</w:t>
            </w:r>
          </w:p>
        </w:tc>
        <w:tc>
          <w:tcPr>
            <w:tcW w:w="80" w:type="dxa"/>
            <w:vAlign w:val="bottom"/>
            <w:tcBorders>
              <w:right w:val="single" w:sz="8" w:color="auto"/>
            </w:tcBorders>
          </w:tcPr>
          <w:p>
            <w:pPr>
              <w:spacing w:after="0"/>
              <w:rPr>
                <w:sz w:val="9"/>
                <w:szCs w:val="9"/>
                <w:color w:val="auto"/>
              </w:rPr>
            </w:pPr>
          </w:p>
        </w:tc>
        <w:tc>
          <w:tcPr>
            <w:tcW w:w="2160" w:type="dxa"/>
            <w:vAlign w:val="bottom"/>
            <w:tcBorders>
              <w:right w:val="single" w:sz="8" w:color="auto"/>
            </w:tcBorders>
          </w:tcPr>
          <w:p>
            <w:pPr>
              <w:spacing w:after="0"/>
              <w:rPr>
                <w:sz w:val="9"/>
                <w:szCs w:val="9"/>
                <w:color w:val="auto"/>
              </w:rPr>
            </w:pPr>
          </w:p>
        </w:tc>
        <w:tc>
          <w:tcPr>
            <w:tcW w:w="60" w:type="dxa"/>
            <w:vAlign w:val="bottom"/>
            <w:tcBorders>
              <w:right w:val="single" w:sz="8" w:color="auto"/>
            </w:tcBorders>
          </w:tcPr>
          <w:p>
            <w:pPr>
              <w:spacing w:after="0"/>
              <w:rPr>
                <w:sz w:val="9"/>
                <w:szCs w:val="9"/>
                <w:color w:val="auto"/>
              </w:rPr>
            </w:pPr>
          </w:p>
        </w:tc>
        <w:tc>
          <w:tcPr>
            <w:tcW w:w="9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
        </w:trPr>
        <w:tc>
          <w:tcPr>
            <w:tcW w:w="230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left w:val="single" w:sz="8" w:color="auto"/>
              <w:right w:val="single" w:sz="8" w:color="auto"/>
            </w:tcBorders>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940" w:type="dxa"/>
            <w:vAlign w:val="bottom"/>
            <w:tcBorders>
              <w:right w:val="single" w:sz="8" w:color="auto"/>
            </w:tcBorders>
            <w:vMerge w:val="continue"/>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2160" w:type="dxa"/>
            <w:vAlign w:val="bottom"/>
            <w:tcBorders>
              <w:right w:val="single" w:sz="8" w:color="auto"/>
            </w:tcBorders>
          </w:tcPr>
          <w:p>
            <w:pPr>
              <w:spacing w:after="0"/>
              <w:rPr>
                <w:sz w:val="2"/>
                <w:szCs w:val="2"/>
                <w:color w:val="auto"/>
              </w:rPr>
            </w:pPr>
          </w:p>
        </w:tc>
        <w:tc>
          <w:tcPr>
            <w:tcW w:w="60" w:type="dxa"/>
            <w:vAlign w:val="bottom"/>
            <w:tcBorders>
              <w:right w:val="single" w:sz="8" w:color="auto"/>
            </w:tcBorders>
          </w:tcPr>
          <w:p>
            <w:pPr>
              <w:spacing w:after="0"/>
              <w:rPr>
                <w:sz w:val="2"/>
                <w:szCs w:val="2"/>
                <w:color w:val="auto"/>
              </w:rPr>
            </w:pPr>
          </w:p>
        </w:tc>
        <w:tc>
          <w:tcPr>
            <w:tcW w:w="96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
        </w:trPr>
        <w:tc>
          <w:tcPr>
            <w:tcW w:w="2400" w:type="dxa"/>
            <w:vAlign w:val="bottom"/>
            <w:gridSpan w:val="2"/>
          </w:tcPr>
          <w:p>
            <w:pPr>
              <w:ind w:left="40"/>
              <w:spacing w:after="0" w:line="44" w:lineRule="exact"/>
              <w:rPr>
                <w:sz w:val="20"/>
                <w:szCs w:val="20"/>
                <w:color w:val="auto"/>
              </w:rPr>
            </w:pPr>
            <w:r>
              <w:rPr>
                <w:rFonts w:ascii="Arial" w:cs="Arial" w:eastAsia="Arial" w:hAnsi="Arial"/>
                <w:sz w:val="5"/>
                <w:szCs w:val="5"/>
                <w:color w:val="auto"/>
              </w:rPr>
              <w:t>Alexandria Center  for Life Science –</w:t>
            </w:r>
          </w:p>
        </w:tc>
        <w:tc>
          <w:tcPr>
            <w:tcW w:w="920" w:type="dxa"/>
            <w:vAlign w:val="bottom"/>
            <w:tcBorders>
              <w:left w:val="single" w:sz="8" w:color="auto"/>
              <w:right w:val="single" w:sz="8" w:color="auto"/>
            </w:tcBorders>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rPr>
              <w:t>model</w:t>
            </w:r>
          </w:p>
        </w:tc>
        <w:tc>
          <w:tcPr>
            <w:tcW w:w="80" w:type="dxa"/>
            <w:vAlign w:val="bottom"/>
            <w:tcBorders>
              <w:right w:val="single" w:sz="8" w:color="auto"/>
            </w:tcBorders>
          </w:tcPr>
          <w:p>
            <w:pPr>
              <w:spacing w:after="0"/>
              <w:rPr>
                <w:sz w:val="3"/>
                <w:szCs w:val="3"/>
                <w:color w:val="auto"/>
              </w:rPr>
            </w:pPr>
          </w:p>
        </w:tc>
        <w:tc>
          <w:tcPr>
            <w:tcW w:w="2160" w:type="dxa"/>
            <w:vAlign w:val="bottom"/>
            <w:tcBorders>
              <w:right w:val="single" w:sz="8" w:color="auto"/>
            </w:tcBorders>
          </w:tcPr>
          <w:p>
            <w:pPr>
              <w:spacing w:after="0"/>
              <w:rPr>
                <w:sz w:val="3"/>
                <w:szCs w:val="3"/>
                <w:color w:val="auto"/>
              </w:rPr>
            </w:pPr>
          </w:p>
        </w:tc>
        <w:tc>
          <w:tcPr>
            <w:tcW w:w="60" w:type="dxa"/>
            <w:vAlign w:val="bottom"/>
            <w:tcBorders>
              <w:right w:val="single" w:sz="8" w:color="auto"/>
            </w:tcBorders>
          </w:tcPr>
          <w:p>
            <w:pPr>
              <w:spacing w:after="0"/>
              <w:rPr>
                <w:sz w:val="3"/>
                <w:szCs w:val="3"/>
                <w:color w:val="auto"/>
              </w:rPr>
            </w:pPr>
          </w:p>
        </w:tc>
        <w:tc>
          <w:tcPr>
            <w:tcW w:w="96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26"/>
        </w:trPr>
        <w:tc>
          <w:tcPr>
            <w:tcW w:w="2400" w:type="dxa"/>
            <w:vAlign w:val="bottom"/>
            <w:gridSpan w:val="2"/>
            <w:vMerge w:val="restart"/>
          </w:tcPr>
          <w:p>
            <w:pPr>
              <w:ind w:left="160"/>
              <w:spacing w:after="0"/>
              <w:rPr>
                <w:sz w:val="20"/>
                <w:szCs w:val="20"/>
                <w:color w:val="auto"/>
              </w:rPr>
            </w:pPr>
            <w:r>
              <w:rPr>
                <w:rFonts w:ascii="Arial" w:cs="Arial" w:eastAsia="Arial" w:hAnsi="Arial"/>
                <w:sz w:val="13"/>
                <w:szCs w:val="13"/>
                <w:color w:val="auto"/>
              </w:rPr>
              <w:t>Millbrae</w:t>
            </w:r>
          </w:p>
        </w:tc>
        <w:tc>
          <w:tcPr>
            <w:tcW w:w="920" w:type="dxa"/>
            <w:vAlign w:val="bottom"/>
            <w:tcBorders>
              <w:left w:val="single" w:sz="8" w:color="auto"/>
              <w:right w:val="single" w:sz="8" w:color="auto"/>
            </w:tcBorders>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940" w:type="dxa"/>
            <w:vAlign w:val="bottom"/>
            <w:tcBorders>
              <w:right w:val="single" w:sz="8" w:color="auto"/>
            </w:tcBorders>
            <w:vMerge w:val="continue"/>
          </w:tcPr>
          <w:p>
            <w:pPr>
              <w:spacing w:after="0"/>
              <w:rPr>
                <w:sz w:val="10"/>
                <w:szCs w:val="10"/>
                <w:color w:val="auto"/>
              </w:rPr>
            </w:pPr>
          </w:p>
        </w:tc>
        <w:tc>
          <w:tcPr>
            <w:tcW w:w="80" w:type="dxa"/>
            <w:vAlign w:val="bottom"/>
            <w:tcBorders>
              <w:right w:val="single" w:sz="8" w:color="auto"/>
            </w:tcBorders>
          </w:tcPr>
          <w:p>
            <w:pPr>
              <w:spacing w:after="0"/>
              <w:rPr>
                <w:sz w:val="10"/>
                <w:szCs w:val="10"/>
                <w:color w:val="auto"/>
              </w:rPr>
            </w:pPr>
          </w:p>
        </w:tc>
        <w:tc>
          <w:tcPr>
            <w:tcW w:w="2160" w:type="dxa"/>
            <w:vAlign w:val="bottom"/>
            <w:tcBorders>
              <w:right w:val="single" w:sz="8" w:color="auto"/>
            </w:tcBorders>
          </w:tcPr>
          <w:p>
            <w:pPr>
              <w:spacing w:after="0"/>
              <w:rPr>
                <w:sz w:val="10"/>
                <w:szCs w:val="10"/>
                <w:color w:val="auto"/>
              </w:rPr>
            </w:pPr>
          </w:p>
        </w:tc>
        <w:tc>
          <w:tcPr>
            <w:tcW w:w="60" w:type="dxa"/>
            <w:vAlign w:val="bottom"/>
            <w:tcBorders>
              <w:right w:val="single" w:sz="8" w:color="auto"/>
            </w:tcBorders>
          </w:tcPr>
          <w:p>
            <w:pPr>
              <w:spacing w:after="0"/>
              <w:rPr>
                <w:sz w:val="10"/>
                <w:szCs w:val="10"/>
                <w:color w:val="auto"/>
              </w:rPr>
            </w:pPr>
          </w:p>
        </w:tc>
        <w:tc>
          <w:tcPr>
            <w:tcW w:w="9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43"/>
        </w:trPr>
        <w:tc>
          <w:tcPr>
            <w:tcW w:w="2400" w:type="dxa"/>
            <w:vAlign w:val="bottom"/>
            <w:gridSpan w:val="2"/>
            <w:vMerge w:val="continue"/>
          </w:tcPr>
          <w:p>
            <w:pPr>
              <w:spacing w:after="0"/>
              <w:rPr>
                <w:sz w:val="3"/>
                <w:szCs w:val="3"/>
                <w:color w:val="auto"/>
              </w:rPr>
            </w:pPr>
          </w:p>
        </w:tc>
        <w:tc>
          <w:tcPr>
            <w:tcW w:w="920" w:type="dxa"/>
            <w:vAlign w:val="bottom"/>
            <w:tcBorders>
              <w:left w:val="single" w:sz="8" w:color="auto"/>
              <w:right w:val="single" w:sz="8" w:color="auto"/>
            </w:tcBorders>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940" w:type="dxa"/>
            <w:vAlign w:val="bottom"/>
            <w:tcBorders>
              <w:right w:val="single" w:sz="8" w:color="auto"/>
            </w:tcBorders>
          </w:tcPr>
          <w:p>
            <w:pPr>
              <w:spacing w:after="0"/>
              <w:rPr>
                <w:sz w:val="3"/>
                <w:szCs w:val="3"/>
                <w:color w:val="auto"/>
              </w:rPr>
            </w:pPr>
          </w:p>
        </w:tc>
        <w:tc>
          <w:tcPr>
            <w:tcW w:w="80" w:type="dxa"/>
            <w:vAlign w:val="bottom"/>
            <w:tcBorders>
              <w:right w:val="single" w:sz="8" w:color="auto"/>
            </w:tcBorders>
          </w:tcPr>
          <w:p>
            <w:pPr>
              <w:spacing w:after="0"/>
              <w:rPr>
                <w:sz w:val="3"/>
                <w:szCs w:val="3"/>
                <w:color w:val="auto"/>
              </w:rPr>
            </w:pPr>
          </w:p>
        </w:tc>
        <w:tc>
          <w:tcPr>
            <w:tcW w:w="2160" w:type="dxa"/>
            <w:vAlign w:val="bottom"/>
            <w:tcBorders>
              <w:right w:val="single" w:sz="8" w:color="auto"/>
            </w:tcBorders>
          </w:tcPr>
          <w:p>
            <w:pPr>
              <w:spacing w:after="0"/>
              <w:rPr>
                <w:sz w:val="3"/>
                <w:szCs w:val="3"/>
                <w:color w:val="auto"/>
              </w:rPr>
            </w:pPr>
          </w:p>
        </w:tc>
        <w:tc>
          <w:tcPr>
            <w:tcW w:w="60" w:type="dxa"/>
            <w:vAlign w:val="bottom"/>
            <w:tcBorders>
              <w:right w:val="single" w:sz="8" w:color="auto"/>
            </w:tcBorders>
          </w:tcPr>
          <w:p>
            <w:pPr>
              <w:spacing w:after="0"/>
              <w:rPr>
                <w:sz w:val="3"/>
                <w:szCs w:val="3"/>
                <w:color w:val="auto"/>
              </w:rPr>
            </w:pPr>
          </w:p>
        </w:tc>
        <w:tc>
          <w:tcPr>
            <w:tcW w:w="96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400" w:type="dxa"/>
            <w:vAlign w:val="bottom"/>
            <w:gridSpan w:val="2"/>
          </w:tcPr>
          <w:p>
            <w:pPr>
              <w:ind w:left="40"/>
              <w:spacing w:after="0"/>
              <w:rPr>
                <w:sz w:val="20"/>
                <w:szCs w:val="20"/>
                <w:color w:val="auto"/>
              </w:rPr>
            </w:pPr>
            <w:r>
              <w:rPr>
                <w:rFonts w:ascii="Arial" w:cs="Arial" w:eastAsia="Arial" w:hAnsi="Arial"/>
                <w:sz w:val="13"/>
                <w:szCs w:val="13"/>
                <w:color w:val="auto"/>
              </w:rPr>
              <w:t>3215 Merryfield Row</w:t>
            </w:r>
          </w:p>
        </w:tc>
        <w:tc>
          <w:tcPr>
            <w:tcW w:w="920" w:type="dxa"/>
            <w:vAlign w:val="bottom"/>
            <w:tcBorders>
              <w:left w:val="single" w:sz="8" w:color="auto"/>
              <w:right w:val="single" w:sz="8" w:color="auto"/>
            </w:tcBorders>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940" w:type="dxa"/>
            <w:vAlign w:val="bottom"/>
            <w:tcBorders>
              <w:right w:val="single" w:sz="8" w:color="auto"/>
            </w:tcBorders>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2160" w:type="dxa"/>
            <w:vAlign w:val="bottom"/>
            <w:tcBorders>
              <w:right w:val="single" w:sz="8" w:color="auto"/>
            </w:tcBorders>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9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400" w:type="dxa"/>
            <w:vAlign w:val="bottom"/>
            <w:gridSpan w:val="2"/>
          </w:tcPr>
          <w:p>
            <w:pPr>
              <w:ind w:left="40"/>
              <w:spacing w:after="0"/>
              <w:rPr>
                <w:sz w:val="20"/>
                <w:szCs w:val="20"/>
                <w:color w:val="auto"/>
              </w:rPr>
            </w:pPr>
            <w:r>
              <w:rPr>
                <w:rFonts w:ascii="Arial" w:cs="Arial" w:eastAsia="Arial" w:hAnsi="Arial"/>
                <w:sz w:val="13"/>
                <w:szCs w:val="13"/>
                <w:color w:val="auto"/>
              </w:rPr>
              <w:t>Campus Point by Alexandria</w:t>
            </w:r>
          </w:p>
        </w:tc>
        <w:tc>
          <w:tcPr>
            <w:tcW w:w="920" w:type="dxa"/>
            <w:vAlign w:val="bottom"/>
            <w:tcBorders>
              <w:left w:val="single" w:sz="8" w:color="auto"/>
              <w:right w:val="single" w:sz="8" w:color="auto"/>
            </w:tcBorders>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940" w:type="dxa"/>
            <w:vAlign w:val="bottom"/>
            <w:tcBorders>
              <w:right w:val="single" w:sz="8" w:color="auto"/>
            </w:tcBorders>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2160" w:type="dxa"/>
            <w:vAlign w:val="bottom"/>
            <w:tcBorders>
              <w:right w:val="single" w:sz="8" w:color="auto"/>
            </w:tcBorders>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9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400" w:type="dxa"/>
            <w:vAlign w:val="bottom"/>
            <w:gridSpan w:val="2"/>
          </w:tcPr>
          <w:p>
            <w:pPr>
              <w:ind w:left="40"/>
              <w:spacing w:after="0"/>
              <w:rPr>
                <w:sz w:val="20"/>
                <w:szCs w:val="20"/>
                <w:color w:val="auto"/>
              </w:rPr>
            </w:pPr>
            <w:r>
              <w:rPr>
                <w:rFonts w:ascii="Arial" w:cs="Arial" w:eastAsia="Arial" w:hAnsi="Arial"/>
                <w:sz w:val="13"/>
                <w:szCs w:val="13"/>
                <w:color w:val="auto"/>
              </w:rPr>
              <w:t>5200 Illumina Way</w:t>
            </w:r>
          </w:p>
        </w:tc>
        <w:tc>
          <w:tcPr>
            <w:tcW w:w="920" w:type="dxa"/>
            <w:vAlign w:val="bottom"/>
            <w:tcBorders>
              <w:left w:val="single" w:sz="8" w:color="auto"/>
              <w:right w:val="single" w:sz="8" w:color="auto"/>
            </w:tcBorders>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940" w:type="dxa"/>
            <w:vAlign w:val="bottom"/>
            <w:tcBorders>
              <w:right w:val="single" w:sz="8" w:color="auto"/>
            </w:tcBorders>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2160" w:type="dxa"/>
            <w:vAlign w:val="bottom"/>
            <w:tcBorders>
              <w:right w:val="single" w:sz="8" w:color="auto"/>
            </w:tcBorders>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9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400" w:type="dxa"/>
            <w:vAlign w:val="bottom"/>
            <w:gridSpan w:val="2"/>
          </w:tcPr>
          <w:p>
            <w:pPr>
              <w:ind w:left="40"/>
              <w:spacing w:after="0"/>
              <w:rPr>
                <w:sz w:val="20"/>
                <w:szCs w:val="20"/>
                <w:color w:val="auto"/>
              </w:rPr>
            </w:pPr>
            <w:r>
              <w:rPr>
                <w:rFonts w:ascii="Arial" w:cs="Arial" w:eastAsia="Arial" w:hAnsi="Arial"/>
                <w:sz w:val="13"/>
                <w:szCs w:val="13"/>
                <w:color w:val="auto"/>
              </w:rPr>
              <w:t>9625 Towne Centre Drive</w:t>
            </w:r>
          </w:p>
        </w:tc>
        <w:tc>
          <w:tcPr>
            <w:tcW w:w="920" w:type="dxa"/>
            <w:vAlign w:val="bottom"/>
            <w:tcBorders>
              <w:left w:val="single" w:sz="8" w:color="auto"/>
              <w:right w:val="single" w:sz="8" w:color="auto"/>
            </w:tcBorders>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940" w:type="dxa"/>
            <w:vAlign w:val="bottom"/>
            <w:tcBorders>
              <w:right w:val="single" w:sz="8" w:color="auto"/>
            </w:tcBorders>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2160" w:type="dxa"/>
            <w:vAlign w:val="bottom"/>
            <w:tcBorders>
              <w:right w:val="single" w:sz="8" w:color="auto"/>
            </w:tcBorders>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9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400" w:type="dxa"/>
            <w:vAlign w:val="bottom"/>
            <w:gridSpan w:val="2"/>
          </w:tcPr>
          <w:p>
            <w:pPr>
              <w:ind w:left="40"/>
              <w:spacing w:after="0"/>
              <w:rPr>
                <w:sz w:val="20"/>
                <w:szCs w:val="20"/>
                <w:color w:val="auto"/>
              </w:rPr>
            </w:pPr>
            <w:r>
              <w:rPr>
                <w:rFonts w:ascii="Arial" w:cs="Arial" w:eastAsia="Arial" w:hAnsi="Arial"/>
                <w:sz w:val="13"/>
                <w:szCs w:val="13"/>
                <w:color w:val="auto"/>
              </w:rPr>
              <w:t>SD Tech by Alexandria</w:t>
            </w:r>
          </w:p>
        </w:tc>
        <w:tc>
          <w:tcPr>
            <w:tcW w:w="920" w:type="dxa"/>
            <w:vAlign w:val="bottom"/>
            <w:tcBorders>
              <w:left w:val="single" w:sz="8" w:color="auto"/>
              <w:right w:val="single" w:sz="8" w:color="auto"/>
            </w:tcBorders>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940" w:type="dxa"/>
            <w:vAlign w:val="bottom"/>
            <w:tcBorders>
              <w:right w:val="single" w:sz="8" w:color="auto"/>
            </w:tcBorders>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2160" w:type="dxa"/>
            <w:vAlign w:val="bottom"/>
            <w:tcBorders>
              <w:right w:val="single" w:sz="8" w:color="auto"/>
            </w:tcBorders>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9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400" w:type="dxa"/>
            <w:vAlign w:val="bottom"/>
            <w:gridSpan w:val="2"/>
          </w:tcPr>
          <w:p>
            <w:pPr>
              <w:ind w:left="40"/>
              <w:spacing w:after="0"/>
              <w:rPr>
                <w:sz w:val="20"/>
                <w:szCs w:val="20"/>
                <w:color w:val="auto"/>
              </w:rPr>
            </w:pPr>
            <w:r>
              <w:rPr>
                <w:rFonts w:ascii="Arial" w:cs="Arial" w:eastAsia="Arial" w:hAnsi="Arial"/>
                <w:sz w:val="13"/>
                <w:szCs w:val="13"/>
                <w:color w:val="auto"/>
              </w:rPr>
              <w:t>Pacific Technology Park</w:t>
            </w:r>
          </w:p>
        </w:tc>
        <w:tc>
          <w:tcPr>
            <w:tcW w:w="920" w:type="dxa"/>
            <w:vAlign w:val="bottom"/>
            <w:tcBorders>
              <w:left w:val="single" w:sz="8" w:color="auto"/>
              <w:right w:val="single" w:sz="8" w:color="auto"/>
            </w:tcBorders>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940" w:type="dxa"/>
            <w:vAlign w:val="bottom"/>
            <w:tcBorders>
              <w:right w:val="single" w:sz="8" w:color="auto"/>
            </w:tcBorders>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9"/>
              </w:rPr>
              <w:t>Therefore, we are the primary</w:t>
            </w:r>
          </w:p>
        </w:tc>
        <w:tc>
          <w:tcPr>
            <w:tcW w:w="60" w:type="dxa"/>
            <w:vAlign w:val="bottom"/>
            <w:tcBorders>
              <w:right w:val="single" w:sz="8" w:color="auto"/>
            </w:tcBorders>
          </w:tcPr>
          <w:p>
            <w:pPr>
              <w:spacing w:after="0"/>
              <w:rPr>
                <w:sz w:val="15"/>
                <w:szCs w:val="15"/>
                <w:color w:val="auto"/>
              </w:rPr>
            </w:pPr>
          </w:p>
        </w:tc>
        <w:tc>
          <w:tcPr>
            <w:tcW w:w="9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400" w:type="dxa"/>
            <w:vAlign w:val="bottom"/>
            <w:gridSpan w:val="2"/>
          </w:tcPr>
          <w:p>
            <w:pPr>
              <w:ind w:left="40"/>
              <w:spacing w:after="0"/>
              <w:rPr>
                <w:sz w:val="20"/>
                <w:szCs w:val="20"/>
                <w:color w:val="auto"/>
              </w:rPr>
            </w:pPr>
            <w:r>
              <w:rPr>
                <w:rFonts w:ascii="Arial" w:cs="Arial" w:eastAsia="Arial" w:hAnsi="Arial"/>
                <w:sz w:val="13"/>
                <w:szCs w:val="13"/>
                <w:color w:val="auto"/>
              </w:rPr>
              <w:t>Summers Ridge Science Park</w:t>
            </w:r>
          </w:p>
        </w:tc>
        <w:tc>
          <w:tcPr>
            <w:tcW w:w="920" w:type="dxa"/>
            <w:vAlign w:val="bottom"/>
            <w:tcBorders>
              <w:left w:val="single" w:sz="8" w:color="auto"/>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beneficiary of each VIE</w:t>
            </w:r>
          </w:p>
        </w:tc>
        <w:tc>
          <w:tcPr>
            <w:tcW w:w="60" w:type="dxa"/>
            <w:vAlign w:val="bottom"/>
            <w:tcBorders>
              <w:right w:val="single" w:sz="8" w:color="auto"/>
            </w:tcBorders>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400" w:type="dxa"/>
            <w:vAlign w:val="bottom"/>
            <w:gridSpan w:val="2"/>
          </w:tcPr>
          <w:p>
            <w:pPr>
              <w:ind w:left="40"/>
              <w:spacing w:after="0" w:line="143" w:lineRule="exact"/>
              <w:rPr>
                <w:sz w:val="20"/>
                <w:szCs w:val="20"/>
                <w:color w:val="auto"/>
              </w:rPr>
            </w:pPr>
            <w:r>
              <w:rPr>
                <w:rFonts w:ascii="Arial" w:cs="Arial" w:eastAsia="Arial" w:hAnsi="Arial"/>
                <w:sz w:val="13"/>
                <w:szCs w:val="13"/>
                <w:color w:val="auto"/>
              </w:rPr>
              <w:t>1201 and 1208 Eastlake Avenue East</w:t>
            </w:r>
          </w:p>
        </w:tc>
        <w:tc>
          <w:tcPr>
            <w:tcW w:w="92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2160" w:type="dxa"/>
            <w:vAlign w:val="bottom"/>
            <w:tcBorders>
              <w:right w:val="single" w:sz="8" w:color="auto"/>
            </w:tcBorders>
          </w:tcPr>
          <w:p>
            <w:pPr>
              <w:spacing w:after="0"/>
              <w:rPr>
                <w:sz w:val="12"/>
                <w:szCs w:val="12"/>
                <w:color w:val="auto"/>
              </w:rPr>
            </w:pPr>
          </w:p>
        </w:tc>
        <w:tc>
          <w:tcPr>
            <w:tcW w:w="6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400" w:type="dxa"/>
            <w:vAlign w:val="bottom"/>
            <w:gridSpan w:val="2"/>
          </w:tcPr>
          <w:p>
            <w:pPr>
              <w:ind w:left="160"/>
              <w:spacing w:after="0"/>
              <w:rPr>
                <w:sz w:val="20"/>
                <w:szCs w:val="20"/>
                <w:color w:val="auto"/>
              </w:rPr>
            </w:pPr>
            <w:r>
              <w:rPr>
                <w:rFonts w:ascii="Arial" w:cs="Arial" w:eastAsia="Arial" w:hAnsi="Arial"/>
                <w:sz w:val="13"/>
                <w:szCs w:val="13"/>
                <w:color w:val="auto"/>
              </w:rPr>
              <w:t>and 199 East Blaine Street</w:t>
            </w:r>
          </w:p>
        </w:tc>
        <w:tc>
          <w:tcPr>
            <w:tcW w:w="920" w:type="dxa"/>
            <w:vAlign w:val="bottom"/>
            <w:tcBorders>
              <w:left w:val="single" w:sz="8" w:color="auto"/>
              <w:right w:val="single" w:sz="8" w:color="auto"/>
            </w:tcBorders>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940" w:type="dxa"/>
            <w:vAlign w:val="bottom"/>
            <w:tcBorders>
              <w:right w:val="single" w:sz="8" w:color="auto"/>
            </w:tcBorders>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2160" w:type="dxa"/>
            <w:vAlign w:val="bottom"/>
            <w:tcBorders>
              <w:right w:val="single" w:sz="8" w:color="auto"/>
            </w:tcBorders>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c>
          <w:tcPr>
            <w:tcW w:w="9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400" w:type="dxa"/>
            <w:vAlign w:val="bottom"/>
            <w:gridSpan w:val="2"/>
          </w:tcPr>
          <w:p>
            <w:pPr>
              <w:ind w:left="40"/>
              <w:spacing w:after="0"/>
              <w:rPr>
                <w:sz w:val="20"/>
                <w:szCs w:val="20"/>
                <w:color w:val="auto"/>
              </w:rPr>
            </w:pPr>
            <w:r>
              <w:rPr>
                <w:rFonts w:ascii="Arial" w:cs="Arial" w:eastAsia="Arial" w:hAnsi="Arial"/>
                <w:sz w:val="13"/>
                <w:szCs w:val="13"/>
                <w:color w:val="auto"/>
              </w:rPr>
              <w:t>400 Dexter Avenue North</w:t>
            </w:r>
          </w:p>
        </w:tc>
        <w:tc>
          <w:tcPr>
            <w:tcW w:w="920" w:type="dxa"/>
            <w:vAlign w:val="bottom"/>
            <w:tcBorders>
              <w:left w:val="single" w:sz="8" w:color="auto"/>
              <w:right w:val="single" w:sz="8" w:color="auto"/>
            </w:tcBorders>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940" w:type="dxa"/>
            <w:vAlign w:val="bottom"/>
            <w:tcBorders>
              <w:right w:val="single" w:sz="8" w:color="auto"/>
            </w:tcBorders>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2160" w:type="dxa"/>
            <w:vAlign w:val="bottom"/>
            <w:tcBorders>
              <w:right w:val="single" w:sz="8" w:color="auto"/>
            </w:tcBorders>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9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400" w:type="dxa"/>
            <w:vAlign w:val="bottom"/>
            <w:gridSpan w:val="2"/>
          </w:tcPr>
          <w:p>
            <w:pPr>
              <w:ind w:left="40"/>
              <w:spacing w:after="0"/>
              <w:rPr>
                <w:sz w:val="20"/>
                <w:szCs w:val="20"/>
                <w:color w:val="auto"/>
              </w:rPr>
            </w:pPr>
            <w:r>
              <w:rPr>
                <w:rFonts w:ascii="Arial" w:cs="Arial" w:eastAsia="Arial" w:hAnsi="Arial"/>
                <w:sz w:val="13"/>
                <w:szCs w:val="13"/>
                <w:color w:val="auto"/>
              </w:rPr>
              <w:t>800 Mercer Street</w:t>
            </w:r>
          </w:p>
        </w:tc>
        <w:tc>
          <w:tcPr>
            <w:tcW w:w="920" w:type="dxa"/>
            <w:vAlign w:val="bottom"/>
            <w:tcBorders>
              <w:left w:val="single" w:sz="8" w:color="auto"/>
              <w:right w:val="single" w:sz="8" w:color="auto"/>
            </w:tcBorders>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940" w:type="dxa"/>
            <w:vAlign w:val="bottom"/>
            <w:tcBorders>
              <w:right w:val="single" w:sz="8" w:color="auto"/>
            </w:tcBorders>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2160" w:type="dxa"/>
            <w:vAlign w:val="bottom"/>
            <w:tcBorders>
              <w:bottom w:val="single" w:sz="8" w:color="auto"/>
              <w:right w:val="single" w:sz="8" w:color="auto"/>
            </w:tcBorders>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96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400" w:type="dxa"/>
            <w:vAlign w:val="bottom"/>
            <w:gridSpan w:val="2"/>
          </w:tcPr>
          <w:p>
            <w:pPr>
              <w:ind w:left="40"/>
              <w:spacing w:after="0"/>
              <w:rPr>
                <w:sz w:val="20"/>
                <w:szCs w:val="20"/>
                <w:color w:val="auto"/>
              </w:rPr>
            </w:pPr>
            <w:r>
              <w:rPr>
                <w:rFonts w:ascii="Arial" w:cs="Arial" w:eastAsia="Arial" w:hAnsi="Arial"/>
                <w:sz w:val="13"/>
                <w:szCs w:val="13"/>
                <w:color w:val="auto"/>
              </w:rPr>
              <w:t>1401/1413 Research Boulevard</w:t>
            </w:r>
          </w:p>
        </w:tc>
        <w:tc>
          <w:tcPr>
            <w:tcW w:w="920" w:type="dxa"/>
            <w:vAlign w:val="bottom"/>
            <w:tcBorders>
              <w:left w:val="single" w:sz="8" w:color="auto"/>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8"/>
              </w:rPr>
              <w:t>We do not control the joint venture</w:t>
            </w:r>
          </w:p>
        </w:tc>
        <w:tc>
          <w:tcPr>
            <w:tcW w:w="60" w:type="dxa"/>
            <w:vAlign w:val="bottom"/>
            <w:tcBorders>
              <w:right w:val="single" w:sz="8" w:color="auto"/>
            </w:tcBorders>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2400" w:type="dxa"/>
            <w:vAlign w:val="bottom"/>
            <w:gridSpan w:val="2"/>
          </w:tcPr>
          <w:p>
            <w:pPr>
              <w:ind w:left="40"/>
              <w:spacing w:after="0" w:line="129" w:lineRule="exact"/>
              <w:rPr>
                <w:sz w:val="20"/>
                <w:szCs w:val="20"/>
                <w:color w:val="auto"/>
              </w:rPr>
            </w:pPr>
            <w:r>
              <w:rPr>
                <w:rFonts w:ascii="Arial" w:cs="Arial" w:eastAsia="Arial" w:hAnsi="Arial"/>
                <w:sz w:val="13"/>
                <w:szCs w:val="13"/>
                <w:color w:val="auto"/>
              </w:rPr>
              <w:t>1450 Research Boulevard</w:t>
            </w:r>
          </w:p>
        </w:tc>
        <w:tc>
          <w:tcPr>
            <w:tcW w:w="920" w:type="dxa"/>
            <w:vAlign w:val="bottom"/>
            <w:tcBorders>
              <w:left w:val="single" w:sz="8" w:color="auto"/>
              <w:right w:val="single" w:sz="8" w:color="auto"/>
            </w:tcBorders>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940" w:type="dxa"/>
            <w:vAlign w:val="bottom"/>
            <w:tcBorders>
              <w:right w:val="single" w:sz="8" w:color="auto"/>
            </w:tcBorders>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c>
          <w:tcPr>
            <w:tcW w:w="2160" w:type="dxa"/>
            <w:vAlign w:val="bottom"/>
            <w:tcBorders>
              <w:right w:val="single" w:sz="8" w:color="auto"/>
            </w:tcBorders>
          </w:tcPr>
          <w:p>
            <w:pPr>
              <w:jc w:val="center"/>
              <w:spacing w:after="0" w:line="129" w:lineRule="exact"/>
              <w:rPr>
                <w:sz w:val="20"/>
                <w:szCs w:val="20"/>
                <w:color w:val="auto"/>
              </w:rPr>
            </w:pPr>
            <w:r>
              <w:rPr>
                <w:rFonts w:ascii="Arial" w:cs="Arial" w:eastAsia="Arial" w:hAnsi="Arial"/>
                <w:sz w:val="13"/>
                <w:szCs w:val="13"/>
                <w:color w:val="auto"/>
                <w:w w:val="99"/>
              </w:rPr>
              <w:t>and are therefore not the primary</w:t>
            </w:r>
          </w:p>
        </w:tc>
        <w:tc>
          <w:tcPr>
            <w:tcW w:w="60" w:type="dxa"/>
            <w:vAlign w:val="bottom"/>
            <w:tcBorders>
              <w:right w:val="single" w:sz="8" w:color="auto"/>
            </w:tcBorders>
          </w:tcPr>
          <w:p>
            <w:pPr>
              <w:spacing w:after="0"/>
              <w:rPr>
                <w:sz w:val="11"/>
                <w:szCs w:val="11"/>
                <w:color w:val="auto"/>
              </w:rPr>
            </w:pPr>
          </w:p>
        </w:tc>
        <w:tc>
          <w:tcPr>
            <w:tcW w:w="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8"/>
              </w:rPr>
              <w:t>Equity method</w:t>
            </w:r>
          </w:p>
        </w:tc>
        <w:tc>
          <w:tcPr>
            <w:tcW w:w="0" w:type="dxa"/>
            <w:vAlign w:val="bottom"/>
          </w:tcPr>
          <w:p>
            <w:pPr>
              <w:spacing w:after="0"/>
              <w:rPr>
                <w:sz w:val="1"/>
                <w:szCs w:val="1"/>
                <w:color w:val="auto"/>
              </w:rPr>
            </w:pPr>
          </w:p>
        </w:tc>
      </w:tr>
      <w:tr>
        <w:trPr>
          <w:trHeight w:val="86"/>
        </w:trPr>
        <w:tc>
          <w:tcPr>
            <w:tcW w:w="2400" w:type="dxa"/>
            <w:vAlign w:val="bottom"/>
            <w:gridSpan w:val="2"/>
            <w:vMerge w:val="restart"/>
          </w:tcPr>
          <w:p>
            <w:pPr>
              <w:ind w:left="40"/>
              <w:spacing w:after="0"/>
              <w:rPr>
                <w:sz w:val="20"/>
                <w:szCs w:val="20"/>
                <w:color w:val="auto"/>
              </w:rPr>
            </w:pPr>
            <w:r>
              <w:rPr>
                <w:rFonts w:ascii="Arial" w:cs="Arial" w:eastAsia="Arial" w:hAnsi="Arial"/>
                <w:sz w:val="13"/>
                <w:szCs w:val="13"/>
                <w:color w:val="auto"/>
              </w:rPr>
              <w:t>101 West Dickman Street</w:t>
            </w:r>
          </w:p>
        </w:tc>
        <w:tc>
          <w:tcPr>
            <w:tcW w:w="920" w:type="dxa"/>
            <w:vAlign w:val="bottom"/>
            <w:tcBorders>
              <w:left w:val="single" w:sz="8" w:color="auto"/>
              <w:right w:val="single" w:sz="8" w:color="auto"/>
            </w:tcBorders>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940" w:type="dxa"/>
            <w:vAlign w:val="bottom"/>
            <w:tcBorders>
              <w:right w:val="single" w:sz="8" w:color="auto"/>
            </w:tcBorders>
          </w:tcPr>
          <w:p>
            <w:pPr>
              <w:spacing w:after="0"/>
              <w:rPr>
                <w:sz w:val="7"/>
                <w:szCs w:val="7"/>
                <w:color w:val="auto"/>
              </w:rPr>
            </w:pPr>
          </w:p>
        </w:tc>
        <w:tc>
          <w:tcPr>
            <w:tcW w:w="80" w:type="dxa"/>
            <w:vAlign w:val="bottom"/>
            <w:tcBorders>
              <w:right w:val="single" w:sz="8" w:color="auto"/>
            </w:tcBorders>
          </w:tcPr>
          <w:p>
            <w:pPr>
              <w:spacing w:after="0"/>
              <w:rPr>
                <w:sz w:val="7"/>
                <w:szCs w:val="7"/>
                <w:color w:val="auto"/>
              </w:rPr>
            </w:pPr>
          </w:p>
        </w:tc>
        <w:tc>
          <w:tcPr>
            <w:tcW w:w="2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9"/>
              </w:rPr>
              <w:t>beneficiary.</w:t>
            </w:r>
          </w:p>
        </w:tc>
        <w:tc>
          <w:tcPr>
            <w:tcW w:w="60" w:type="dxa"/>
            <w:vAlign w:val="bottom"/>
            <w:tcBorders>
              <w:right w:val="single" w:sz="8" w:color="auto"/>
            </w:tcBorders>
          </w:tcPr>
          <w:p>
            <w:pPr>
              <w:spacing w:after="0"/>
              <w:rPr>
                <w:sz w:val="7"/>
                <w:szCs w:val="7"/>
                <w:color w:val="auto"/>
              </w:rPr>
            </w:pPr>
          </w:p>
        </w:tc>
        <w:tc>
          <w:tcPr>
            <w:tcW w:w="9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400" w:type="dxa"/>
            <w:vAlign w:val="bottom"/>
            <w:gridSpan w:val="2"/>
            <w:vMerge w:val="continue"/>
          </w:tcPr>
          <w:p>
            <w:pPr>
              <w:spacing w:after="0"/>
              <w:rPr>
                <w:sz w:val="7"/>
                <w:szCs w:val="7"/>
                <w:color w:val="auto"/>
              </w:rPr>
            </w:pPr>
          </w:p>
        </w:tc>
        <w:tc>
          <w:tcPr>
            <w:tcW w:w="920" w:type="dxa"/>
            <w:vAlign w:val="bottom"/>
            <w:tcBorders>
              <w:left w:val="single" w:sz="8" w:color="auto"/>
              <w:right w:val="single" w:sz="8" w:color="auto"/>
            </w:tcBorders>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940" w:type="dxa"/>
            <w:vAlign w:val="bottom"/>
            <w:tcBorders>
              <w:right w:val="single" w:sz="8" w:color="auto"/>
            </w:tcBorders>
          </w:tcPr>
          <w:p>
            <w:pPr>
              <w:spacing w:after="0"/>
              <w:rPr>
                <w:sz w:val="7"/>
                <w:szCs w:val="7"/>
                <w:color w:val="auto"/>
              </w:rPr>
            </w:pPr>
          </w:p>
        </w:tc>
        <w:tc>
          <w:tcPr>
            <w:tcW w:w="80" w:type="dxa"/>
            <w:vAlign w:val="bottom"/>
            <w:tcBorders>
              <w:right w:val="single" w:sz="8" w:color="auto"/>
            </w:tcBorders>
          </w:tcPr>
          <w:p>
            <w:pPr>
              <w:spacing w:after="0"/>
              <w:rPr>
                <w:sz w:val="7"/>
                <w:szCs w:val="7"/>
                <w:color w:val="auto"/>
              </w:rPr>
            </w:pPr>
          </w:p>
        </w:tc>
        <w:tc>
          <w:tcPr>
            <w:tcW w:w="2160" w:type="dxa"/>
            <w:vAlign w:val="bottom"/>
            <w:tcBorders>
              <w:right w:val="single" w:sz="8" w:color="auto"/>
            </w:tcBorders>
            <w:vMerge w:val="continue"/>
          </w:tcPr>
          <w:p>
            <w:pPr>
              <w:spacing w:after="0"/>
              <w:rPr>
                <w:sz w:val="7"/>
                <w:szCs w:val="7"/>
                <w:color w:val="auto"/>
              </w:rPr>
            </w:pPr>
          </w:p>
        </w:tc>
        <w:tc>
          <w:tcPr>
            <w:tcW w:w="60" w:type="dxa"/>
            <w:vAlign w:val="bottom"/>
            <w:tcBorders>
              <w:right w:val="single" w:sz="8" w:color="auto"/>
            </w:tcBorders>
          </w:tcPr>
          <w:p>
            <w:pPr>
              <w:spacing w:after="0"/>
              <w:rPr>
                <w:sz w:val="7"/>
                <w:szCs w:val="7"/>
                <w:color w:val="auto"/>
              </w:rPr>
            </w:pPr>
          </w:p>
        </w:tc>
        <w:tc>
          <w:tcPr>
            <w:tcW w:w="960" w:type="dxa"/>
            <w:vAlign w:val="bottom"/>
            <w:tcBorders>
              <w:right w:val="single" w:sz="8" w:color="auto"/>
            </w:tcBorders>
            <w:vMerge w:val="restart"/>
          </w:tcPr>
          <w:p>
            <w:pPr>
              <w:jc w:val="center"/>
              <w:spacing w:after="0" w:line="109" w:lineRule="exact"/>
              <w:rPr>
                <w:sz w:val="20"/>
                <w:szCs w:val="20"/>
                <w:color w:val="auto"/>
              </w:rPr>
            </w:pPr>
            <w:r>
              <w:rPr>
                <w:rFonts w:ascii="Arial" w:cs="Arial" w:eastAsia="Arial" w:hAnsi="Arial"/>
                <w:sz w:val="12"/>
                <w:szCs w:val="12"/>
                <w:color w:val="auto"/>
              </w:rPr>
              <w:t>of accounting</w:t>
            </w:r>
          </w:p>
        </w:tc>
        <w:tc>
          <w:tcPr>
            <w:tcW w:w="0" w:type="dxa"/>
            <w:vAlign w:val="bottom"/>
          </w:tcPr>
          <w:p>
            <w:pPr>
              <w:spacing w:after="0"/>
              <w:rPr>
                <w:sz w:val="1"/>
                <w:szCs w:val="1"/>
                <w:color w:val="auto"/>
              </w:rPr>
            </w:pPr>
          </w:p>
        </w:tc>
      </w:tr>
      <w:tr>
        <w:trPr>
          <w:trHeight w:val="46"/>
        </w:trPr>
        <w:tc>
          <w:tcPr>
            <w:tcW w:w="2400" w:type="dxa"/>
            <w:vAlign w:val="bottom"/>
            <w:gridSpan w:val="2"/>
            <w:vMerge w:val="continue"/>
          </w:tcPr>
          <w:p>
            <w:pPr>
              <w:spacing w:after="0"/>
              <w:rPr>
                <w:sz w:val="3"/>
                <w:szCs w:val="3"/>
                <w:color w:val="auto"/>
              </w:rPr>
            </w:pPr>
          </w:p>
        </w:tc>
        <w:tc>
          <w:tcPr>
            <w:tcW w:w="920" w:type="dxa"/>
            <w:vAlign w:val="bottom"/>
            <w:tcBorders>
              <w:left w:val="single" w:sz="8" w:color="auto"/>
              <w:bottom w:val="single" w:sz="8" w:color="auto"/>
              <w:right w:val="single" w:sz="8" w:color="auto"/>
            </w:tcBorders>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940" w:type="dxa"/>
            <w:vAlign w:val="bottom"/>
            <w:tcBorders>
              <w:bottom w:val="single" w:sz="8" w:color="auto"/>
              <w:right w:val="single" w:sz="8" w:color="auto"/>
            </w:tcBorders>
          </w:tcPr>
          <w:p>
            <w:pPr>
              <w:spacing w:after="0"/>
              <w:rPr>
                <w:sz w:val="3"/>
                <w:szCs w:val="3"/>
                <w:color w:val="auto"/>
              </w:rPr>
            </w:pPr>
          </w:p>
        </w:tc>
        <w:tc>
          <w:tcPr>
            <w:tcW w:w="80" w:type="dxa"/>
            <w:vAlign w:val="bottom"/>
            <w:tcBorders>
              <w:right w:val="single" w:sz="8" w:color="auto"/>
            </w:tcBorders>
          </w:tcPr>
          <w:p>
            <w:pPr>
              <w:spacing w:after="0"/>
              <w:rPr>
                <w:sz w:val="3"/>
                <w:szCs w:val="3"/>
                <w:color w:val="auto"/>
              </w:rPr>
            </w:pPr>
          </w:p>
        </w:tc>
        <w:tc>
          <w:tcPr>
            <w:tcW w:w="2160" w:type="dxa"/>
            <w:vAlign w:val="bottom"/>
            <w:tcBorders>
              <w:bottom w:val="single" w:sz="8" w:color="auto"/>
              <w:right w:val="single" w:sz="8" w:color="auto"/>
            </w:tcBorders>
          </w:tcPr>
          <w:p>
            <w:pPr>
              <w:spacing w:after="0"/>
              <w:rPr>
                <w:sz w:val="3"/>
                <w:szCs w:val="3"/>
                <w:color w:val="auto"/>
              </w:rPr>
            </w:pPr>
          </w:p>
        </w:tc>
        <w:tc>
          <w:tcPr>
            <w:tcW w:w="60" w:type="dxa"/>
            <w:vAlign w:val="bottom"/>
            <w:tcBorders>
              <w:right w:val="single" w:sz="8" w:color="auto"/>
            </w:tcBorders>
          </w:tcPr>
          <w:p>
            <w:pPr>
              <w:spacing w:after="0"/>
              <w:rPr>
                <w:sz w:val="3"/>
                <w:szCs w:val="3"/>
                <w:color w:val="auto"/>
              </w:rPr>
            </w:pPr>
          </w:p>
        </w:tc>
        <w:tc>
          <w:tcPr>
            <w:tcW w:w="960" w:type="dxa"/>
            <w:vAlign w:val="bottom"/>
            <w:tcBorders>
              <w:right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0"/>
        </w:trPr>
        <w:tc>
          <w:tcPr>
            <w:tcW w:w="2400" w:type="dxa"/>
            <w:vAlign w:val="bottom"/>
            <w:gridSpan w:val="2"/>
            <w:vMerge w:val="restart"/>
          </w:tcPr>
          <w:p>
            <w:pPr>
              <w:ind w:left="40"/>
              <w:spacing w:after="0"/>
              <w:rPr>
                <w:sz w:val="20"/>
                <w:szCs w:val="20"/>
                <w:color w:val="auto"/>
              </w:rPr>
            </w:pPr>
            <w:r>
              <w:rPr>
                <w:rFonts w:ascii="Arial" w:cs="Arial" w:eastAsia="Arial" w:hAnsi="Arial"/>
                <w:sz w:val="13"/>
                <w:szCs w:val="13"/>
                <w:color w:val="auto"/>
              </w:rPr>
              <w:t>1655 and 1725 Third Street</w:t>
            </w:r>
          </w:p>
        </w:tc>
        <w:tc>
          <w:tcPr>
            <w:tcW w:w="9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color w:val="auto"/>
              </w:rPr>
              <w:t>Voting model</w:t>
            </w:r>
          </w:p>
        </w:tc>
        <w:tc>
          <w:tcPr>
            <w:tcW w:w="100" w:type="dxa"/>
            <w:vAlign w:val="bottom"/>
            <w:tcBorders>
              <w:right w:val="single" w:sz="8" w:color="auto"/>
            </w:tcBorders>
          </w:tcPr>
          <w:p>
            <w:pPr>
              <w:spacing w:after="0"/>
              <w:rPr>
                <w:sz w:val="10"/>
                <w:szCs w:val="10"/>
                <w:color w:val="auto"/>
              </w:rPr>
            </w:pPr>
          </w:p>
        </w:tc>
        <w:tc>
          <w:tcPr>
            <w:tcW w:w="940" w:type="dxa"/>
            <w:vAlign w:val="bottom"/>
            <w:tcBorders>
              <w:right w:val="single" w:sz="8" w:color="auto"/>
            </w:tcBorders>
          </w:tcPr>
          <w:p>
            <w:pPr>
              <w:jc w:val="center"/>
              <w:spacing w:after="0" w:line="120" w:lineRule="exact"/>
              <w:rPr>
                <w:sz w:val="20"/>
                <w:szCs w:val="20"/>
                <w:color w:val="auto"/>
              </w:rPr>
            </w:pPr>
            <w:r>
              <w:rPr>
                <w:rFonts w:ascii="Arial" w:cs="Arial" w:eastAsia="Arial" w:hAnsi="Arial"/>
                <w:sz w:val="13"/>
                <w:szCs w:val="13"/>
                <w:color w:val="auto"/>
                <w:w w:val="99"/>
              </w:rPr>
              <w:t>Does not</w:t>
            </w:r>
          </w:p>
        </w:tc>
        <w:tc>
          <w:tcPr>
            <w:tcW w:w="80" w:type="dxa"/>
            <w:vAlign w:val="bottom"/>
            <w:tcBorders>
              <w:right w:val="single" w:sz="8" w:color="auto"/>
            </w:tcBorders>
          </w:tcPr>
          <w:p>
            <w:pPr>
              <w:spacing w:after="0"/>
              <w:rPr>
                <w:sz w:val="10"/>
                <w:szCs w:val="10"/>
                <w:color w:val="auto"/>
              </w:rPr>
            </w:pPr>
          </w:p>
        </w:tc>
        <w:tc>
          <w:tcPr>
            <w:tcW w:w="2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9"/>
              </w:rPr>
              <w:t>Our voting interest is 50% or less.</w:t>
            </w:r>
          </w:p>
        </w:tc>
        <w:tc>
          <w:tcPr>
            <w:tcW w:w="60" w:type="dxa"/>
            <w:vAlign w:val="bottom"/>
            <w:tcBorders>
              <w:right w:val="single" w:sz="8" w:color="auto"/>
            </w:tcBorders>
          </w:tcPr>
          <w:p>
            <w:pPr>
              <w:spacing w:after="0"/>
              <w:rPr>
                <w:sz w:val="10"/>
                <w:szCs w:val="10"/>
                <w:color w:val="auto"/>
              </w:rPr>
            </w:pPr>
          </w:p>
        </w:tc>
        <w:tc>
          <w:tcPr>
            <w:tcW w:w="9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400" w:type="dxa"/>
            <w:vAlign w:val="bottom"/>
            <w:gridSpan w:val="2"/>
            <w:vMerge w:val="continue"/>
          </w:tcPr>
          <w:p>
            <w:pPr>
              <w:spacing w:after="0"/>
              <w:rPr>
                <w:sz w:val="9"/>
                <w:szCs w:val="9"/>
                <w:color w:val="auto"/>
              </w:rPr>
            </w:pPr>
          </w:p>
        </w:tc>
        <w:tc>
          <w:tcPr>
            <w:tcW w:w="920" w:type="dxa"/>
            <w:vAlign w:val="bottom"/>
            <w:tcBorders>
              <w:left w:val="single" w:sz="8" w:color="auto"/>
              <w:right w:val="single" w:sz="8" w:color="auto"/>
            </w:tcBorders>
            <w:vMerge w:val="continue"/>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rPr>
              <w:t>exceed 50%</w:t>
            </w:r>
          </w:p>
        </w:tc>
        <w:tc>
          <w:tcPr>
            <w:tcW w:w="80" w:type="dxa"/>
            <w:vAlign w:val="bottom"/>
            <w:tcBorders>
              <w:right w:val="single" w:sz="8" w:color="auto"/>
            </w:tcBorders>
          </w:tcPr>
          <w:p>
            <w:pPr>
              <w:spacing w:after="0"/>
              <w:rPr>
                <w:sz w:val="9"/>
                <w:szCs w:val="9"/>
                <w:color w:val="auto"/>
              </w:rPr>
            </w:pPr>
          </w:p>
        </w:tc>
        <w:tc>
          <w:tcPr>
            <w:tcW w:w="2160" w:type="dxa"/>
            <w:vAlign w:val="bottom"/>
            <w:tcBorders>
              <w:right w:val="single" w:sz="8" w:color="auto"/>
            </w:tcBorders>
            <w:vMerge w:val="continue"/>
          </w:tcPr>
          <w:p>
            <w:pPr>
              <w:spacing w:after="0"/>
              <w:rPr>
                <w:sz w:val="9"/>
                <w:szCs w:val="9"/>
                <w:color w:val="auto"/>
              </w:rPr>
            </w:pPr>
          </w:p>
        </w:tc>
        <w:tc>
          <w:tcPr>
            <w:tcW w:w="60" w:type="dxa"/>
            <w:vAlign w:val="bottom"/>
            <w:tcBorders>
              <w:right w:val="single" w:sz="8" w:color="auto"/>
            </w:tcBorders>
          </w:tcPr>
          <w:p>
            <w:pPr>
              <w:spacing w:after="0"/>
              <w:rPr>
                <w:sz w:val="9"/>
                <w:szCs w:val="9"/>
                <w:color w:val="auto"/>
              </w:rPr>
            </w:pPr>
          </w:p>
        </w:tc>
        <w:tc>
          <w:tcPr>
            <w:tcW w:w="9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2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Borders>
              <w:left w:val="single" w:sz="8" w:color="auto"/>
              <w:bottom w:val="single" w:sz="8" w:color="auto"/>
              <w:right w:val="single" w:sz="8" w:color="auto"/>
            </w:tcBorders>
          </w:tcPr>
          <w:p>
            <w:pPr>
              <w:spacing w:after="0"/>
              <w:rPr>
                <w:sz w:val="3"/>
                <w:szCs w:val="3"/>
                <w:color w:val="auto"/>
              </w:rPr>
            </w:pPr>
          </w:p>
        </w:tc>
        <w:tc>
          <w:tcPr>
            <w:tcW w:w="100" w:type="dxa"/>
            <w:vAlign w:val="bottom"/>
            <w:tcBorders>
              <w:bottom w:val="single" w:sz="8" w:color="auto"/>
              <w:right w:val="single" w:sz="8" w:color="auto"/>
            </w:tcBorders>
          </w:tcPr>
          <w:p>
            <w:pPr>
              <w:spacing w:after="0"/>
              <w:rPr>
                <w:sz w:val="3"/>
                <w:szCs w:val="3"/>
                <w:color w:val="auto"/>
              </w:rPr>
            </w:pPr>
          </w:p>
        </w:tc>
        <w:tc>
          <w:tcPr>
            <w:tcW w:w="940" w:type="dxa"/>
            <w:vAlign w:val="bottom"/>
            <w:tcBorders>
              <w:bottom w:val="single" w:sz="8" w:color="auto"/>
              <w:right w:val="single" w:sz="8" w:color="auto"/>
            </w:tcBorders>
            <w:vMerge w:val="continue"/>
          </w:tcPr>
          <w:p>
            <w:pPr>
              <w:spacing w:after="0"/>
              <w:rPr>
                <w:sz w:val="3"/>
                <w:szCs w:val="3"/>
                <w:color w:val="auto"/>
              </w:rPr>
            </w:pPr>
          </w:p>
        </w:tc>
        <w:tc>
          <w:tcPr>
            <w:tcW w:w="80" w:type="dxa"/>
            <w:vAlign w:val="bottom"/>
            <w:tcBorders>
              <w:right w:val="single" w:sz="8" w:color="auto"/>
            </w:tcBorders>
          </w:tcPr>
          <w:p>
            <w:pPr>
              <w:spacing w:after="0"/>
              <w:rPr>
                <w:sz w:val="3"/>
                <w:szCs w:val="3"/>
                <w:color w:val="auto"/>
              </w:rPr>
            </w:pPr>
          </w:p>
        </w:tc>
        <w:tc>
          <w:tcPr>
            <w:tcW w:w="2160" w:type="dxa"/>
            <w:vAlign w:val="bottom"/>
            <w:tcBorders>
              <w:bottom w:val="single" w:sz="8" w:color="auto"/>
              <w:right w:val="single" w:sz="8" w:color="auto"/>
            </w:tcBorders>
          </w:tcPr>
          <w:p>
            <w:pPr>
              <w:spacing w:after="0"/>
              <w:rPr>
                <w:sz w:val="3"/>
                <w:szCs w:val="3"/>
                <w:color w:val="auto"/>
              </w:rPr>
            </w:pPr>
          </w:p>
        </w:tc>
        <w:tc>
          <w:tcPr>
            <w:tcW w:w="60" w:type="dxa"/>
            <w:vAlign w:val="bottom"/>
            <w:tcBorders>
              <w:bottom w:val="single" w:sz="8" w:color="auto"/>
              <w:right w:val="single" w:sz="8" w:color="auto"/>
            </w:tcBorders>
          </w:tcPr>
          <w:p>
            <w:pPr>
              <w:spacing w:after="0"/>
              <w:rPr>
                <w:sz w:val="3"/>
                <w:szCs w:val="3"/>
                <w:color w:val="auto"/>
              </w:rPr>
            </w:pPr>
          </w:p>
        </w:tc>
        <w:tc>
          <w:tcPr>
            <w:tcW w:w="9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sectPr>
          <w:pgSz w:w="11900" w:h="16838" w:orient="portrait"/>
          <w:cols w:equalWidth="0" w:num="1">
            <w:col w:w="9019"/>
          </w:cols>
          <w:pgMar w:left="1440" w:top="161" w:right="1440" w:bottom="1440" w:gutter="0" w:footer="0" w:header="0"/>
        </w:sectPr>
      </w:pPr>
    </w:p>
    <w:p>
      <w:pPr>
        <w:ind w:left="900" w:right="699" w:hanging="262"/>
        <w:spacing w:after="0" w:line="283" w:lineRule="auto"/>
        <w:tabs>
          <w:tab w:leader="none" w:pos="900" w:val="left"/>
        </w:tabs>
        <w:numPr>
          <w:ilvl w:val="0"/>
          <w:numId w:val="36"/>
        </w:numPr>
        <w:rPr>
          <w:rFonts w:ascii="Arial" w:cs="Arial" w:eastAsia="Arial" w:hAnsi="Arial"/>
          <w:sz w:val="10"/>
          <w:szCs w:val="10"/>
          <w:color w:val="auto"/>
        </w:rPr>
      </w:pPr>
      <w:r>
        <w:rPr>
          <w:rFonts w:ascii="Arial" w:cs="Arial" w:eastAsia="Arial" w:hAnsi="Arial"/>
          <w:sz w:val="10"/>
          <w:szCs w:val="10"/>
          <w:color w:val="auto"/>
        </w:rPr>
        <w:t>In addition to the real estate joint ventures listed, various partners hold insignificant noncontrolling interests in three other consolidated real estate joint ventures in North America and we hold an interest in one other insignificant unconsolidated real estate joint venture in North America.</w:t>
      </w:r>
    </w:p>
    <w:p>
      <w:pPr>
        <w:sectPr>
          <w:pgSz w:w="11900" w:h="16838" w:orient="portrait"/>
          <w:cols w:equalWidth="0" w:num="1">
            <w:col w:w="9019"/>
          </w:cols>
          <w:pgMar w:left="1440" w:top="161" w:right="1440" w:bottom="1440" w:gutter="0" w:footer="0" w:header="0"/>
          <w:type w:val="continuous"/>
        </w:sectPr>
      </w:pPr>
    </w:p>
    <w:bookmarkStart w:id="18" w:name="page19"/>
    <w:bookmarkEnd w:id="18"/>
    <w:p>
      <w:pPr>
        <w:spacing w:after="0" w:line="1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982345</wp:posOffset>
            </wp:positionH>
            <wp:positionV relativeFrom="page">
              <wp:posOffset>88900</wp:posOffset>
            </wp:positionV>
            <wp:extent cx="5584190" cy="6985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584190" cy="69850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188595</wp:posOffset>
            </wp:positionV>
            <wp:extent cx="5584190" cy="72205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640" w:right="2699" w:hanging="2"/>
        <w:spacing w:after="0" w:line="482" w:lineRule="auto"/>
        <w:tabs>
          <w:tab w:leader="none" w:pos="898" w:val="left"/>
        </w:tabs>
        <w:numPr>
          <w:ilvl w:val="0"/>
          <w:numId w:val="37"/>
        </w:numPr>
        <w:rPr>
          <w:rFonts w:ascii="Arial" w:cs="Arial" w:eastAsia="Arial" w:hAnsi="Arial"/>
          <w:sz w:val="13"/>
          <w:szCs w:val="13"/>
          <w:b w:val="1"/>
          <w:bCs w:val="1"/>
          <w:color w:val="00497F"/>
        </w:rPr>
      </w:pPr>
      <w:r>
        <w:rPr>
          <w:rFonts w:ascii="Arial" w:cs="Arial" w:eastAsia="Arial" w:hAnsi="Arial"/>
          <w:sz w:val="13"/>
          <w:szCs w:val="13"/>
          <w:b w:val="1"/>
          <w:bCs w:val="1"/>
          <w:color w:val="00497F"/>
        </w:rPr>
        <w:t>CONSOLIDATED AND UNCONSOLIDATED REAL ESTATE JOINT VENTURES (continued) Formation of consolidated real estate joint ventures</w:t>
      </w:r>
    </w:p>
    <w:p>
      <w:pPr>
        <w:spacing w:after="0" w:line="1" w:lineRule="exact"/>
        <w:rPr>
          <w:sz w:val="20"/>
          <w:szCs w:val="20"/>
          <w:color w:val="auto"/>
        </w:rPr>
      </w:pPr>
    </w:p>
    <w:p>
      <w:pPr>
        <w:ind w:left="640" w:right="859" w:firstLine="516"/>
        <w:spacing w:after="0" w:line="265" w:lineRule="auto"/>
        <w:rPr>
          <w:sz w:val="20"/>
          <w:szCs w:val="20"/>
          <w:color w:val="auto"/>
        </w:rPr>
      </w:pPr>
      <w:r>
        <w:rPr>
          <w:rFonts w:ascii="Arial" w:cs="Arial" w:eastAsia="Arial" w:hAnsi="Arial"/>
          <w:sz w:val="13"/>
          <w:szCs w:val="13"/>
          <w:color w:val="auto"/>
        </w:rPr>
        <w:t>We evaluated each of our real estate joint ventures described below under the consolidation framework outlined above and further detailed in “Consolidation” in Note 2 – “Summary of significant accounting policies” to our unaudited consolidated financial statements.</w:t>
      </w:r>
    </w:p>
    <w:p>
      <w:pPr>
        <w:spacing w:after="0" w:line="117" w:lineRule="exact"/>
        <w:rPr>
          <w:sz w:val="20"/>
          <w:szCs w:val="20"/>
          <w:color w:val="auto"/>
        </w:rPr>
      </w:pPr>
    </w:p>
    <w:p>
      <w:pPr>
        <w:ind w:left="640" w:right="699" w:firstLine="516"/>
        <w:spacing w:after="0" w:line="263" w:lineRule="auto"/>
        <w:rPr>
          <w:sz w:val="20"/>
          <w:szCs w:val="20"/>
          <w:color w:val="auto"/>
        </w:rPr>
      </w:pPr>
      <w:r>
        <w:rPr>
          <w:rFonts w:ascii="Arial" w:cs="Arial" w:eastAsia="Arial" w:hAnsi="Arial"/>
          <w:sz w:val="13"/>
          <w:szCs w:val="13"/>
          <w:color w:val="auto"/>
        </w:rPr>
        <w:t>Refer to “Consolidation” in Note 2 – “Summary of significant accounting policies” to our unaudited consolidated financial statements for additional information. For a summary of our completed dispositions of and sales of partial interests in real estate assets during the six months ended June 30, 2024, refer to “Sales of real estate assets and impairment charges” in Note 3 – “Investments in real estate” to our unaudited consolidated financial statements.</w:t>
      </w:r>
    </w:p>
    <w:p>
      <w:pPr>
        <w:spacing w:after="0" w:line="120" w:lineRule="exact"/>
        <w:rPr>
          <w:sz w:val="20"/>
          <w:szCs w:val="20"/>
          <w:color w:val="auto"/>
        </w:rPr>
      </w:pPr>
    </w:p>
    <w:p>
      <w:pPr>
        <w:ind w:left="640"/>
        <w:spacing w:after="0"/>
        <w:rPr>
          <w:sz w:val="20"/>
          <w:szCs w:val="20"/>
          <w:color w:val="auto"/>
        </w:rPr>
      </w:pPr>
      <w:r>
        <w:rPr>
          <w:rFonts w:ascii="Arial" w:cs="Arial" w:eastAsia="Arial" w:hAnsi="Arial"/>
          <w:sz w:val="13"/>
          <w:szCs w:val="13"/>
          <w:i w:val="1"/>
          <w:iCs w:val="1"/>
          <w:color w:val="auto"/>
        </w:rPr>
        <w:t>285, 299, 307, and 345 Dorchester Avenue</w:t>
      </w:r>
    </w:p>
    <w:p>
      <w:pPr>
        <w:spacing w:after="0" w:line="160" w:lineRule="exact"/>
        <w:rPr>
          <w:sz w:val="20"/>
          <w:szCs w:val="20"/>
          <w:color w:val="auto"/>
        </w:rPr>
      </w:pPr>
    </w:p>
    <w:p>
      <w:pPr>
        <w:ind w:left="640" w:right="699" w:firstLine="516"/>
        <w:spacing w:after="0" w:line="257" w:lineRule="auto"/>
        <w:rPr>
          <w:sz w:val="20"/>
          <w:szCs w:val="20"/>
          <w:color w:val="auto"/>
        </w:rPr>
      </w:pPr>
      <w:r>
        <w:rPr>
          <w:rFonts w:ascii="Arial" w:cs="Arial" w:eastAsia="Arial" w:hAnsi="Arial"/>
          <w:sz w:val="13"/>
          <w:szCs w:val="13"/>
          <w:color w:val="auto"/>
        </w:rPr>
        <w:t xml:space="preserve">During the three months ended March 31, 2024, we formed real estate joint ventures to develop a life science mega campus. We contributed $155.3 million to these real estate joint ventures, and our partner’s share of contributed real estate assets aggregated $103.5 million. </w:t>
      </w:r>
      <w:r>
        <w:rPr>
          <w:rFonts w:ascii="Arial" w:cs="Arial" w:eastAsia="Arial" w:hAnsi="Arial"/>
          <w:sz w:val="13"/>
          <w:szCs w:val="13"/>
          <w:color w:val="auto"/>
          <w:highlight w:val="white"/>
        </w:rPr>
        <w:t>As of March 31, 2024</w:t>
      </w:r>
      <w:r>
        <w:rPr>
          <w:rFonts w:ascii="Arial" w:cs="Arial" w:eastAsia="Arial" w:hAnsi="Arial"/>
          <w:sz w:val="13"/>
          <w:szCs w:val="13"/>
          <w:color w:val="auto"/>
        </w:rPr>
        <w:t>, these joint ventures owned four land parcels at 285, 299, 307, and 345 Dorchester Avenue in our Seaport Innovation District submarket, with future development opportunities aggregating 1.0 million SF. We determined that we have control over these real estate joint ventures, and we therefore consolidate the joint ventures.</w:t>
      </w:r>
    </w:p>
    <w:p>
      <w:pPr>
        <w:spacing w:after="0" w:line="134"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As of June 30, 2024, we have a 60% ownership interest in the joint ventures.</w:t>
      </w:r>
    </w:p>
    <w:p>
      <w:pPr>
        <w:spacing w:after="0" w:line="151"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00497F"/>
        </w:rPr>
        <w:t>Consolidated VIEs’ balance sheet information</w:t>
      </w:r>
    </w:p>
    <w:p>
      <w:pPr>
        <w:spacing w:after="0" w:line="162" w:lineRule="exact"/>
        <w:rPr>
          <w:sz w:val="20"/>
          <w:szCs w:val="20"/>
          <w:color w:val="auto"/>
        </w:rPr>
      </w:pPr>
    </w:p>
    <w:p>
      <w:pPr>
        <w:ind w:left="640" w:right="859" w:firstLine="516"/>
        <w:spacing w:after="0" w:line="265" w:lineRule="auto"/>
        <w:rPr>
          <w:sz w:val="20"/>
          <w:szCs w:val="20"/>
          <w:color w:val="auto"/>
        </w:rPr>
      </w:pPr>
      <w:r>
        <w:rPr>
          <w:rFonts w:ascii="Arial" w:cs="Arial" w:eastAsia="Arial" w:hAnsi="Arial"/>
          <w:sz w:val="13"/>
          <w:szCs w:val="13"/>
          <w:color w:val="auto"/>
        </w:rPr>
        <w:t>We, together with joint venture partners, hold interests in real estate joint ventures that we consolidate in our financial statements. These existing joint ventures provide significant equity capital to fund a portion of our future construction spend, and our joint venture partners may also contribute equity into these entities for financing-related activities.</w:t>
      </w:r>
    </w:p>
    <w:p>
      <w:pPr>
        <w:spacing w:after="0" w:line="128" w:lineRule="exact"/>
        <w:rPr>
          <w:sz w:val="20"/>
          <w:szCs w:val="20"/>
          <w:color w:val="auto"/>
        </w:rPr>
      </w:pPr>
    </w:p>
    <w:p>
      <w:pPr>
        <w:ind w:left="640" w:right="859" w:firstLine="516"/>
        <w:spacing w:after="0" w:line="272" w:lineRule="auto"/>
        <w:rPr>
          <w:sz w:val="20"/>
          <w:szCs w:val="20"/>
          <w:color w:val="auto"/>
        </w:rPr>
      </w:pPr>
      <w:r>
        <w:rPr>
          <w:rFonts w:ascii="Arial" w:cs="Arial" w:eastAsia="Arial" w:hAnsi="Arial"/>
          <w:sz w:val="13"/>
          <w:szCs w:val="13"/>
          <w:color w:val="auto"/>
        </w:rPr>
        <w:t>The table below aggregates the balance sheet information of our consolidated VIEs as of June 30, 2024 and December 31, 2023 (in thousands):</w:t>
      </w:r>
    </w:p>
    <w:p>
      <w:pPr>
        <w:spacing w:after="0" w:line="26" w:lineRule="exact"/>
        <w:rPr>
          <w:sz w:val="20"/>
          <w:szCs w:val="20"/>
          <w:color w:val="auto"/>
        </w:rPr>
      </w:pPr>
    </w:p>
    <w:tbl>
      <w:tblPr>
        <w:tblLayout w:type="fixed"/>
        <w:tblInd w:w="640" w:type="dxa"/>
        <w:tblCellMar>
          <w:top w:w="0" w:type="dxa"/>
          <w:left w:w="0" w:type="dxa"/>
          <w:bottom w:w="0" w:type="dxa"/>
          <w:right w:w="0" w:type="dxa"/>
        </w:tblCellMar>
      </w:tblPr>
      <w:tr>
        <w:trPr>
          <w:trHeight w:val="170"/>
        </w:trPr>
        <w:tc>
          <w:tcPr>
            <w:tcW w:w="4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ind w:left="80"/>
              <w:spacing w:after="0"/>
              <w:rPr>
                <w:sz w:val="20"/>
                <w:szCs w:val="20"/>
                <w:color w:val="auto"/>
              </w:rPr>
            </w:pPr>
            <w:r>
              <w:rPr>
                <w:rFonts w:ascii="Arial" w:cs="Arial" w:eastAsia="Arial" w:hAnsi="Arial"/>
                <w:sz w:val="13"/>
                <w:szCs w:val="13"/>
                <w:color w:val="auto"/>
              </w:rPr>
              <w:t>June 30, 2024</w:t>
            </w:r>
          </w:p>
        </w:tc>
        <w:tc>
          <w:tcPr>
            <w:tcW w:w="160" w:type="dxa"/>
            <w:vAlign w:val="bottom"/>
          </w:tcPr>
          <w:p>
            <w:pPr>
              <w:spacing w:after="0"/>
              <w:rPr>
                <w:sz w:val="14"/>
                <w:szCs w:val="14"/>
                <w:color w:val="auto"/>
              </w:rPr>
            </w:pPr>
          </w:p>
        </w:tc>
        <w:tc>
          <w:tcPr>
            <w:tcW w:w="1380" w:type="dxa"/>
            <w:vAlign w:val="bottom"/>
          </w:tcPr>
          <w:p>
            <w:pPr>
              <w:jc w:val="right"/>
              <w:ind w:right="156"/>
              <w:spacing w:after="0"/>
              <w:rPr>
                <w:sz w:val="20"/>
                <w:szCs w:val="20"/>
                <w:color w:val="auto"/>
              </w:rPr>
            </w:pPr>
            <w:r>
              <w:rPr>
                <w:rFonts w:ascii="Arial" w:cs="Arial" w:eastAsia="Arial" w:hAnsi="Arial"/>
                <w:sz w:val="13"/>
                <w:szCs w:val="13"/>
                <w:color w:val="auto"/>
                <w:w w:val="99"/>
              </w:rPr>
              <w:t>December 31, 2023</w:t>
            </w:r>
          </w:p>
        </w:tc>
      </w:tr>
      <w:tr>
        <w:trPr>
          <w:trHeight w:val="186"/>
        </w:trPr>
        <w:tc>
          <w:tcPr>
            <w:tcW w:w="46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Investments in real estate</w:t>
            </w:r>
          </w:p>
        </w:tc>
        <w:tc>
          <w:tcPr>
            <w:tcW w:w="20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8,635,462</w:t>
            </w:r>
          </w:p>
        </w:tc>
        <w:tc>
          <w:tcPr>
            <w:tcW w:w="2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8,032,315</w:t>
            </w:r>
          </w:p>
        </w:tc>
      </w:tr>
      <w:tr>
        <w:trPr>
          <w:trHeight w:val="203"/>
        </w:trPr>
        <w:tc>
          <w:tcPr>
            <w:tcW w:w="4620" w:type="dxa"/>
            <w:vAlign w:val="bottom"/>
          </w:tcPr>
          <w:p>
            <w:pPr>
              <w:ind w:left="40"/>
              <w:spacing w:after="0"/>
              <w:rPr>
                <w:sz w:val="20"/>
                <w:szCs w:val="20"/>
                <w:color w:val="auto"/>
              </w:rPr>
            </w:pPr>
            <w:r>
              <w:rPr>
                <w:rFonts w:ascii="Arial" w:cs="Arial" w:eastAsia="Arial" w:hAnsi="Arial"/>
                <w:sz w:val="13"/>
                <w:szCs w:val="13"/>
                <w:color w:val="auto"/>
              </w:rPr>
              <w:t>Cash and cash equivalents</w:t>
            </w:r>
          </w:p>
        </w:tc>
        <w:tc>
          <w:tcPr>
            <w:tcW w:w="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277,985</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306,475</w:t>
            </w:r>
          </w:p>
        </w:tc>
      </w:tr>
      <w:tr>
        <w:trPr>
          <w:trHeight w:val="204"/>
        </w:trPr>
        <w:tc>
          <w:tcPr>
            <w:tcW w:w="4620" w:type="dxa"/>
            <w:vAlign w:val="bottom"/>
            <w:shd w:val="clear" w:color="auto" w:fill="CCEEFF"/>
          </w:tcPr>
          <w:p>
            <w:pPr>
              <w:ind w:left="40"/>
              <w:spacing w:after="0"/>
              <w:rPr>
                <w:sz w:val="20"/>
                <w:szCs w:val="20"/>
                <w:color w:val="auto"/>
              </w:rPr>
            </w:pPr>
            <w:r>
              <w:rPr>
                <w:rFonts w:ascii="Arial" w:cs="Arial" w:eastAsia="Arial" w:hAnsi="Arial"/>
                <w:sz w:val="13"/>
                <w:szCs w:val="13"/>
                <w:color w:val="auto"/>
              </w:rPr>
              <w:t>Other assets</w:t>
            </w:r>
          </w:p>
        </w:tc>
        <w:tc>
          <w:tcPr>
            <w:tcW w:w="20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791,836</w:t>
            </w:r>
          </w:p>
        </w:tc>
        <w:tc>
          <w:tcPr>
            <w:tcW w:w="2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728,390</w:t>
            </w:r>
          </w:p>
        </w:tc>
      </w:tr>
      <w:tr>
        <w:trPr>
          <w:trHeight w:val="164"/>
        </w:trPr>
        <w:tc>
          <w:tcPr>
            <w:tcW w:w="4620" w:type="dxa"/>
            <w:vAlign w:val="bottom"/>
          </w:tcPr>
          <w:p>
            <w:pPr>
              <w:ind w:left="140"/>
              <w:spacing w:after="0"/>
              <w:rPr>
                <w:sz w:val="20"/>
                <w:szCs w:val="20"/>
                <w:color w:val="auto"/>
              </w:rPr>
            </w:pPr>
            <w:r>
              <w:rPr>
                <w:rFonts w:ascii="Arial" w:cs="Arial" w:eastAsia="Arial" w:hAnsi="Arial"/>
                <w:sz w:val="13"/>
                <w:szCs w:val="13"/>
                <w:color w:val="auto"/>
              </w:rPr>
              <w:t>Total assets</w:t>
            </w:r>
          </w:p>
        </w:tc>
        <w:tc>
          <w:tcPr>
            <w:tcW w:w="20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9,705,283</w:t>
            </w:r>
          </w:p>
        </w:tc>
        <w:tc>
          <w:tcPr>
            <w:tcW w:w="200" w:type="dxa"/>
            <w:vAlign w:val="bottom"/>
          </w:tcPr>
          <w:p>
            <w:pPr>
              <w:spacing w:after="0"/>
              <w:rPr>
                <w:sz w:val="14"/>
                <w:szCs w:val="1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9,067,180</w:t>
            </w:r>
          </w:p>
        </w:tc>
      </w:tr>
      <w:tr>
        <w:trPr>
          <w:trHeight w:val="20"/>
        </w:trPr>
        <w:tc>
          <w:tcPr>
            <w:tcW w:w="46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90"/>
        </w:trPr>
        <w:tc>
          <w:tcPr>
            <w:tcW w:w="46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1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380" w:type="dxa"/>
            <w:vAlign w:val="bottom"/>
            <w:shd w:val="clear" w:color="auto" w:fill="CCEEFF"/>
          </w:tcPr>
          <w:p>
            <w:pPr>
              <w:spacing w:after="0"/>
              <w:rPr>
                <w:sz w:val="7"/>
                <w:szCs w:val="7"/>
                <w:color w:val="auto"/>
              </w:rPr>
            </w:pPr>
          </w:p>
        </w:tc>
      </w:tr>
      <w:tr>
        <w:trPr>
          <w:trHeight w:val="203"/>
        </w:trPr>
        <w:tc>
          <w:tcPr>
            <w:tcW w:w="4620" w:type="dxa"/>
            <w:vAlign w:val="bottom"/>
          </w:tcPr>
          <w:p>
            <w:pPr>
              <w:ind w:left="40"/>
              <w:spacing w:after="0"/>
              <w:rPr>
                <w:sz w:val="20"/>
                <w:szCs w:val="20"/>
                <w:color w:val="auto"/>
              </w:rPr>
            </w:pPr>
            <w:r>
              <w:rPr>
                <w:rFonts w:ascii="Arial" w:cs="Arial" w:eastAsia="Arial" w:hAnsi="Arial"/>
                <w:sz w:val="13"/>
                <w:szCs w:val="13"/>
                <w:color w:val="auto"/>
              </w:rPr>
              <w:t>Secured notes payable</w:t>
            </w:r>
          </w:p>
        </w:tc>
        <w:tc>
          <w:tcPr>
            <w:tcW w:w="20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180" w:type="dxa"/>
            <w:vAlign w:val="bottom"/>
          </w:tcPr>
          <w:p>
            <w:pPr>
              <w:jc w:val="right"/>
              <w:spacing w:after="0"/>
              <w:rPr>
                <w:sz w:val="20"/>
                <w:szCs w:val="20"/>
                <w:color w:val="auto"/>
              </w:rPr>
            </w:pPr>
            <w:r>
              <w:rPr>
                <w:rFonts w:ascii="Arial" w:cs="Arial" w:eastAsia="Arial" w:hAnsi="Arial"/>
                <w:sz w:val="13"/>
                <w:szCs w:val="13"/>
                <w:color w:val="auto"/>
              </w:rPr>
              <w:t>134,323</w:t>
            </w:r>
          </w:p>
        </w:tc>
        <w:tc>
          <w:tcPr>
            <w:tcW w:w="2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380" w:type="dxa"/>
            <w:vAlign w:val="bottom"/>
          </w:tcPr>
          <w:p>
            <w:pPr>
              <w:jc w:val="right"/>
              <w:ind w:right="16"/>
              <w:spacing w:after="0"/>
              <w:rPr>
                <w:sz w:val="20"/>
                <w:szCs w:val="20"/>
                <w:color w:val="auto"/>
              </w:rPr>
            </w:pPr>
            <w:r>
              <w:rPr>
                <w:rFonts w:ascii="Arial" w:cs="Arial" w:eastAsia="Arial" w:hAnsi="Arial"/>
                <w:sz w:val="13"/>
                <w:szCs w:val="13"/>
                <w:color w:val="auto"/>
              </w:rPr>
              <w:t>119,042</w:t>
            </w:r>
          </w:p>
        </w:tc>
      </w:tr>
      <w:tr>
        <w:trPr>
          <w:trHeight w:val="206"/>
        </w:trPr>
        <w:tc>
          <w:tcPr>
            <w:tcW w:w="4620" w:type="dxa"/>
            <w:vAlign w:val="bottom"/>
            <w:shd w:val="clear" w:color="auto" w:fill="CCEEFF"/>
          </w:tcPr>
          <w:p>
            <w:pPr>
              <w:ind w:left="40"/>
              <w:spacing w:after="0"/>
              <w:rPr>
                <w:sz w:val="20"/>
                <w:szCs w:val="20"/>
                <w:color w:val="auto"/>
              </w:rPr>
            </w:pPr>
            <w:r>
              <w:rPr>
                <w:rFonts w:ascii="Arial" w:cs="Arial" w:eastAsia="Arial" w:hAnsi="Arial"/>
                <w:sz w:val="13"/>
                <w:szCs w:val="13"/>
                <w:color w:val="auto"/>
              </w:rPr>
              <w:t>Other liabilities</w:t>
            </w: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636,200</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608,665</w:t>
            </w:r>
          </w:p>
        </w:tc>
      </w:tr>
      <w:tr>
        <w:trPr>
          <w:trHeight w:val="203"/>
        </w:trPr>
        <w:tc>
          <w:tcPr>
            <w:tcW w:w="4620" w:type="dxa"/>
            <w:vAlign w:val="bottom"/>
          </w:tcPr>
          <w:p>
            <w:pPr>
              <w:ind w:left="40"/>
              <w:spacing w:after="0"/>
              <w:rPr>
                <w:sz w:val="20"/>
                <w:szCs w:val="20"/>
                <w:color w:val="auto"/>
              </w:rPr>
            </w:pPr>
            <w:r>
              <w:rPr>
                <w:rFonts w:ascii="Arial" w:cs="Arial" w:eastAsia="Arial" w:hAnsi="Arial"/>
                <w:sz w:val="13"/>
                <w:szCs w:val="13"/>
                <w:color w:val="auto"/>
              </w:rPr>
              <w:t>Mandatorily redeemable noncontrolling interest</w:t>
            </w:r>
          </w:p>
        </w:tc>
        <w:tc>
          <w:tcPr>
            <w:tcW w:w="200" w:type="dxa"/>
            <w:vAlign w:val="bottom"/>
          </w:tcPr>
          <w:p>
            <w:pPr>
              <w:spacing w:after="0"/>
              <w:rPr>
                <w:sz w:val="17"/>
                <w:szCs w:val="17"/>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35,250</w:t>
            </w:r>
          </w:p>
        </w:tc>
      </w:tr>
      <w:tr>
        <w:trPr>
          <w:trHeight w:val="186"/>
        </w:trPr>
        <w:tc>
          <w:tcPr>
            <w:tcW w:w="462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Total liabilities</w:t>
            </w:r>
          </w:p>
        </w:tc>
        <w:tc>
          <w:tcPr>
            <w:tcW w:w="20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770,523</w:t>
            </w:r>
          </w:p>
        </w:tc>
        <w:tc>
          <w:tcPr>
            <w:tcW w:w="2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762,957</w:t>
            </w:r>
          </w:p>
        </w:tc>
      </w:tr>
      <w:tr>
        <w:trPr>
          <w:trHeight w:val="203"/>
        </w:trPr>
        <w:tc>
          <w:tcPr>
            <w:tcW w:w="4620" w:type="dxa"/>
            <w:vAlign w:val="bottom"/>
          </w:tcPr>
          <w:p>
            <w:pPr>
              <w:ind w:left="40"/>
              <w:spacing w:after="0"/>
              <w:rPr>
                <w:sz w:val="20"/>
                <w:szCs w:val="20"/>
                <w:color w:val="auto"/>
              </w:rPr>
            </w:pPr>
            <w:r>
              <w:rPr>
                <w:rFonts w:ascii="Arial" w:cs="Arial" w:eastAsia="Arial" w:hAnsi="Arial"/>
                <w:sz w:val="13"/>
                <w:szCs w:val="13"/>
                <w:color w:val="auto"/>
              </w:rPr>
              <w:t>Redeemable noncontrolling interests</w:t>
            </w:r>
          </w:p>
        </w:tc>
        <w:tc>
          <w:tcPr>
            <w:tcW w:w="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6,828</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6,868</w:t>
            </w:r>
          </w:p>
        </w:tc>
      </w:tr>
      <w:tr>
        <w:trPr>
          <w:trHeight w:val="206"/>
        </w:trPr>
        <w:tc>
          <w:tcPr>
            <w:tcW w:w="4620" w:type="dxa"/>
            <w:vAlign w:val="bottom"/>
            <w:shd w:val="clear" w:color="auto" w:fill="CCEEFF"/>
          </w:tcPr>
          <w:p>
            <w:pPr>
              <w:ind w:left="40"/>
              <w:spacing w:after="0"/>
              <w:rPr>
                <w:sz w:val="20"/>
                <w:szCs w:val="20"/>
                <w:color w:val="auto"/>
              </w:rPr>
            </w:pPr>
            <w:r>
              <w:rPr>
                <w:rFonts w:ascii="Arial" w:cs="Arial" w:eastAsia="Arial" w:hAnsi="Arial"/>
                <w:sz w:val="13"/>
                <w:szCs w:val="13"/>
                <w:color w:val="auto"/>
              </w:rPr>
              <w:t>Alexandria Real Estate Equities, Inc.’s share of equity</w:t>
            </w: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4,536,126</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4,162,017</w:t>
            </w:r>
          </w:p>
        </w:tc>
      </w:tr>
      <w:tr>
        <w:trPr>
          <w:trHeight w:val="203"/>
        </w:trPr>
        <w:tc>
          <w:tcPr>
            <w:tcW w:w="462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Noncontrolling interests’ share of equity</w:t>
            </w: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4,391,806</w:t>
            </w:r>
          </w:p>
        </w:tc>
        <w:tc>
          <w:tcPr>
            <w:tcW w:w="2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4,135,338</w:t>
            </w:r>
          </w:p>
        </w:tc>
      </w:tr>
      <w:tr>
        <w:trPr>
          <w:trHeight w:val="189"/>
        </w:trPr>
        <w:tc>
          <w:tcPr>
            <w:tcW w:w="46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Total liabilities and equity</w:t>
            </w:r>
          </w:p>
        </w:tc>
        <w:tc>
          <w:tcPr>
            <w:tcW w:w="2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9,705,283</w:t>
            </w:r>
          </w:p>
        </w:tc>
        <w:tc>
          <w:tcPr>
            <w:tcW w:w="2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9,067,180</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ind w:left="640" w:right="679" w:firstLine="516"/>
        <w:spacing w:after="0" w:line="253" w:lineRule="auto"/>
        <w:rPr>
          <w:sz w:val="20"/>
          <w:szCs w:val="20"/>
          <w:color w:val="auto"/>
        </w:rPr>
      </w:pPr>
      <w:r>
        <w:rPr>
          <w:rFonts w:ascii="Arial" w:cs="Arial" w:eastAsia="Arial" w:hAnsi="Arial"/>
          <w:sz w:val="13"/>
          <w:szCs w:val="13"/>
          <w:color w:val="auto"/>
        </w:rPr>
        <w:t>In determining whether to aggregate the balance sheet information of consolidated VIEs, we considered the similarity of each VIE, including the primary purpose of these entities to own, manage, operate, and lease real estate properties owned by the VIEs, and the similar nature of our involvement in each VIE as a managing member. Due to the similarity of the characteristics, we present the balance sheet information of these entities on an aggregated basis. None of our consolidated VIEs’ assets have restrictions that limit their use to settle specific obligations of the VIE. There are no creditors or other partners of our consolidated VIEs that have recourse to our general credit, and our maximum exposure to our consolidated VIEs is limited to our variable interests in each VIE, except for our 99 Coolidge Avenue real estate joint venture in which the VIE’s secured construction loan is guaranteed by us. Refer to Note 10 – “Secured and unsecured senior debt” to our unaudited consolidated financial statements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188595</wp:posOffset>
            </wp:positionV>
            <wp:extent cx="5584190" cy="24714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584190" cy="2471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640" w:right="2699" w:hanging="2"/>
        <w:spacing w:after="0" w:line="482" w:lineRule="auto"/>
        <w:tabs>
          <w:tab w:leader="none" w:pos="898" w:val="left"/>
        </w:tabs>
        <w:numPr>
          <w:ilvl w:val="0"/>
          <w:numId w:val="38"/>
        </w:numPr>
        <w:rPr>
          <w:rFonts w:ascii="Arial" w:cs="Arial" w:eastAsia="Arial" w:hAnsi="Arial"/>
          <w:sz w:val="13"/>
          <w:szCs w:val="13"/>
          <w:b w:val="1"/>
          <w:bCs w:val="1"/>
          <w:color w:val="00497F"/>
        </w:rPr>
      </w:pPr>
      <w:r>
        <w:rPr>
          <w:rFonts w:ascii="Arial" w:cs="Arial" w:eastAsia="Arial" w:hAnsi="Arial"/>
          <w:sz w:val="13"/>
          <w:szCs w:val="13"/>
          <w:b w:val="1"/>
          <w:bCs w:val="1"/>
          <w:color w:val="00497F"/>
        </w:rPr>
        <w:t>CONSOLIDATED AND UNCONSOLIDATED REAL ESTATE JOINT VENTURES (continued) Unconsolidated real estate joint ventures</w:t>
      </w:r>
    </w:p>
    <w:p>
      <w:pPr>
        <w:spacing w:after="0" w:line="1" w:lineRule="exact"/>
        <w:rPr>
          <w:sz w:val="20"/>
          <w:szCs w:val="20"/>
          <w:color w:val="auto"/>
        </w:rPr>
      </w:pPr>
    </w:p>
    <w:p>
      <w:pPr>
        <w:ind w:left="640" w:right="779" w:firstLine="516"/>
        <w:spacing w:after="0" w:line="253" w:lineRule="auto"/>
        <w:rPr>
          <w:sz w:val="20"/>
          <w:szCs w:val="20"/>
          <w:color w:val="auto"/>
        </w:rPr>
      </w:pPr>
      <w:r>
        <w:rPr>
          <w:rFonts w:ascii="Arial" w:cs="Arial" w:eastAsia="Arial" w:hAnsi="Arial"/>
          <w:sz w:val="13"/>
          <w:szCs w:val="13"/>
          <w:color w:val="auto"/>
        </w:rPr>
        <w:t>Our maximum exposure to our unconsolidated VIEs is limited to our investment in each VIE, except for our 1450 Research Boulevard and 101 West Dickman Street unconsolidated real estate joint ventures in which we guarantee up to $6.7 million of the outstanding balance related to each VIE’s secured loan. Our investments in unconsolidated real estate joint ventures, accounted for under the equity method and classified in investments in unconsolidated real estate joint ventures in our consolidated balance sheets, consisted of the following as of June 30, 2024 and December 31, 2023 (in thousands):</w:t>
      </w:r>
    </w:p>
    <w:p>
      <w:pPr>
        <w:spacing w:after="0" w:line="200"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1800" w:type="dxa"/>
            <w:vAlign w:val="bottom"/>
            <w:tcBorders>
              <w:bottom w:val="single" w:sz="8" w:color="auto"/>
            </w:tcBorders>
          </w:tcPr>
          <w:p>
            <w:pPr>
              <w:spacing w:after="0"/>
              <w:rPr>
                <w:sz w:val="13"/>
                <w:szCs w:val="13"/>
                <w:color w:val="auto"/>
              </w:rPr>
            </w:pPr>
          </w:p>
        </w:tc>
        <w:tc>
          <w:tcPr>
            <w:tcW w:w="2700" w:type="dxa"/>
            <w:vAlign w:val="bottom"/>
            <w:tcBorders>
              <w:bottom w:val="single" w:sz="8" w:color="auto"/>
            </w:tcBorders>
          </w:tcPr>
          <w:p>
            <w:pPr>
              <w:ind w:left="200"/>
              <w:spacing w:after="0"/>
              <w:rPr>
                <w:sz w:val="20"/>
                <w:szCs w:val="20"/>
                <w:color w:val="auto"/>
              </w:rPr>
            </w:pPr>
            <w:r>
              <w:rPr>
                <w:rFonts w:ascii="Arial" w:cs="Arial" w:eastAsia="Arial" w:hAnsi="Arial"/>
                <w:sz w:val="13"/>
                <w:szCs w:val="13"/>
                <w:color w:val="auto"/>
              </w:rPr>
              <w:t>Property</w:t>
            </w:r>
          </w:p>
        </w:tc>
        <w:tc>
          <w:tcPr>
            <w:tcW w:w="2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color w:val="auto"/>
              </w:rPr>
              <w:t>June 30, 2024</w:t>
            </w:r>
          </w:p>
        </w:tc>
        <w:tc>
          <w:tcPr>
            <w:tcW w:w="1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w w:val="98"/>
              </w:rPr>
              <w:t>December 31, 2023</w:t>
            </w:r>
          </w:p>
        </w:tc>
      </w:tr>
      <w:tr>
        <w:trPr>
          <w:trHeight w:val="163"/>
        </w:trPr>
        <w:tc>
          <w:tcPr>
            <w:tcW w:w="1800" w:type="dxa"/>
            <w:vAlign w:val="bottom"/>
            <w:shd w:val="clear" w:color="auto" w:fill="CCEEFF"/>
          </w:tcPr>
          <w:p>
            <w:pPr>
              <w:ind w:left="40"/>
              <w:spacing w:after="0"/>
              <w:rPr>
                <w:sz w:val="20"/>
                <w:szCs w:val="20"/>
                <w:color w:val="auto"/>
              </w:rPr>
            </w:pPr>
            <w:r>
              <w:rPr>
                <w:rFonts w:ascii="Arial" w:cs="Arial" w:eastAsia="Arial" w:hAnsi="Arial"/>
                <w:sz w:val="13"/>
                <w:szCs w:val="13"/>
                <w:color w:val="auto"/>
              </w:rPr>
              <w:t>1655 and 1725 Third Street</w:t>
            </w:r>
          </w:p>
        </w:tc>
        <w:tc>
          <w:tcPr>
            <w:tcW w:w="310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11,161</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3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11,718</w:t>
            </w:r>
          </w:p>
        </w:tc>
      </w:tr>
      <w:tr>
        <w:trPr>
          <w:trHeight w:val="183"/>
        </w:trPr>
        <w:tc>
          <w:tcPr>
            <w:tcW w:w="1800" w:type="dxa"/>
            <w:vAlign w:val="bottom"/>
          </w:tcPr>
          <w:p>
            <w:pPr>
              <w:ind w:left="40"/>
              <w:spacing w:after="0"/>
              <w:rPr>
                <w:sz w:val="20"/>
                <w:szCs w:val="20"/>
                <w:color w:val="auto"/>
              </w:rPr>
            </w:pPr>
            <w:r>
              <w:rPr>
                <w:rFonts w:ascii="Arial" w:cs="Arial" w:eastAsia="Arial" w:hAnsi="Arial"/>
                <w:sz w:val="13"/>
                <w:szCs w:val="13"/>
                <w:color w:val="auto"/>
              </w:rPr>
              <w:t>1450 Research Boulevard</w:t>
            </w:r>
          </w:p>
        </w:tc>
        <w:tc>
          <w:tcPr>
            <w:tcW w:w="2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9,129</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6,041</w:t>
            </w:r>
          </w:p>
        </w:tc>
      </w:tr>
      <w:tr>
        <w:trPr>
          <w:trHeight w:val="183"/>
        </w:trPr>
        <w:tc>
          <w:tcPr>
            <w:tcW w:w="1800" w:type="dxa"/>
            <w:vAlign w:val="bottom"/>
            <w:shd w:val="clear" w:color="auto" w:fill="CCEEFF"/>
          </w:tcPr>
          <w:p>
            <w:pPr>
              <w:ind w:left="40"/>
              <w:spacing w:after="0"/>
              <w:rPr>
                <w:sz w:val="20"/>
                <w:szCs w:val="20"/>
                <w:color w:val="auto"/>
              </w:rPr>
            </w:pPr>
            <w:r>
              <w:rPr>
                <w:rFonts w:ascii="Arial" w:cs="Arial" w:eastAsia="Arial" w:hAnsi="Arial"/>
                <w:sz w:val="13"/>
                <w:szCs w:val="13"/>
                <w:color w:val="auto"/>
              </w:rPr>
              <w:t>101 West Dickman Street</w:t>
            </w:r>
          </w:p>
        </w:tc>
        <w:tc>
          <w:tcPr>
            <w:tcW w:w="27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9,703</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9,290</w:t>
            </w:r>
          </w:p>
        </w:tc>
      </w:tr>
      <w:tr>
        <w:trPr>
          <w:trHeight w:val="183"/>
        </w:trPr>
        <w:tc>
          <w:tcPr>
            <w:tcW w:w="180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Other</w:t>
            </w:r>
          </w:p>
        </w:tc>
        <w:tc>
          <w:tcPr>
            <w:tcW w:w="270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10,542</w:t>
            </w:r>
          </w:p>
        </w:tc>
        <w:tc>
          <w:tcPr>
            <w:tcW w:w="1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10,731</w:t>
            </w:r>
          </w:p>
        </w:tc>
      </w:tr>
      <w:tr>
        <w:trPr>
          <w:trHeight w:val="161"/>
        </w:trPr>
        <w:tc>
          <w:tcPr>
            <w:tcW w:w="1800" w:type="dxa"/>
            <w:vAlign w:val="bottom"/>
            <w:shd w:val="clear" w:color="auto" w:fill="CCEEFF"/>
          </w:tcPr>
          <w:p>
            <w:pPr>
              <w:spacing w:after="0"/>
              <w:rPr>
                <w:sz w:val="14"/>
                <w:szCs w:val="14"/>
                <w:color w:val="auto"/>
              </w:rPr>
            </w:pPr>
          </w:p>
        </w:tc>
        <w:tc>
          <w:tcPr>
            <w:tcW w:w="3100" w:type="dxa"/>
            <w:vAlign w:val="bottom"/>
            <w:gridSpan w:val="3"/>
            <w:shd w:val="clear" w:color="auto" w:fill="CCEEFF"/>
          </w:tcPr>
          <w:p>
            <w:pPr>
              <w:jc w:val="right"/>
              <w:ind w:right="100"/>
              <w:spacing w:after="0" w:line="141" w:lineRule="exact"/>
              <w:rPr>
                <w:sz w:val="20"/>
                <w:szCs w:val="20"/>
                <w:color w:val="auto"/>
              </w:rPr>
            </w:pPr>
            <w:r>
              <w:rPr>
                <w:rFonts w:ascii="Arial" w:cs="Arial" w:eastAsia="Arial" w:hAnsi="Arial"/>
                <w:sz w:val="13"/>
                <w:szCs w:val="13"/>
                <w:color w:val="auto"/>
              </w:rPr>
              <w:t>$</w:t>
            </w:r>
          </w:p>
        </w:tc>
        <w:tc>
          <w:tcPr>
            <w:tcW w:w="122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40,535</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w:t>
            </w:r>
          </w:p>
        </w:tc>
        <w:tc>
          <w:tcPr>
            <w:tcW w:w="130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37,780</w:t>
            </w:r>
          </w:p>
        </w:tc>
      </w:tr>
      <w:tr>
        <w:trPr>
          <w:trHeight w:val="20"/>
        </w:trPr>
        <w:tc>
          <w:tcPr>
            <w:tcW w:w="1800" w:type="dxa"/>
            <w:vAlign w:val="bottom"/>
            <w:tcBorders>
              <w:top w:val="single" w:sz="8" w:color="CCEEFF"/>
            </w:tcBorders>
          </w:tcPr>
          <w:p>
            <w:pPr>
              <w:spacing w:after="0" w:line="20" w:lineRule="exact"/>
              <w:rPr>
                <w:sz w:val="1"/>
                <w:szCs w:val="1"/>
                <w:color w:val="auto"/>
              </w:rPr>
            </w:pPr>
          </w:p>
        </w:tc>
        <w:tc>
          <w:tcPr>
            <w:tcW w:w="27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183" w:lineRule="exact"/>
        <w:rPr>
          <w:sz w:val="20"/>
          <w:szCs w:val="20"/>
          <w:color w:val="auto"/>
        </w:rPr>
      </w:pPr>
    </w:p>
    <w:p>
      <w:pPr>
        <w:ind w:left="640" w:right="819" w:firstLine="516"/>
        <w:spacing w:after="0" w:line="284" w:lineRule="auto"/>
        <w:rPr>
          <w:sz w:val="20"/>
          <w:szCs w:val="20"/>
          <w:color w:val="auto"/>
        </w:rPr>
      </w:pPr>
      <w:r>
        <w:rPr>
          <w:rFonts w:ascii="Arial" w:cs="Arial" w:eastAsia="Arial" w:hAnsi="Arial"/>
          <w:sz w:val="13"/>
          <w:szCs w:val="13"/>
          <w:color w:val="auto"/>
        </w:rPr>
        <w:t>The following table presents key terms related to our unconsolidated real estate joint ventures’ secured loans as of June 30, 2024 (dollars in thousands):</w:t>
      </w:r>
    </w:p>
    <w:p>
      <w:pPr>
        <w:spacing w:after="0" w:line="1" w:lineRule="exact"/>
        <w:rPr>
          <w:sz w:val="20"/>
          <w:szCs w:val="20"/>
          <w:color w:val="auto"/>
        </w:rPr>
      </w:pPr>
    </w:p>
    <w:p>
      <w:pPr>
        <w:ind w:left="6480"/>
        <w:spacing w:after="0"/>
        <w:rPr>
          <w:sz w:val="20"/>
          <w:szCs w:val="20"/>
          <w:color w:val="auto"/>
        </w:rPr>
      </w:pPr>
      <w:r>
        <w:rPr>
          <w:rFonts w:ascii="Arial" w:cs="Arial" w:eastAsia="Arial" w:hAnsi="Arial"/>
          <w:sz w:val="13"/>
          <w:szCs w:val="13"/>
          <w:color w:val="auto"/>
        </w:rPr>
        <w:t>At 100%</w:t>
      </w:r>
    </w:p>
    <w:p>
      <w:pPr>
        <w:sectPr>
          <w:pgSz w:w="11900" w:h="16856" w:orient="portrait"/>
          <w:cols w:equalWidth="0" w:num="1">
            <w:col w:w="9019"/>
          </w:cols>
          <w:pgMar w:left="1440" w:top="892" w:right="1440" w:bottom="0" w:gutter="0" w:footer="0" w:header="0"/>
        </w:sectPr>
      </w:pPr>
    </w:p>
    <w:bookmarkStart w:id="19" w:name="page20"/>
    <w:bookmarkEnd w:id="19"/>
    <w:p>
      <w:pPr>
        <w:spacing w:after="0" w:line="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982345</wp:posOffset>
            </wp:positionH>
            <wp:positionV relativeFrom="page">
              <wp:posOffset>88900</wp:posOffset>
            </wp:positionV>
            <wp:extent cx="5584190" cy="47421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584190" cy="4742180"/>
                    </a:xfrm>
                    <a:prstGeom prst="rect">
                      <a:avLst/>
                    </a:prstGeom>
                    <a:noFill/>
                  </pic:spPr>
                </pic:pic>
              </a:graphicData>
            </a:graphic>
          </wp:anchor>
        </w:drawing>
      </w:r>
    </w:p>
    <w:tbl>
      <w:tblPr>
        <w:tblLayout w:type="fixed"/>
        <w:tblInd w:w="640" w:type="dxa"/>
        <w:tblCellMar>
          <w:top w:w="0" w:type="dxa"/>
          <w:left w:w="0" w:type="dxa"/>
          <w:bottom w:w="0" w:type="dxa"/>
          <w:right w:w="0" w:type="dxa"/>
        </w:tblCellMar>
      </w:tblPr>
      <w:tr>
        <w:trPr>
          <w:trHeight w:val="149"/>
        </w:trPr>
        <w:tc>
          <w:tcPr>
            <w:tcW w:w="24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gridSpan w:val="2"/>
          </w:tcPr>
          <w:p>
            <w:pPr>
              <w:jc w:val="center"/>
              <w:ind w:right="60"/>
              <w:spacing w:after="0"/>
              <w:rPr>
                <w:sz w:val="20"/>
                <w:szCs w:val="20"/>
                <w:color w:val="auto"/>
              </w:rPr>
            </w:pPr>
            <w:r>
              <w:rPr>
                <w:rFonts w:ascii="Arial" w:cs="Arial" w:eastAsia="Arial" w:hAnsi="Arial"/>
                <w:sz w:val="13"/>
                <w:szCs w:val="13"/>
                <w:color w:val="auto"/>
              </w:rPr>
              <w:t>Interest</w:t>
            </w:r>
          </w:p>
        </w:tc>
        <w:tc>
          <w:tcPr>
            <w:tcW w:w="140" w:type="dxa"/>
            <w:vAlign w:val="bottom"/>
          </w:tcPr>
          <w:p>
            <w:pPr>
              <w:spacing w:after="0"/>
              <w:rPr>
                <w:sz w:val="13"/>
                <w:szCs w:val="13"/>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3"/>
                <w:szCs w:val="13"/>
                <w:color w:val="auto"/>
                <w:w w:val="99"/>
              </w:rPr>
              <w:t>Aggregate</w:t>
            </w:r>
          </w:p>
        </w:tc>
        <w:tc>
          <w:tcPr>
            <w:tcW w:w="160" w:type="dxa"/>
            <w:vAlign w:val="bottom"/>
          </w:tcPr>
          <w:p>
            <w:pPr>
              <w:spacing w:after="0"/>
              <w:rPr>
                <w:sz w:val="13"/>
                <w:szCs w:val="13"/>
                <w:color w:val="auto"/>
              </w:rPr>
            </w:pPr>
          </w:p>
        </w:tc>
        <w:tc>
          <w:tcPr>
            <w:tcW w:w="780" w:type="dxa"/>
            <w:vAlign w:val="bottom"/>
          </w:tcPr>
          <w:p>
            <w:pPr>
              <w:jc w:val="right"/>
              <w:ind w:right="256"/>
              <w:spacing w:after="0"/>
              <w:rPr>
                <w:sz w:val="20"/>
                <w:szCs w:val="20"/>
                <w:color w:val="auto"/>
              </w:rPr>
            </w:pPr>
            <w:r>
              <w:rPr>
                <w:rFonts w:ascii="Arial" w:cs="Arial" w:eastAsia="Arial" w:hAnsi="Arial"/>
                <w:sz w:val="13"/>
                <w:szCs w:val="13"/>
                <w:color w:val="auto"/>
              </w:rPr>
              <w:t>Debt</w:t>
            </w:r>
          </w:p>
        </w:tc>
        <w:tc>
          <w:tcPr>
            <w:tcW w:w="4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3"/>
                <w:szCs w:val="13"/>
                <w:color w:val="auto"/>
              </w:rPr>
              <w:t>Our</w:t>
            </w:r>
          </w:p>
        </w:tc>
      </w:tr>
      <w:tr>
        <w:trPr>
          <w:trHeight w:val="183"/>
        </w:trPr>
        <w:tc>
          <w:tcPr>
            <w:tcW w:w="2400" w:type="dxa"/>
            <w:vAlign w:val="bottom"/>
          </w:tcPr>
          <w:p>
            <w:pPr>
              <w:ind w:left="340"/>
              <w:spacing w:after="0"/>
              <w:rPr>
                <w:sz w:val="20"/>
                <w:szCs w:val="20"/>
                <w:color w:val="auto"/>
              </w:rPr>
            </w:pPr>
            <w:r>
              <w:rPr>
                <w:rFonts w:ascii="Arial" w:cs="Arial" w:eastAsia="Arial" w:hAnsi="Arial"/>
                <w:sz w:val="13"/>
                <w:szCs w:val="13"/>
                <w:color w:val="auto"/>
              </w:rPr>
              <w:t>Unconsolidated Joint Venture</w:t>
            </w:r>
          </w:p>
        </w:tc>
        <w:tc>
          <w:tcPr>
            <w:tcW w:w="920" w:type="dxa"/>
            <w:vAlign w:val="bottom"/>
            <w:gridSpan w:val="2"/>
          </w:tcPr>
          <w:p>
            <w:pPr>
              <w:ind w:left="60"/>
              <w:spacing w:after="0"/>
              <w:rPr>
                <w:sz w:val="20"/>
                <w:szCs w:val="20"/>
                <w:color w:val="auto"/>
              </w:rPr>
            </w:pPr>
            <w:r>
              <w:rPr>
                <w:rFonts w:ascii="Arial" w:cs="Arial" w:eastAsia="Arial" w:hAnsi="Arial"/>
                <w:sz w:val="13"/>
                <w:szCs w:val="13"/>
                <w:color w:val="auto"/>
              </w:rPr>
              <w:t>Maturity Date</w:t>
            </w:r>
          </w:p>
        </w:tc>
        <w:tc>
          <w:tcPr>
            <w:tcW w:w="940" w:type="dxa"/>
            <w:vAlign w:val="bottom"/>
          </w:tcPr>
          <w:p>
            <w:pPr>
              <w:jc w:val="center"/>
              <w:spacing w:after="0"/>
              <w:rPr>
                <w:sz w:val="20"/>
                <w:szCs w:val="20"/>
                <w:color w:val="auto"/>
              </w:rPr>
            </w:pPr>
            <w:r>
              <w:rPr>
                <w:rFonts w:ascii="Arial" w:cs="Arial" w:eastAsia="Arial" w:hAnsi="Arial"/>
                <w:sz w:val="13"/>
                <w:szCs w:val="13"/>
                <w:color w:val="auto"/>
                <w:w w:val="98"/>
              </w:rPr>
              <w:t>Stated Rate</w:t>
            </w:r>
          </w:p>
        </w:tc>
        <w:tc>
          <w:tcPr>
            <w:tcW w:w="180" w:type="dxa"/>
            <w:vAlign w:val="bottom"/>
          </w:tcPr>
          <w:p>
            <w:pPr>
              <w:spacing w:after="0"/>
              <w:rPr>
                <w:sz w:val="15"/>
                <w:szCs w:val="15"/>
                <w:color w:val="auto"/>
              </w:rPr>
            </w:pPr>
          </w:p>
        </w:tc>
        <w:tc>
          <w:tcPr>
            <w:tcW w:w="700" w:type="dxa"/>
            <w:vAlign w:val="bottom"/>
            <w:gridSpan w:val="2"/>
          </w:tcPr>
          <w:p>
            <w:pPr>
              <w:jc w:val="center"/>
              <w:ind w:right="60"/>
              <w:spacing w:after="0" w:line="183" w:lineRule="exact"/>
              <w:rPr>
                <w:sz w:val="20"/>
                <w:szCs w:val="20"/>
                <w:color w:val="auto"/>
              </w:rPr>
            </w:pPr>
            <w:r>
              <w:rPr>
                <w:rFonts w:ascii="Arial" w:cs="Arial" w:eastAsia="Arial" w:hAnsi="Arial"/>
                <w:sz w:val="13"/>
                <w:szCs w:val="13"/>
                <w:color w:val="auto"/>
                <w:w w:val="88"/>
              </w:rPr>
              <w:t>Rate</w:t>
            </w:r>
            <w:r>
              <w:rPr>
                <w:rFonts w:ascii="Arial" w:cs="Arial" w:eastAsia="Arial" w:hAnsi="Arial"/>
                <w:sz w:val="16"/>
                <w:szCs w:val="16"/>
                <w:color w:val="auto"/>
                <w:w w:val="88"/>
                <w:vertAlign w:val="superscript"/>
              </w:rPr>
              <w:t>(1)</w:t>
            </w:r>
          </w:p>
        </w:tc>
        <w:tc>
          <w:tcPr>
            <w:tcW w:w="960" w:type="dxa"/>
            <w:vAlign w:val="bottom"/>
            <w:gridSpan w:val="3"/>
          </w:tcPr>
          <w:p>
            <w:pPr>
              <w:jc w:val="center"/>
              <w:ind w:right="40"/>
              <w:spacing w:after="0"/>
              <w:rPr>
                <w:sz w:val="20"/>
                <w:szCs w:val="20"/>
                <w:color w:val="auto"/>
              </w:rPr>
            </w:pPr>
            <w:r>
              <w:rPr>
                <w:rFonts w:ascii="Arial" w:cs="Arial" w:eastAsia="Arial" w:hAnsi="Arial"/>
                <w:sz w:val="13"/>
                <w:szCs w:val="13"/>
                <w:color w:val="auto"/>
                <w:w w:val="97"/>
              </w:rPr>
              <w:t>Commitment</w:t>
            </w:r>
          </w:p>
        </w:tc>
        <w:tc>
          <w:tcPr>
            <w:tcW w:w="160" w:type="dxa"/>
            <w:vAlign w:val="bottom"/>
          </w:tcPr>
          <w:p>
            <w:pPr>
              <w:spacing w:after="0"/>
              <w:rPr>
                <w:sz w:val="15"/>
                <w:szCs w:val="15"/>
                <w:color w:val="auto"/>
              </w:rPr>
            </w:pPr>
          </w:p>
        </w:tc>
        <w:tc>
          <w:tcPr>
            <w:tcW w:w="780" w:type="dxa"/>
            <w:vAlign w:val="bottom"/>
          </w:tcPr>
          <w:p>
            <w:pPr>
              <w:jc w:val="right"/>
              <w:ind w:right="116"/>
              <w:spacing w:after="0" w:line="183" w:lineRule="exact"/>
              <w:rPr>
                <w:sz w:val="20"/>
                <w:szCs w:val="20"/>
                <w:color w:val="auto"/>
              </w:rPr>
            </w:pPr>
            <w:r>
              <w:rPr>
                <w:rFonts w:ascii="Arial" w:cs="Arial" w:eastAsia="Arial" w:hAnsi="Arial"/>
                <w:sz w:val="13"/>
                <w:szCs w:val="13"/>
                <w:color w:val="auto"/>
                <w:w w:val="96"/>
              </w:rPr>
              <w:t>Balance</w:t>
            </w:r>
            <w:r>
              <w:rPr>
                <w:rFonts w:ascii="Arial" w:cs="Arial" w:eastAsia="Arial" w:hAnsi="Arial"/>
                <w:sz w:val="16"/>
                <w:szCs w:val="16"/>
                <w:color w:val="auto"/>
                <w:w w:val="96"/>
                <w:vertAlign w:val="superscript"/>
              </w:rPr>
              <w:t>(2)</w:t>
            </w:r>
          </w:p>
        </w:tc>
        <w:tc>
          <w:tcPr>
            <w:tcW w:w="4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Arial" w:cs="Arial" w:eastAsia="Arial" w:hAnsi="Arial"/>
                <w:sz w:val="13"/>
                <w:szCs w:val="13"/>
                <w:color w:val="auto"/>
                <w:w w:val="97"/>
              </w:rPr>
              <w:t>Share</w:t>
            </w:r>
          </w:p>
        </w:tc>
      </w:tr>
      <w:tr>
        <w:trPr>
          <w:trHeight w:val="169"/>
        </w:trPr>
        <w:tc>
          <w:tcPr>
            <w:tcW w:w="2400" w:type="dxa"/>
            <w:vAlign w:val="bottom"/>
          </w:tcPr>
          <w:p>
            <w:pPr>
              <w:ind w:left="40"/>
              <w:spacing w:after="0"/>
              <w:rPr>
                <w:sz w:val="20"/>
                <w:szCs w:val="20"/>
                <w:color w:val="auto"/>
              </w:rPr>
            </w:pPr>
            <w:r>
              <w:rPr>
                <w:rFonts w:ascii="Arial" w:cs="Arial" w:eastAsia="Arial" w:hAnsi="Arial"/>
                <w:sz w:val="13"/>
                <w:szCs w:val="13"/>
                <w:color w:val="auto"/>
              </w:rPr>
              <w:t>1401/1413 Research Boulevard</w:t>
            </w:r>
          </w:p>
        </w:tc>
        <w:tc>
          <w:tcPr>
            <w:tcW w:w="880" w:type="dxa"/>
            <w:vAlign w:val="bottom"/>
          </w:tcPr>
          <w:p>
            <w:pPr>
              <w:jc w:val="center"/>
              <w:spacing w:after="0"/>
              <w:rPr>
                <w:sz w:val="20"/>
                <w:szCs w:val="20"/>
                <w:color w:val="auto"/>
              </w:rPr>
            </w:pPr>
            <w:r>
              <w:rPr>
                <w:rFonts w:ascii="Arial" w:cs="Arial" w:eastAsia="Arial" w:hAnsi="Arial"/>
                <w:sz w:val="13"/>
                <w:szCs w:val="13"/>
                <w:color w:val="auto"/>
                <w:w w:val="98"/>
              </w:rPr>
              <w:t>12/23/24</w:t>
            </w:r>
          </w:p>
        </w:tc>
        <w:tc>
          <w:tcPr>
            <w:tcW w:w="4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3"/>
                <w:szCs w:val="13"/>
                <w:color w:val="auto"/>
              </w:rPr>
              <w:t>2.70%</w:t>
            </w:r>
          </w:p>
        </w:tc>
        <w:tc>
          <w:tcPr>
            <w:tcW w:w="18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3"/>
                <w:szCs w:val="13"/>
                <w:color w:val="auto"/>
                <w:w w:val="97"/>
              </w:rPr>
              <w:t>3.31%</w:t>
            </w:r>
          </w:p>
        </w:tc>
        <w:tc>
          <w:tcPr>
            <w:tcW w:w="6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28,500</w:t>
            </w:r>
          </w:p>
        </w:tc>
        <w:tc>
          <w:tcPr>
            <w:tcW w:w="4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28,417</w:t>
            </w:r>
          </w:p>
        </w:tc>
        <w:tc>
          <w:tcPr>
            <w:tcW w:w="700" w:type="dxa"/>
            <w:vAlign w:val="bottom"/>
            <w:gridSpan w:val="2"/>
          </w:tcPr>
          <w:p>
            <w:pPr>
              <w:jc w:val="center"/>
              <w:spacing w:after="0"/>
              <w:rPr>
                <w:sz w:val="20"/>
                <w:szCs w:val="20"/>
                <w:color w:val="auto"/>
              </w:rPr>
            </w:pPr>
            <w:r>
              <w:rPr>
                <w:rFonts w:ascii="Arial" w:cs="Arial" w:eastAsia="Arial" w:hAnsi="Arial"/>
                <w:sz w:val="13"/>
                <w:szCs w:val="13"/>
                <w:color w:val="auto"/>
                <w:w w:val="97"/>
              </w:rPr>
              <w:t>65.0%</w:t>
            </w:r>
          </w:p>
        </w:tc>
      </w:tr>
      <w:tr>
        <w:trPr>
          <w:trHeight w:val="35"/>
        </w:trPr>
        <w:tc>
          <w:tcPr>
            <w:tcW w:w="240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r>
      <w:tr>
        <w:trPr>
          <w:trHeight w:val="163"/>
        </w:trPr>
        <w:tc>
          <w:tcPr>
            <w:tcW w:w="2400" w:type="dxa"/>
            <w:vAlign w:val="bottom"/>
            <w:shd w:val="clear" w:color="auto" w:fill="CCEEFF"/>
          </w:tcPr>
          <w:p>
            <w:pPr>
              <w:ind w:left="40"/>
              <w:spacing w:after="0" w:line="163" w:lineRule="exact"/>
              <w:rPr>
                <w:sz w:val="20"/>
                <w:szCs w:val="20"/>
                <w:color w:val="auto"/>
              </w:rPr>
            </w:pPr>
            <w:r>
              <w:rPr>
                <w:rFonts w:ascii="Arial" w:cs="Arial" w:eastAsia="Arial" w:hAnsi="Arial"/>
                <w:sz w:val="13"/>
                <w:szCs w:val="13"/>
                <w:color w:val="auto"/>
              </w:rPr>
              <w:t>1655 and 1725 Third Street</w:t>
            </w:r>
            <w:r>
              <w:rPr>
                <w:rFonts w:ascii="Arial" w:cs="Arial" w:eastAsia="Arial" w:hAnsi="Arial"/>
                <w:sz w:val="16"/>
                <w:szCs w:val="16"/>
                <w:color w:val="auto"/>
                <w:vertAlign w:val="superscript"/>
              </w:rPr>
              <w:t>(3)</w:t>
            </w:r>
          </w:p>
        </w:tc>
        <w:tc>
          <w:tcPr>
            <w:tcW w:w="8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3/10/25</w:t>
            </w:r>
          </w:p>
        </w:tc>
        <w:tc>
          <w:tcPr>
            <w:tcW w:w="40" w:type="dxa"/>
            <w:vAlign w:val="bottom"/>
            <w:shd w:val="clear" w:color="auto" w:fill="CCEEFF"/>
          </w:tcPr>
          <w:p>
            <w:pPr>
              <w:spacing w:after="0"/>
              <w:rPr>
                <w:sz w:val="14"/>
                <w:szCs w:val="14"/>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4.50%</w:t>
            </w: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4.57%</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600,000</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599,718</w:t>
            </w:r>
          </w:p>
        </w:tc>
        <w:tc>
          <w:tcPr>
            <w:tcW w:w="40" w:type="dxa"/>
            <w:vAlign w:val="bottom"/>
            <w:shd w:val="clear" w:color="auto" w:fill="CCEEFF"/>
          </w:tcPr>
          <w:p>
            <w:pPr>
              <w:spacing w:after="0"/>
              <w:rPr>
                <w:sz w:val="14"/>
                <w:szCs w:val="14"/>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10.0%</w:t>
            </w:r>
          </w:p>
        </w:tc>
      </w:tr>
      <w:tr>
        <w:trPr>
          <w:trHeight w:val="176"/>
        </w:trPr>
        <w:tc>
          <w:tcPr>
            <w:tcW w:w="2400" w:type="dxa"/>
            <w:vAlign w:val="bottom"/>
          </w:tcPr>
          <w:p>
            <w:pPr>
              <w:ind w:left="40"/>
              <w:spacing w:after="0"/>
              <w:rPr>
                <w:sz w:val="20"/>
                <w:szCs w:val="20"/>
                <w:color w:val="auto"/>
              </w:rPr>
            </w:pPr>
            <w:r>
              <w:rPr>
                <w:rFonts w:ascii="Arial" w:cs="Arial" w:eastAsia="Arial" w:hAnsi="Arial"/>
                <w:sz w:val="13"/>
                <w:szCs w:val="13"/>
                <w:color w:val="auto"/>
              </w:rPr>
              <w:t>101 West Dickman Street</w:t>
            </w:r>
          </w:p>
        </w:tc>
        <w:tc>
          <w:tcPr>
            <w:tcW w:w="880" w:type="dxa"/>
            <w:vAlign w:val="bottom"/>
          </w:tcPr>
          <w:p>
            <w:pPr>
              <w:jc w:val="center"/>
              <w:spacing w:after="0"/>
              <w:rPr>
                <w:sz w:val="20"/>
                <w:szCs w:val="20"/>
                <w:color w:val="auto"/>
              </w:rPr>
            </w:pPr>
            <w:r>
              <w:rPr>
                <w:rFonts w:ascii="Arial" w:cs="Arial" w:eastAsia="Arial" w:hAnsi="Arial"/>
                <w:sz w:val="13"/>
                <w:szCs w:val="13"/>
                <w:color w:val="auto"/>
                <w:w w:val="98"/>
              </w:rPr>
              <w:t>11/10/26</w:t>
            </w:r>
          </w:p>
        </w:tc>
        <w:tc>
          <w:tcPr>
            <w:tcW w:w="4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Arial" w:cs="Arial" w:eastAsia="Arial" w:hAnsi="Arial"/>
                <w:sz w:val="13"/>
                <w:szCs w:val="13"/>
                <w:color w:val="auto"/>
                <w:w w:val="99"/>
              </w:rPr>
              <w:t>SOFR+1.95%</w:t>
            </w:r>
          </w:p>
        </w:tc>
        <w:tc>
          <w:tcPr>
            <w:tcW w:w="180" w:type="dxa"/>
            <w:vAlign w:val="bottom"/>
          </w:tcPr>
          <w:p>
            <w:pPr>
              <w:jc w:val="right"/>
              <w:spacing w:after="0"/>
              <w:rPr>
                <w:sz w:val="20"/>
                <w:szCs w:val="20"/>
                <w:color w:val="auto"/>
              </w:rPr>
            </w:pPr>
            <w:r>
              <w:rPr>
                <w:rFonts w:ascii="Arial" w:cs="Arial" w:eastAsia="Arial" w:hAnsi="Arial"/>
                <w:sz w:val="8"/>
                <w:szCs w:val="8"/>
                <w:color w:val="auto"/>
              </w:rPr>
              <w:t>(4)</w:t>
            </w:r>
          </w:p>
        </w:tc>
        <w:tc>
          <w:tcPr>
            <w:tcW w:w="640" w:type="dxa"/>
            <w:vAlign w:val="bottom"/>
          </w:tcPr>
          <w:p>
            <w:pPr>
              <w:jc w:val="center"/>
              <w:spacing w:after="0"/>
              <w:rPr>
                <w:sz w:val="20"/>
                <w:szCs w:val="20"/>
                <w:color w:val="auto"/>
              </w:rPr>
            </w:pPr>
            <w:r>
              <w:rPr>
                <w:rFonts w:ascii="Arial" w:cs="Arial" w:eastAsia="Arial" w:hAnsi="Arial"/>
                <w:sz w:val="13"/>
                <w:szCs w:val="13"/>
                <w:color w:val="auto"/>
                <w:w w:val="97"/>
              </w:rPr>
              <w:t>7.39%</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26,750</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18,558</w:t>
            </w:r>
          </w:p>
        </w:tc>
        <w:tc>
          <w:tcPr>
            <w:tcW w:w="700" w:type="dxa"/>
            <w:vAlign w:val="bottom"/>
            <w:gridSpan w:val="2"/>
          </w:tcPr>
          <w:p>
            <w:pPr>
              <w:jc w:val="center"/>
              <w:spacing w:after="0"/>
              <w:rPr>
                <w:sz w:val="20"/>
                <w:szCs w:val="20"/>
                <w:color w:val="auto"/>
              </w:rPr>
            </w:pPr>
            <w:r>
              <w:rPr>
                <w:rFonts w:ascii="Arial" w:cs="Arial" w:eastAsia="Arial" w:hAnsi="Arial"/>
                <w:sz w:val="13"/>
                <w:szCs w:val="13"/>
                <w:color w:val="auto"/>
                <w:w w:val="97"/>
              </w:rPr>
              <w:t>58.2%</w:t>
            </w:r>
          </w:p>
        </w:tc>
      </w:tr>
      <w:tr>
        <w:trPr>
          <w:trHeight w:val="190"/>
        </w:trPr>
        <w:tc>
          <w:tcPr>
            <w:tcW w:w="2400" w:type="dxa"/>
            <w:vAlign w:val="bottom"/>
            <w:shd w:val="clear" w:color="auto" w:fill="CCEEFF"/>
          </w:tcPr>
          <w:p>
            <w:pPr>
              <w:ind w:left="40"/>
              <w:spacing w:after="0"/>
              <w:rPr>
                <w:sz w:val="20"/>
                <w:szCs w:val="20"/>
                <w:color w:val="auto"/>
              </w:rPr>
            </w:pPr>
            <w:r>
              <w:rPr>
                <w:rFonts w:ascii="Arial" w:cs="Arial" w:eastAsia="Arial" w:hAnsi="Arial"/>
                <w:sz w:val="13"/>
                <w:szCs w:val="13"/>
                <w:color w:val="auto"/>
              </w:rPr>
              <w:t>1450 Research Boulevard</w:t>
            </w:r>
          </w:p>
        </w:tc>
        <w:tc>
          <w:tcPr>
            <w:tcW w:w="8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8"/>
              </w:rPr>
              <w:t>12/10/26</w:t>
            </w:r>
          </w:p>
        </w:tc>
        <w:tc>
          <w:tcPr>
            <w:tcW w:w="40" w:type="dxa"/>
            <w:vAlign w:val="bottom"/>
            <w:shd w:val="clear" w:color="auto" w:fill="CCEEFF"/>
          </w:tcPr>
          <w:p>
            <w:pPr>
              <w:spacing w:after="0"/>
              <w:rPr>
                <w:sz w:val="16"/>
                <w:szCs w:val="16"/>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9"/>
              </w:rPr>
              <w:t>SOFR+1.95%</w:t>
            </w:r>
          </w:p>
        </w:tc>
        <w:tc>
          <w:tcPr>
            <w:tcW w:w="180" w:type="dxa"/>
            <w:vAlign w:val="bottom"/>
            <w:shd w:val="clear" w:color="auto" w:fill="CCEEFF"/>
          </w:tcPr>
          <w:p>
            <w:pPr>
              <w:jc w:val="right"/>
              <w:spacing w:after="0"/>
              <w:rPr>
                <w:sz w:val="20"/>
                <w:szCs w:val="20"/>
                <w:color w:val="auto"/>
              </w:rPr>
            </w:pPr>
            <w:r>
              <w:rPr>
                <w:rFonts w:ascii="Arial" w:cs="Arial" w:eastAsia="Arial" w:hAnsi="Arial"/>
                <w:sz w:val="8"/>
                <w:szCs w:val="8"/>
                <w:color w:val="auto"/>
              </w:rPr>
              <w:t>(4)</w:t>
            </w:r>
          </w:p>
        </w:tc>
        <w:tc>
          <w:tcPr>
            <w:tcW w:w="6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7.45%</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13,000</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8,598</w:t>
            </w:r>
          </w:p>
        </w:tc>
        <w:tc>
          <w:tcPr>
            <w:tcW w:w="70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w w:val="97"/>
              </w:rPr>
              <w:t>73.2%</w:t>
            </w:r>
          </w:p>
        </w:tc>
      </w:tr>
      <w:tr>
        <w:trPr>
          <w:trHeight w:val="169"/>
        </w:trPr>
        <w:tc>
          <w:tcPr>
            <w:tcW w:w="2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668,250</w:t>
            </w:r>
          </w:p>
        </w:tc>
        <w:tc>
          <w:tcPr>
            <w:tcW w:w="4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655,291</w:t>
            </w: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r>
    </w:tbl>
    <w:p>
      <w:pPr>
        <w:spacing w:after="0" w:line="31" w:lineRule="exact"/>
        <w:rPr>
          <w:sz w:val="20"/>
          <w:szCs w:val="20"/>
          <w:color w:val="auto"/>
        </w:rPr>
      </w:pPr>
    </w:p>
    <w:p>
      <w:pPr>
        <w:ind w:left="900" w:hanging="262"/>
        <w:spacing w:after="0"/>
        <w:tabs>
          <w:tab w:leader="none" w:pos="900" w:val="left"/>
        </w:tabs>
        <w:numPr>
          <w:ilvl w:val="0"/>
          <w:numId w:val="39"/>
        </w:numPr>
        <w:rPr>
          <w:rFonts w:ascii="Arial" w:cs="Arial" w:eastAsia="Arial" w:hAnsi="Arial"/>
          <w:sz w:val="10"/>
          <w:szCs w:val="10"/>
          <w:color w:val="auto"/>
        </w:rPr>
      </w:pPr>
      <w:r>
        <w:rPr>
          <w:rFonts w:ascii="Arial" w:cs="Arial" w:eastAsia="Arial" w:hAnsi="Arial"/>
          <w:sz w:val="10"/>
          <w:szCs w:val="10"/>
          <w:color w:val="auto"/>
        </w:rPr>
        <w:t>Includes interest expense and amortization of loan fees.</w:t>
      </w:r>
    </w:p>
    <w:p>
      <w:pPr>
        <w:spacing w:after="0" w:line="13" w:lineRule="exact"/>
        <w:rPr>
          <w:sz w:val="20"/>
          <w:szCs w:val="20"/>
          <w:color w:val="auto"/>
        </w:rPr>
      </w:pPr>
    </w:p>
    <w:p>
      <w:pPr>
        <w:ind w:left="640"/>
        <w:spacing w:after="0"/>
        <w:tabs>
          <w:tab w:leader="none" w:pos="880" w:val="left"/>
        </w:tabs>
        <w:rPr>
          <w:sz w:val="20"/>
          <w:szCs w:val="20"/>
          <w:color w:val="auto"/>
        </w:rPr>
      </w:pPr>
      <w:r>
        <w:rPr>
          <w:rFonts w:ascii="Arial" w:cs="Arial" w:eastAsia="Arial" w:hAnsi="Arial"/>
          <w:sz w:val="10"/>
          <w:szCs w:val="10"/>
          <w:color w:val="auto"/>
        </w:rPr>
        <w:t>(2)</w:t>
        <w:tab/>
        <w:t>Represents outstanding principal, net of unamortized deferred financing costs, as of June 30, 2024.</w:t>
      </w:r>
    </w:p>
    <w:p>
      <w:pPr>
        <w:spacing w:after="0" w:line="3" w:lineRule="exact"/>
        <w:rPr>
          <w:sz w:val="20"/>
          <w:szCs w:val="20"/>
          <w:color w:val="auto"/>
        </w:rPr>
      </w:pPr>
    </w:p>
    <w:p>
      <w:pPr>
        <w:ind w:left="900" w:right="699" w:hanging="262"/>
        <w:spacing w:after="0" w:line="257" w:lineRule="auto"/>
        <w:tabs>
          <w:tab w:leader="none" w:pos="900" w:val="left"/>
        </w:tabs>
        <w:numPr>
          <w:ilvl w:val="0"/>
          <w:numId w:val="40"/>
        </w:numPr>
        <w:rPr>
          <w:rFonts w:ascii="Arial" w:cs="Arial" w:eastAsia="Arial" w:hAnsi="Arial"/>
          <w:sz w:val="10"/>
          <w:szCs w:val="10"/>
          <w:color w:val="auto"/>
        </w:rPr>
      </w:pPr>
      <w:r>
        <w:rPr>
          <w:rFonts w:ascii="Arial" w:cs="Arial" w:eastAsia="Arial" w:hAnsi="Arial"/>
          <w:sz w:val="10"/>
          <w:szCs w:val="10"/>
          <w:color w:val="auto"/>
        </w:rPr>
        <w:t>The unconsolidated joint venture is early in the process of working with prospective lenders to refinance this secured non-recourse loan. In the event that all or a portion of the debt cannot be refinanced, we may consider contributing additional equity into this unconsolidated joint venture.</w:t>
      </w:r>
    </w:p>
    <w:p>
      <w:pPr>
        <w:ind w:left="900" w:hanging="262"/>
        <w:spacing w:after="0"/>
        <w:tabs>
          <w:tab w:leader="none" w:pos="900" w:val="left"/>
        </w:tabs>
        <w:numPr>
          <w:ilvl w:val="0"/>
          <w:numId w:val="40"/>
        </w:numPr>
        <w:rPr>
          <w:rFonts w:ascii="Arial" w:cs="Arial" w:eastAsia="Arial" w:hAnsi="Arial"/>
          <w:sz w:val="10"/>
          <w:szCs w:val="10"/>
          <w:color w:val="auto"/>
        </w:rPr>
      </w:pPr>
      <w:r>
        <w:rPr>
          <w:rFonts w:ascii="Arial" w:cs="Arial" w:eastAsia="Arial" w:hAnsi="Arial"/>
          <w:sz w:val="10"/>
          <w:szCs w:val="10"/>
          <w:color w:val="auto"/>
        </w:rPr>
        <w:t>This loan is subject to a fixed SOFR floor of 0.75%.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188595</wp:posOffset>
            </wp:positionV>
            <wp:extent cx="5584190" cy="57111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584190" cy="5711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900" w:hanging="262"/>
        <w:spacing w:after="0"/>
        <w:tabs>
          <w:tab w:leader="none" w:pos="900" w:val="left"/>
        </w:tabs>
        <w:numPr>
          <w:ilvl w:val="0"/>
          <w:numId w:val="41"/>
        </w:numPr>
        <w:rPr>
          <w:rFonts w:ascii="Arial" w:cs="Arial" w:eastAsia="Arial" w:hAnsi="Arial"/>
          <w:sz w:val="13"/>
          <w:szCs w:val="13"/>
          <w:b w:val="1"/>
          <w:bCs w:val="1"/>
          <w:color w:val="00497F"/>
        </w:rPr>
      </w:pPr>
      <w:r>
        <w:rPr>
          <w:rFonts w:ascii="Arial" w:cs="Arial" w:eastAsia="Arial" w:hAnsi="Arial"/>
          <w:sz w:val="13"/>
          <w:szCs w:val="13"/>
          <w:b w:val="1"/>
          <w:bCs w:val="1"/>
          <w:color w:val="00497F"/>
        </w:rPr>
        <w:t>LEASES</w:t>
      </w:r>
    </w:p>
    <w:p>
      <w:pPr>
        <w:spacing w:after="0" w:line="119" w:lineRule="exact"/>
        <w:rPr>
          <w:sz w:val="20"/>
          <w:szCs w:val="20"/>
          <w:color w:val="auto"/>
        </w:rPr>
      </w:pPr>
    </w:p>
    <w:p>
      <w:pPr>
        <w:jc w:val="both"/>
        <w:ind w:left="640" w:right="839" w:firstLine="516"/>
        <w:spacing w:after="0" w:line="265" w:lineRule="auto"/>
        <w:rPr>
          <w:sz w:val="20"/>
          <w:szCs w:val="20"/>
          <w:color w:val="auto"/>
        </w:rPr>
      </w:pPr>
      <w:r>
        <w:rPr>
          <w:rFonts w:ascii="Arial" w:cs="Arial" w:eastAsia="Arial" w:hAnsi="Arial"/>
          <w:sz w:val="13"/>
          <w:szCs w:val="13"/>
          <w:color w:val="auto"/>
        </w:rPr>
        <w:t>Refer to “Lease accounting” in Note 2 – “Summary of significant accounting policies” to our unaudited consolidated financial statements for information about lease accounting standards that set principles for the recognition, measurement, presentation, and disclosure of leases for both parties to a lease agreement (i.e., lessees and lessors).</w:t>
      </w:r>
    </w:p>
    <w:p>
      <w:pPr>
        <w:spacing w:after="0" w:line="128"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00497F"/>
        </w:rPr>
        <w:t>Leases in which we are the lessor</w:t>
      </w:r>
    </w:p>
    <w:p>
      <w:pPr>
        <w:spacing w:after="0" w:line="151" w:lineRule="exact"/>
        <w:rPr>
          <w:sz w:val="20"/>
          <w:szCs w:val="20"/>
          <w:color w:val="auto"/>
        </w:rPr>
      </w:pPr>
    </w:p>
    <w:p>
      <w:pPr>
        <w:ind w:left="640" w:right="639" w:firstLine="516"/>
        <w:spacing w:after="0" w:line="244" w:lineRule="auto"/>
        <w:rPr>
          <w:sz w:val="20"/>
          <w:szCs w:val="20"/>
          <w:color w:val="auto"/>
        </w:rPr>
      </w:pPr>
      <w:r>
        <w:rPr>
          <w:rFonts w:ascii="Arial" w:cs="Arial" w:eastAsia="Arial" w:hAnsi="Arial"/>
          <w:sz w:val="13"/>
          <w:szCs w:val="13"/>
          <w:color w:val="231F20"/>
        </w:rPr>
        <w:t>As of June 30, 2024, we had 408 properties aggregating 42.1 million operating RSF in key cluster locations, including Greater Boston, the San Francisco Bay Area, San Diego, Seattle, Maryland, Research Triangle, and New York City. We primarily focus on developing Class A/A+ properties in AAA innovation cluster locations that offer the scale and strategic design integral to our mega campus strategy. Strategically located near top academic medical institutions and equipped with curated amenities, services, and transit access, our mega campuses are designed to support our tenants in attracting and retaining top talent, which we believe is a key driver of tenant demand for our properties.</w:t>
      </w:r>
    </w:p>
    <w:p>
      <w:pPr>
        <w:spacing w:after="0" w:line="130" w:lineRule="exact"/>
        <w:rPr>
          <w:sz w:val="20"/>
          <w:szCs w:val="20"/>
          <w:color w:val="auto"/>
        </w:rPr>
      </w:pPr>
    </w:p>
    <w:p>
      <w:pPr>
        <w:ind w:left="640" w:right="719" w:firstLine="516"/>
        <w:spacing w:after="0" w:line="272" w:lineRule="auto"/>
        <w:rPr>
          <w:sz w:val="20"/>
          <w:szCs w:val="20"/>
          <w:color w:val="auto"/>
        </w:rPr>
      </w:pPr>
      <w:r>
        <w:rPr>
          <w:rFonts w:ascii="Arial" w:cs="Arial" w:eastAsia="Arial" w:hAnsi="Arial"/>
          <w:sz w:val="13"/>
          <w:szCs w:val="13"/>
          <w:color w:val="231F20"/>
        </w:rPr>
        <w:t>As of June 30, 2024, all leases in which we are the lessor were classified as operating leases, with the exception of one direct financing lease. Our leases are described below.</w:t>
      </w:r>
    </w:p>
    <w:p>
      <w:pPr>
        <w:spacing w:after="0" w:line="114" w:lineRule="exact"/>
        <w:rPr>
          <w:sz w:val="20"/>
          <w:szCs w:val="20"/>
          <w:color w:val="auto"/>
        </w:rPr>
      </w:pPr>
    </w:p>
    <w:p>
      <w:pPr>
        <w:ind w:left="640"/>
        <w:spacing w:after="0"/>
        <w:rPr>
          <w:sz w:val="20"/>
          <w:szCs w:val="20"/>
          <w:color w:val="auto"/>
        </w:rPr>
      </w:pPr>
      <w:r>
        <w:rPr>
          <w:rFonts w:ascii="Arial" w:cs="Arial" w:eastAsia="Arial" w:hAnsi="Arial"/>
          <w:sz w:val="13"/>
          <w:szCs w:val="13"/>
          <w:i w:val="1"/>
          <w:iCs w:val="1"/>
          <w:color w:val="auto"/>
        </w:rPr>
        <w:t>Operating leases</w:t>
      </w:r>
    </w:p>
    <w:p>
      <w:pPr>
        <w:spacing w:after="0" w:line="160" w:lineRule="exact"/>
        <w:rPr>
          <w:sz w:val="20"/>
          <w:szCs w:val="20"/>
          <w:color w:val="auto"/>
        </w:rPr>
      </w:pPr>
    </w:p>
    <w:p>
      <w:pPr>
        <w:ind w:left="640" w:right="639" w:firstLine="516"/>
        <w:spacing w:after="0" w:line="277" w:lineRule="auto"/>
        <w:rPr>
          <w:sz w:val="20"/>
          <w:szCs w:val="20"/>
          <w:color w:val="auto"/>
        </w:rPr>
      </w:pPr>
      <w:r>
        <w:rPr>
          <w:rFonts w:ascii="Arial" w:cs="Arial" w:eastAsia="Arial" w:hAnsi="Arial"/>
          <w:sz w:val="12"/>
          <w:szCs w:val="12"/>
          <w:color w:val="231F20"/>
        </w:rPr>
        <w:t xml:space="preserve">As of June 30, 2024, our 408 </w:t>
      </w:r>
      <w:r>
        <w:rPr>
          <w:rFonts w:ascii="Arial" w:cs="Arial" w:eastAsia="Arial" w:hAnsi="Arial"/>
          <w:sz w:val="12"/>
          <w:szCs w:val="12"/>
          <w:color w:val="000000"/>
        </w:rPr>
        <w:t>properties were subject to operating lease agreements. Two of these properties, representing</w:t>
      </w:r>
      <w:r>
        <w:rPr>
          <w:rFonts w:ascii="Arial" w:cs="Arial" w:eastAsia="Arial" w:hAnsi="Arial"/>
          <w:sz w:val="12"/>
          <w:szCs w:val="12"/>
          <w:color w:val="231F20"/>
        </w:rPr>
        <w:t xml:space="preserve"> </w:t>
      </w:r>
      <w:r>
        <w:rPr>
          <w:rFonts w:ascii="Arial" w:cs="Arial" w:eastAsia="Arial" w:hAnsi="Arial"/>
          <w:sz w:val="12"/>
          <w:szCs w:val="12"/>
          <w:color w:val="000000"/>
        </w:rPr>
        <w:t xml:space="preserve">two land parcels, are subject to lease agreements that each contain an option for the lessee to purchase the underlying asset from us at fair market value during each of the 30-day periods commencing on the dates that are 15 years, 30 years, and 74.5 years after the rent commencement date of October 1, 2017. The remaining lease term related to each of the two land parcels </w:t>
      </w:r>
      <w:r>
        <w:rPr>
          <w:rFonts w:ascii="Arial" w:cs="Arial" w:eastAsia="Arial" w:hAnsi="Arial"/>
          <w:sz w:val="12"/>
          <w:szCs w:val="12"/>
          <w:color w:val="000000"/>
          <w:highlight w:val="white"/>
        </w:rPr>
        <w:t>is 68.4 years.</w:t>
      </w:r>
      <w:r>
        <w:rPr>
          <w:rFonts w:ascii="Arial" w:cs="Arial" w:eastAsia="Arial" w:hAnsi="Arial"/>
          <w:sz w:val="12"/>
          <w:szCs w:val="12"/>
          <w:color w:val="000000"/>
        </w:rPr>
        <w:t xml:space="preserve"> Our leases generally contain options to extend lease terms at prevailing market rates at the time of expiration. Certain operating leases contain early termination options that require advance notification and payment of a penalty, which in most cases is substantial enough to be deemed economically disadvantageous by a tenant to exercise. Future lease payments to be received under the terms of our operating lease agreements, excluding expense reimbursements, in effect as of June 30, 2024 are outlined in the table below (in thousands):</w:t>
      </w:r>
    </w:p>
    <w:p>
      <w:pPr>
        <w:spacing w:after="0" w:line="111"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6300" w:type="dxa"/>
            <w:vAlign w:val="bottom"/>
            <w:gridSpan w:val="2"/>
          </w:tcPr>
          <w:p>
            <w:pPr>
              <w:jc w:val="center"/>
              <w:ind w:right="40"/>
              <w:spacing w:after="0"/>
              <w:rPr>
                <w:sz w:val="20"/>
                <w:szCs w:val="20"/>
                <w:color w:val="auto"/>
              </w:rPr>
            </w:pPr>
            <w:r>
              <w:rPr>
                <w:rFonts w:ascii="Arial" w:cs="Arial" w:eastAsia="Arial" w:hAnsi="Arial"/>
                <w:sz w:val="13"/>
                <w:szCs w:val="13"/>
                <w:color w:val="auto"/>
                <w:w w:val="94"/>
              </w:rPr>
              <w:t>Year</w:t>
            </w:r>
          </w:p>
        </w:tc>
        <w:tc>
          <w:tcPr>
            <w:tcW w:w="300" w:type="dxa"/>
            <w:vAlign w:val="bottom"/>
          </w:tcPr>
          <w:p>
            <w:pPr>
              <w:spacing w:after="0"/>
              <w:rPr>
                <w:sz w:val="13"/>
                <w:szCs w:val="13"/>
                <w:color w:val="auto"/>
              </w:rPr>
            </w:pPr>
          </w:p>
        </w:tc>
        <w:tc>
          <w:tcPr>
            <w:tcW w:w="1120" w:type="dxa"/>
            <w:vAlign w:val="bottom"/>
          </w:tcPr>
          <w:p>
            <w:pPr>
              <w:jc w:val="right"/>
              <w:ind w:right="416"/>
              <w:spacing w:after="0"/>
              <w:rPr>
                <w:sz w:val="20"/>
                <w:szCs w:val="20"/>
                <w:color w:val="auto"/>
              </w:rPr>
            </w:pPr>
            <w:r>
              <w:rPr>
                <w:rFonts w:ascii="Arial" w:cs="Arial" w:eastAsia="Arial" w:hAnsi="Arial"/>
                <w:sz w:val="13"/>
                <w:szCs w:val="13"/>
                <w:color w:val="auto"/>
              </w:rPr>
              <w:t>Amount</w:t>
            </w:r>
          </w:p>
        </w:tc>
      </w:tr>
      <w:tr>
        <w:trPr>
          <w:trHeight w:val="184"/>
        </w:trPr>
        <w:tc>
          <w:tcPr>
            <w:tcW w:w="62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6"/>
              </w:rPr>
              <w:t>2024</w:t>
            </w:r>
          </w:p>
        </w:tc>
        <w:tc>
          <w:tcPr>
            <w:tcW w:w="6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973,926</w:t>
            </w:r>
          </w:p>
        </w:tc>
      </w:tr>
      <w:tr>
        <w:trPr>
          <w:trHeight w:val="204"/>
        </w:trPr>
        <w:tc>
          <w:tcPr>
            <w:tcW w:w="6240" w:type="dxa"/>
            <w:vAlign w:val="bottom"/>
          </w:tcPr>
          <w:p>
            <w:pPr>
              <w:jc w:val="center"/>
              <w:spacing w:after="0"/>
              <w:rPr>
                <w:sz w:val="20"/>
                <w:szCs w:val="20"/>
                <w:color w:val="auto"/>
              </w:rPr>
            </w:pPr>
            <w:r>
              <w:rPr>
                <w:rFonts w:ascii="Arial" w:cs="Arial" w:eastAsia="Arial" w:hAnsi="Arial"/>
                <w:sz w:val="13"/>
                <w:szCs w:val="13"/>
                <w:color w:val="auto"/>
                <w:w w:val="96"/>
              </w:rPr>
              <w:t>2025</w:t>
            </w: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1,911,248</w:t>
            </w:r>
          </w:p>
        </w:tc>
      </w:tr>
      <w:tr>
        <w:trPr>
          <w:trHeight w:val="204"/>
        </w:trPr>
        <w:tc>
          <w:tcPr>
            <w:tcW w:w="62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2026</w:t>
            </w: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1,852,109</w:t>
            </w:r>
          </w:p>
        </w:tc>
      </w:tr>
      <w:tr>
        <w:trPr>
          <w:trHeight w:val="204"/>
        </w:trPr>
        <w:tc>
          <w:tcPr>
            <w:tcW w:w="6240" w:type="dxa"/>
            <w:vAlign w:val="bottom"/>
          </w:tcPr>
          <w:p>
            <w:pPr>
              <w:jc w:val="center"/>
              <w:spacing w:after="0"/>
              <w:rPr>
                <w:sz w:val="20"/>
                <w:szCs w:val="20"/>
                <w:color w:val="auto"/>
              </w:rPr>
            </w:pPr>
            <w:r>
              <w:rPr>
                <w:rFonts w:ascii="Arial" w:cs="Arial" w:eastAsia="Arial" w:hAnsi="Arial"/>
                <w:sz w:val="13"/>
                <w:szCs w:val="13"/>
                <w:color w:val="auto"/>
                <w:w w:val="96"/>
              </w:rPr>
              <w:t>2027</w:t>
            </w: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1,769,872</w:t>
            </w:r>
          </w:p>
        </w:tc>
      </w:tr>
      <w:tr>
        <w:trPr>
          <w:trHeight w:val="204"/>
        </w:trPr>
        <w:tc>
          <w:tcPr>
            <w:tcW w:w="62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2028</w:t>
            </w: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1,631,328</w:t>
            </w:r>
          </w:p>
        </w:tc>
      </w:tr>
      <w:tr>
        <w:trPr>
          <w:trHeight w:val="204"/>
        </w:trPr>
        <w:tc>
          <w:tcPr>
            <w:tcW w:w="6300" w:type="dxa"/>
            <w:vAlign w:val="bottom"/>
            <w:tcBorders>
              <w:bottom w:val="single" w:sz="8" w:color="CCEEFF"/>
            </w:tcBorders>
            <w:gridSpan w:val="2"/>
          </w:tcPr>
          <w:p>
            <w:pPr>
              <w:jc w:val="center"/>
              <w:ind w:right="60"/>
              <w:spacing w:after="0"/>
              <w:rPr>
                <w:sz w:val="20"/>
                <w:szCs w:val="20"/>
                <w:color w:val="auto"/>
              </w:rPr>
            </w:pPr>
            <w:r>
              <w:rPr>
                <w:rFonts w:ascii="Arial" w:cs="Arial" w:eastAsia="Arial" w:hAnsi="Arial"/>
                <w:sz w:val="13"/>
                <w:szCs w:val="13"/>
                <w:color w:val="auto"/>
                <w:w w:val="99"/>
              </w:rPr>
              <w:t>Thereafter</w:t>
            </w: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11,045,840</w:t>
            </w:r>
          </w:p>
        </w:tc>
      </w:tr>
      <w:tr>
        <w:trPr>
          <w:trHeight w:val="188"/>
        </w:trPr>
        <w:tc>
          <w:tcPr>
            <w:tcW w:w="630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Arial" w:cs="Arial" w:eastAsia="Arial" w:hAnsi="Arial"/>
                <w:sz w:val="13"/>
                <w:szCs w:val="13"/>
                <w:color w:val="auto"/>
                <w:w w:val="96"/>
              </w:rPr>
              <w:t>Total</w:t>
            </w:r>
          </w:p>
        </w:tc>
        <w:tc>
          <w:tcPr>
            <w:tcW w:w="30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19,184,323</w:t>
            </w: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640" w:right="939" w:firstLine="516"/>
        <w:spacing w:after="0" w:line="289" w:lineRule="auto"/>
        <w:rPr>
          <w:sz w:val="20"/>
          <w:szCs w:val="20"/>
          <w:color w:val="auto"/>
        </w:rPr>
      </w:pPr>
      <w:r>
        <w:rPr>
          <w:rFonts w:ascii="Arial" w:cs="Arial" w:eastAsia="Arial" w:hAnsi="Arial"/>
          <w:sz w:val="13"/>
          <w:szCs w:val="13"/>
          <w:color w:val="auto"/>
        </w:rPr>
        <w:t>Refer to Note 3 – “Investments in real estate” to our unaudited consolidated financial statements for additional information about our owned real estate assets, which are the underlying assets under our operating leases.</w:t>
      </w:r>
    </w:p>
    <w:p>
      <w:pPr>
        <w:spacing w:after="0" w:line="114" w:lineRule="exact"/>
        <w:rPr>
          <w:sz w:val="20"/>
          <w:szCs w:val="20"/>
          <w:color w:val="auto"/>
        </w:rPr>
      </w:pPr>
    </w:p>
    <w:p>
      <w:pPr>
        <w:ind w:left="640"/>
        <w:spacing w:after="0"/>
        <w:rPr>
          <w:sz w:val="20"/>
          <w:szCs w:val="20"/>
          <w:color w:val="auto"/>
        </w:rPr>
      </w:pPr>
      <w:r>
        <w:rPr>
          <w:rFonts w:ascii="Arial" w:cs="Arial" w:eastAsia="Arial" w:hAnsi="Arial"/>
          <w:sz w:val="13"/>
          <w:szCs w:val="13"/>
          <w:i w:val="1"/>
          <w:iCs w:val="1"/>
          <w:color w:val="auto"/>
        </w:rPr>
        <w:t>Direct financing lease</w:t>
      </w:r>
    </w:p>
    <w:p>
      <w:pPr>
        <w:spacing w:after="0" w:line="149" w:lineRule="exact"/>
        <w:rPr>
          <w:sz w:val="20"/>
          <w:szCs w:val="20"/>
          <w:color w:val="auto"/>
        </w:rPr>
      </w:pPr>
    </w:p>
    <w:p>
      <w:pPr>
        <w:ind w:left="640" w:right="839" w:firstLine="516"/>
        <w:spacing w:after="0" w:line="263" w:lineRule="auto"/>
        <w:rPr>
          <w:sz w:val="20"/>
          <w:szCs w:val="20"/>
          <w:color w:val="auto"/>
        </w:rPr>
      </w:pPr>
      <w:r>
        <w:rPr>
          <w:rFonts w:ascii="Arial" w:cs="Arial" w:eastAsia="Arial" w:hAnsi="Arial"/>
          <w:sz w:val="13"/>
          <w:szCs w:val="13"/>
          <w:color w:val="auto"/>
        </w:rPr>
        <w:t xml:space="preserve">As of June 30, 2024, we had one direct financing lease agreement, with a net investment balance of $40.5 million, for a parking structure with a remaining lease </w:t>
      </w:r>
      <w:r>
        <w:rPr>
          <w:rFonts w:ascii="Arial" w:cs="Arial" w:eastAsia="Arial" w:hAnsi="Arial"/>
          <w:sz w:val="13"/>
          <w:szCs w:val="13"/>
          <w:color w:val="auto"/>
          <w:highlight w:val="white"/>
        </w:rPr>
        <w:t>term of 68.4 years.</w:t>
      </w:r>
      <w:r>
        <w:rPr>
          <w:rFonts w:ascii="Arial" w:cs="Arial" w:eastAsia="Arial" w:hAnsi="Arial"/>
          <w:sz w:val="13"/>
          <w:szCs w:val="13"/>
          <w:color w:val="auto"/>
        </w:rPr>
        <w:t xml:space="preserve"> The lessee has an option to purchase the underlying asset at fair market value during each of the 30-day periods commencing on the dates that are 15 years, 30 years, and 74.5 years after the rent commencement date of October 1, 2017.</w:t>
      </w:r>
    </w:p>
    <w:p>
      <w:pPr>
        <w:spacing w:after="0" w:line="118" w:lineRule="exact"/>
        <w:rPr>
          <w:sz w:val="20"/>
          <w:szCs w:val="20"/>
          <w:color w:val="auto"/>
        </w:rPr>
      </w:pPr>
    </w:p>
    <w:p>
      <w:pPr>
        <w:ind w:left="640" w:right="859" w:firstLine="516"/>
        <w:spacing w:after="0" w:line="289" w:lineRule="auto"/>
        <w:rPr>
          <w:sz w:val="20"/>
          <w:szCs w:val="20"/>
          <w:color w:val="auto"/>
        </w:rPr>
      </w:pPr>
      <w:r>
        <w:rPr>
          <w:rFonts w:ascii="Arial" w:cs="Arial" w:eastAsia="Arial" w:hAnsi="Arial"/>
          <w:sz w:val="13"/>
          <w:szCs w:val="13"/>
          <w:color w:val="auto"/>
        </w:rPr>
        <w:t>The components of our aggregate net investment in our direct financing lease as of June 30, 2024 and December 31, 2023 are summarized in the table below (in thousands):</w:t>
      </w:r>
    </w:p>
    <w:p>
      <w:pPr>
        <w:sectPr>
          <w:pgSz w:w="11900" w:h="16867" w:orient="portrait"/>
          <w:cols w:equalWidth="0" w:num="1">
            <w:col w:w="9019"/>
          </w:cols>
          <w:pgMar w:left="1440" w:top="119" w:right="1440" w:bottom="0" w:gutter="0" w:footer="0" w:header="0"/>
        </w:sectPr>
      </w:pPr>
    </w:p>
    <w:p>
      <w:pPr>
        <w:spacing w:after="0" w:line="16" w:lineRule="exact"/>
        <w:rPr>
          <w:sz w:val="20"/>
          <w:szCs w:val="20"/>
          <w:color w:val="auto"/>
        </w:rPr>
      </w:pPr>
    </w:p>
    <w:p>
      <w:pPr>
        <w:ind w:left="5980"/>
        <w:spacing w:after="0"/>
        <w:rPr>
          <w:sz w:val="20"/>
          <w:szCs w:val="20"/>
          <w:color w:val="auto"/>
        </w:rPr>
      </w:pPr>
      <w:r>
        <w:rPr>
          <w:rFonts w:ascii="Arial" w:cs="Arial" w:eastAsia="Arial" w:hAnsi="Arial"/>
          <w:sz w:val="12"/>
          <w:szCs w:val="12"/>
          <w:color w:val="auto"/>
        </w:rPr>
        <w:t>June 30, 2024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December 31, 2023</w:t>
      </w:r>
    </w:p>
    <w:p>
      <w:pPr>
        <w:spacing w:after="0" w:line="66" w:lineRule="exact"/>
        <w:rPr>
          <w:sz w:val="20"/>
          <w:szCs w:val="20"/>
          <w:color w:val="auto"/>
        </w:rPr>
      </w:pPr>
    </w:p>
    <w:p>
      <w:pPr>
        <w:sectPr>
          <w:pgSz w:w="11900" w:h="16867" w:orient="portrait"/>
          <w:cols w:equalWidth="0" w:num="2">
            <w:col w:w="6800" w:space="380"/>
            <w:col w:w="1839"/>
          </w:cols>
          <w:pgMar w:left="1440" w:top="119" w:right="1440" w:bottom="0" w:gutter="0" w:footer="0" w:header="0"/>
          <w:type w:val="continuous"/>
        </w:sectPr>
      </w:pPr>
    </w:p>
    <w:p>
      <w:pPr>
        <w:ind w:left="680"/>
        <w:spacing w:after="0"/>
        <w:rPr>
          <w:sz w:val="20"/>
          <w:szCs w:val="20"/>
          <w:color w:val="auto"/>
        </w:rPr>
      </w:pPr>
      <w:r>
        <w:rPr>
          <w:rFonts w:ascii="Arial" w:cs="Arial" w:eastAsia="Arial" w:hAnsi="Arial"/>
          <w:sz w:val="12"/>
          <w:szCs w:val="12"/>
          <w:color w:val="auto"/>
        </w:rPr>
        <w:t>Gross investment in direct financing lease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252,368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253,324</w:t>
      </w:r>
    </w:p>
    <w:p>
      <w:pPr>
        <w:sectPr>
          <w:pgSz w:w="11900" w:h="16867" w:orient="portrait"/>
          <w:cols w:equalWidth="0" w:num="5">
            <w:col w:w="5060" w:space="720"/>
            <w:col w:w="80" w:space="640"/>
            <w:col w:w="480" w:space="200"/>
            <w:col w:w="80" w:space="580"/>
            <w:col w:w="1179"/>
          </w:cols>
          <w:pgMar w:left="1440" w:top="119" w:right="1440" w:bottom="0" w:gutter="0" w:footer="0" w:header="0"/>
          <w:type w:val="continuous"/>
        </w:sectPr>
      </w:pPr>
    </w:p>
    <w:bookmarkStart w:id="20" w:name="page21"/>
    <w:bookmarkEnd w:id="20"/>
    <w:p>
      <w:pPr>
        <w:spacing w:after="0" w:line="9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982345</wp:posOffset>
            </wp:positionH>
            <wp:positionV relativeFrom="page">
              <wp:posOffset>88900</wp:posOffset>
            </wp:positionV>
            <wp:extent cx="5584190" cy="15030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584190" cy="1503045"/>
                    </a:xfrm>
                    <a:prstGeom prst="rect">
                      <a:avLst/>
                    </a:prstGeom>
                    <a:noFill/>
                  </pic:spPr>
                </pic:pic>
              </a:graphicData>
            </a:graphic>
          </wp:anchor>
        </w:drawing>
      </w:r>
    </w:p>
    <w:tbl>
      <w:tblPr>
        <w:tblLayout w:type="fixed"/>
        <w:tblInd w:w="640" w:type="dxa"/>
        <w:tblCellMar>
          <w:top w:w="0" w:type="dxa"/>
          <w:left w:w="0" w:type="dxa"/>
          <w:bottom w:w="0" w:type="dxa"/>
          <w:right w:w="0" w:type="dxa"/>
        </w:tblCellMar>
      </w:tblPr>
      <w:tr>
        <w:trPr>
          <w:trHeight w:val="169"/>
        </w:trPr>
        <w:tc>
          <w:tcPr>
            <w:tcW w:w="5100" w:type="dxa"/>
            <w:vAlign w:val="bottom"/>
          </w:tcPr>
          <w:p>
            <w:pPr>
              <w:ind w:left="40"/>
              <w:spacing w:after="0"/>
              <w:rPr>
                <w:sz w:val="20"/>
                <w:szCs w:val="20"/>
                <w:color w:val="auto"/>
              </w:rPr>
            </w:pPr>
            <w:r>
              <w:rPr>
                <w:rFonts w:ascii="Arial" w:cs="Arial" w:eastAsia="Arial" w:hAnsi="Arial"/>
                <w:sz w:val="13"/>
                <w:szCs w:val="13"/>
                <w:color w:val="auto"/>
              </w:rPr>
              <w:t>Less: unearned income on direct financing lease</w:t>
            </w:r>
          </w:p>
        </w:tc>
        <w:tc>
          <w:tcPr>
            <w:tcW w:w="4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(209,067)</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(210,388)</w:t>
            </w:r>
          </w:p>
        </w:tc>
      </w:tr>
      <w:tr>
        <w:trPr>
          <w:trHeight w:val="24"/>
        </w:trPr>
        <w:tc>
          <w:tcPr>
            <w:tcW w:w="5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64"/>
        </w:trPr>
        <w:tc>
          <w:tcPr>
            <w:tcW w:w="5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Less: allowance for credit losses</w:t>
            </w:r>
          </w:p>
        </w:tc>
        <w:tc>
          <w:tcPr>
            <w:tcW w:w="42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(2,839)</w:t>
            </w:r>
          </w:p>
        </w:tc>
        <w:tc>
          <w:tcPr>
            <w:tcW w:w="12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(2,839)</w:t>
            </w:r>
          </w:p>
        </w:tc>
      </w:tr>
      <w:tr>
        <w:trPr>
          <w:trHeight w:val="180"/>
        </w:trPr>
        <w:tc>
          <w:tcPr>
            <w:tcW w:w="5100" w:type="dxa"/>
            <w:vAlign w:val="bottom"/>
          </w:tcPr>
          <w:p>
            <w:pPr>
              <w:ind w:left="40"/>
              <w:spacing w:after="0"/>
              <w:rPr>
                <w:sz w:val="20"/>
                <w:szCs w:val="20"/>
                <w:color w:val="auto"/>
              </w:rPr>
            </w:pPr>
            <w:r>
              <w:rPr>
                <w:rFonts w:ascii="Arial" w:cs="Arial" w:eastAsia="Arial" w:hAnsi="Arial"/>
                <w:sz w:val="13"/>
                <w:szCs w:val="13"/>
                <w:color w:val="auto"/>
              </w:rPr>
              <w:t>Net investment in direct financing lease</w:t>
            </w:r>
          </w:p>
        </w:tc>
        <w:tc>
          <w:tcPr>
            <w:tcW w:w="420" w:type="dxa"/>
            <w:vAlign w:val="bottom"/>
          </w:tcPr>
          <w:p>
            <w:pPr>
              <w:jc w:val="right"/>
              <w:ind w:right="236"/>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40,462</w:t>
            </w:r>
          </w:p>
        </w:tc>
        <w:tc>
          <w:tcPr>
            <w:tcW w:w="120" w:type="dxa"/>
            <w:vAlign w:val="bottom"/>
          </w:tcPr>
          <w:p>
            <w:pPr>
              <w:spacing w:after="0"/>
              <w:rPr>
                <w:sz w:val="15"/>
                <w:szCs w:val="15"/>
                <w:color w:val="auto"/>
              </w:rPr>
            </w:pPr>
          </w:p>
        </w:tc>
        <w:tc>
          <w:tcPr>
            <w:tcW w:w="380" w:type="dxa"/>
            <w:vAlign w:val="bottom"/>
          </w:tcPr>
          <w:p>
            <w:pPr>
              <w:jc w:val="right"/>
              <w:ind w:right="196"/>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40,097</w:t>
            </w:r>
          </w:p>
        </w:tc>
      </w:tr>
    </w:tbl>
    <w:p>
      <w:pPr>
        <w:spacing w:after="0" w:line="175" w:lineRule="exact"/>
        <w:rPr>
          <w:sz w:val="20"/>
          <w:szCs w:val="20"/>
          <w:color w:val="auto"/>
        </w:rPr>
      </w:pPr>
    </w:p>
    <w:p>
      <w:pPr>
        <w:ind w:left="640" w:right="679" w:firstLine="516"/>
        <w:spacing w:after="0" w:line="265" w:lineRule="auto"/>
        <w:rPr>
          <w:sz w:val="20"/>
          <w:szCs w:val="20"/>
          <w:color w:val="auto"/>
        </w:rPr>
      </w:pPr>
      <w:r>
        <w:rPr>
          <w:rFonts w:ascii="Arial" w:cs="Arial" w:eastAsia="Arial" w:hAnsi="Arial"/>
          <w:sz w:val="13"/>
          <w:szCs w:val="13"/>
          <w:color w:val="auto"/>
        </w:rPr>
        <w:t>As of June 30, 2024, our estimated credit loss related to our direct financing leas</w:t>
      </w:r>
      <w:r>
        <w:rPr>
          <w:rFonts w:ascii="Arial" w:cs="Arial" w:eastAsia="Arial" w:hAnsi="Arial"/>
          <w:sz w:val="13"/>
          <w:szCs w:val="13"/>
          <w:color w:val="auto"/>
          <w:strike w:val="1"/>
        </w:rPr>
        <w:t>e was $2.8 million. No</w:t>
      </w:r>
      <w:r>
        <w:rPr>
          <w:rFonts w:ascii="Arial" w:cs="Arial" w:eastAsia="Arial" w:hAnsi="Arial"/>
          <w:sz w:val="13"/>
          <w:szCs w:val="13"/>
          <w:color w:val="auto"/>
        </w:rPr>
        <w:t xml:space="preserve"> adjustment to the estimated credit loss balance was required during the six months ended June 30, 2024. F</w:t>
      </w:r>
      <w:r>
        <w:rPr>
          <w:rFonts w:ascii="Arial" w:cs="Arial" w:eastAsia="Arial" w:hAnsi="Arial"/>
          <w:sz w:val="13"/>
          <w:szCs w:val="13"/>
          <w:color w:val="auto"/>
          <w:strike w:val="1"/>
        </w:rPr>
        <w:t>or further details, refer</w:t>
      </w:r>
      <w:r>
        <w:rPr>
          <w:rFonts w:ascii="Arial" w:cs="Arial" w:eastAsia="Arial" w:hAnsi="Arial"/>
          <w:sz w:val="13"/>
          <w:szCs w:val="13"/>
          <w:color w:val="auto"/>
        </w:rPr>
        <w:t xml:space="preserve"> to </w:t>
      </w:r>
      <w:r>
        <w:rPr>
          <w:rFonts w:ascii="Arial" w:cs="Arial" w:eastAsia="Arial" w:hAnsi="Arial"/>
          <w:sz w:val="13"/>
          <w:szCs w:val="13"/>
          <w:color w:val="auto"/>
          <w:strike w:val="1"/>
        </w:rPr>
        <w:t>“Allowance for credit</w:t>
      </w:r>
      <w:r>
        <w:rPr>
          <w:rFonts w:ascii="Arial" w:cs="Arial" w:eastAsia="Arial" w:hAnsi="Arial"/>
          <w:sz w:val="13"/>
          <w:szCs w:val="13"/>
          <w:color w:val="auto"/>
        </w:rPr>
        <w:t xml:space="preserve"> losses” in Note 2 – “Summary of significant accounting policies” to our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188595</wp:posOffset>
            </wp:positionV>
            <wp:extent cx="5584190" cy="72205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900" w:hanging="262"/>
        <w:spacing w:after="0"/>
        <w:tabs>
          <w:tab w:leader="none" w:pos="900" w:val="left"/>
        </w:tabs>
        <w:numPr>
          <w:ilvl w:val="0"/>
          <w:numId w:val="42"/>
        </w:numPr>
        <w:rPr>
          <w:rFonts w:ascii="Arial" w:cs="Arial" w:eastAsia="Arial" w:hAnsi="Arial"/>
          <w:sz w:val="13"/>
          <w:szCs w:val="13"/>
          <w:b w:val="1"/>
          <w:bCs w:val="1"/>
          <w:color w:val="00497F"/>
        </w:rPr>
      </w:pPr>
      <w:r>
        <w:rPr>
          <w:rFonts w:ascii="Arial" w:cs="Arial" w:eastAsia="Arial" w:hAnsi="Arial"/>
          <w:sz w:val="13"/>
          <w:szCs w:val="13"/>
          <w:b w:val="1"/>
          <w:bCs w:val="1"/>
          <w:color w:val="00497F"/>
        </w:rPr>
        <w:t>LEASES (continued)</w:t>
      </w:r>
    </w:p>
    <w:p>
      <w:pPr>
        <w:spacing w:after="0" w:line="87" w:lineRule="exact"/>
        <w:rPr>
          <w:sz w:val="20"/>
          <w:szCs w:val="20"/>
          <w:color w:val="auto"/>
        </w:rPr>
      </w:pPr>
    </w:p>
    <w:p>
      <w:pPr>
        <w:ind w:left="640" w:right="939" w:firstLine="516"/>
        <w:spacing w:after="0" w:line="272" w:lineRule="auto"/>
        <w:rPr>
          <w:sz w:val="20"/>
          <w:szCs w:val="20"/>
          <w:color w:val="auto"/>
        </w:rPr>
      </w:pPr>
      <w:r>
        <w:rPr>
          <w:rFonts w:ascii="Arial" w:cs="Arial" w:eastAsia="Arial" w:hAnsi="Arial"/>
          <w:sz w:val="13"/>
          <w:szCs w:val="13"/>
          <w:color w:val="auto"/>
        </w:rPr>
        <w:t>Future lease payments to be received under the terms of our direct financing lease as of June 30, 2024 are outlined in the table below (in thousands):</w:t>
      </w:r>
    </w:p>
    <w:p>
      <w:pPr>
        <w:spacing w:after="0" w:line="16"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6300" w:type="dxa"/>
            <w:vAlign w:val="bottom"/>
            <w:gridSpan w:val="2"/>
          </w:tcPr>
          <w:p>
            <w:pPr>
              <w:jc w:val="center"/>
              <w:ind w:right="120"/>
              <w:spacing w:after="0"/>
              <w:rPr>
                <w:sz w:val="20"/>
                <w:szCs w:val="20"/>
                <w:color w:val="auto"/>
              </w:rPr>
            </w:pPr>
            <w:r>
              <w:rPr>
                <w:rFonts w:ascii="Arial" w:cs="Arial" w:eastAsia="Arial" w:hAnsi="Arial"/>
                <w:sz w:val="13"/>
                <w:szCs w:val="13"/>
                <w:color w:val="auto"/>
                <w:w w:val="94"/>
              </w:rPr>
              <w:t>Year</w:t>
            </w:r>
          </w:p>
        </w:tc>
        <w:tc>
          <w:tcPr>
            <w:tcW w:w="340" w:type="dxa"/>
            <w:vAlign w:val="bottom"/>
          </w:tcPr>
          <w:p>
            <w:pPr>
              <w:spacing w:after="0"/>
              <w:rPr>
                <w:sz w:val="13"/>
                <w:szCs w:val="13"/>
                <w:color w:val="auto"/>
              </w:rPr>
            </w:pPr>
          </w:p>
        </w:tc>
        <w:tc>
          <w:tcPr>
            <w:tcW w:w="1100" w:type="dxa"/>
            <w:vAlign w:val="bottom"/>
          </w:tcPr>
          <w:p>
            <w:pPr>
              <w:jc w:val="right"/>
              <w:ind w:right="516"/>
              <w:spacing w:after="0"/>
              <w:rPr>
                <w:sz w:val="20"/>
                <w:szCs w:val="20"/>
                <w:color w:val="auto"/>
              </w:rPr>
            </w:pPr>
            <w:r>
              <w:rPr>
                <w:rFonts w:ascii="Arial" w:cs="Arial" w:eastAsia="Arial" w:hAnsi="Arial"/>
                <w:sz w:val="13"/>
                <w:szCs w:val="13"/>
                <w:color w:val="auto"/>
              </w:rPr>
              <w:t>Total</w:t>
            </w:r>
          </w:p>
        </w:tc>
      </w:tr>
      <w:tr>
        <w:trPr>
          <w:trHeight w:val="163"/>
        </w:trPr>
        <w:tc>
          <w:tcPr>
            <w:tcW w:w="6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rPr>
              <w:t>2024</w:t>
            </w:r>
          </w:p>
        </w:tc>
        <w:tc>
          <w:tcPr>
            <w:tcW w:w="12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jc w:val="right"/>
              <w:ind w:right="156"/>
              <w:spacing w:after="0"/>
              <w:rPr>
                <w:sz w:val="20"/>
                <w:szCs w:val="20"/>
                <w:color w:val="auto"/>
              </w:rPr>
            </w:pPr>
            <w:r>
              <w:rPr>
                <w:rFonts w:ascii="Arial" w:cs="Arial" w:eastAsia="Arial" w:hAnsi="Arial"/>
                <w:sz w:val="13"/>
                <w:szCs w:val="13"/>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963</w:t>
            </w:r>
          </w:p>
        </w:tc>
      </w:tr>
      <w:tr>
        <w:trPr>
          <w:trHeight w:val="183"/>
        </w:trPr>
        <w:tc>
          <w:tcPr>
            <w:tcW w:w="6180" w:type="dxa"/>
            <w:vAlign w:val="bottom"/>
          </w:tcPr>
          <w:p>
            <w:pPr>
              <w:jc w:val="center"/>
              <w:spacing w:after="0"/>
              <w:rPr>
                <w:sz w:val="20"/>
                <w:szCs w:val="20"/>
                <w:color w:val="auto"/>
              </w:rPr>
            </w:pPr>
            <w:r>
              <w:rPr>
                <w:rFonts w:ascii="Arial" w:cs="Arial" w:eastAsia="Arial" w:hAnsi="Arial"/>
                <w:sz w:val="13"/>
                <w:szCs w:val="13"/>
                <w:color w:val="auto"/>
              </w:rPr>
              <w:t>2025</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1,976</w:t>
            </w:r>
          </w:p>
        </w:tc>
      </w:tr>
      <w:tr>
        <w:trPr>
          <w:trHeight w:val="183"/>
        </w:trPr>
        <w:tc>
          <w:tcPr>
            <w:tcW w:w="618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2026</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2,036</w:t>
            </w:r>
          </w:p>
        </w:tc>
      </w:tr>
      <w:tr>
        <w:trPr>
          <w:trHeight w:val="183"/>
        </w:trPr>
        <w:tc>
          <w:tcPr>
            <w:tcW w:w="6180" w:type="dxa"/>
            <w:vAlign w:val="bottom"/>
          </w:tcPr>
          <w:p>
            <w:pPr>
              <w:jc w:val="center"/>
              <w:spacing w:after="0"/>
              <w:rPr>
                <w:sz w:val="20"/>
                <w:szCs w:val="20"/>
                <w:color w:val="auto"/>
              </w:rPr>
            </w:pPr>
            <w:r>
              <w:rPr>
                <w:rFonts w:ascii="Arial" w:cs="Arial" w:eastAsia="Arial" w:hAnsi="Arial"/>
                <w:sz w:val="13"/>
                <w:szCs w:val="13"/>
                <w:color w:val="auto"/>
              </w:rPr>
              <w:t>2027</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2,097</w:t>
            </w:r>
          </w:p>
        </w:tc>
      </w:tr>
      <w:tr>
        <w:trPr>
          <w:trHeight w:val="183"/>
        </w:trPr>
        <w:tc>
          <w:tcPr>
            <w:tcW w:w="618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2028</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2,160</w:t>
            </w:r>
          </w:p>
        </w:tc>
      </w:tr>
      <w:tr>
        <w:trPr>
          <w:trHeight w:val="183"/>
        </w:trPr>
        <w:tc>
          <w:tcPr>
            <w:tcW w:w="6300" w:type="dxa"/>
            <w:vAlign w:val="bottom"/>
            <w:tcBorders>
              <w:bottom w:val="single" w:sz="8" w:color="CCEEFF"/>
            </w:tcBorders>
            <w:gridSpan w:val="2"/>
          </w:tcPr>
          <w:p>
            <w:pPr>
              <w:jc w:val="center"/>
              <w:ind w:right="120"/>
              <w:spacing w:after="0"/>
              <w:rPr>
                <w:sz w:val="20"/>
                <w:szCs w:val="20"/>
                <w:color w:val="auto"/>
              </w:rPr>
            </w:pPr>
            <w:r>
              <w:rPr>
                <w:rFonts w:ascii="Arial" w:cs="Arial" w:eastAsia="Arial" w:hAnsi="Arial"/>
                <w:sz w:val="13"/>
                <w:szCs w:val="13"/>
                <w:color w:val="auto"/>
                <w:w w:val="96"/>
              </w:rPr>
              <w:t>Thereafter</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243,136</w:t>
            </w:r>
          </w:p>
        </w:tc>
      </w:tr>
      <w:tr>
        <w:trPr>
          <w:trHeight w:val="166"/>
        </w:trPr>
        <w:tc>
          <w:tcPr>
            <w:tcW w:w="6300" w:type="dxa"/>
            <w:vAlign w:val="bottom"/>
            <w:tcBorders>
              <w:bottom w:val="single" w:sz="8" w:color="CCEEFF"/>
            </w:tcBorders>
            <w:gridSpan w:val="2"/>
            <w:shd w:val="clear" w:color="auto" w:fill="CCEEFF"/>
          </w:tcPr>
          <w:p>
            <w:pPr>
              <w:jc w:val="center"/>
              <w:ind w:right="120"/>
              <w:spacing w:after="0" w:line="141" w:lineRule="exact"/>
              <w:rPr>
                <w:sz w:val="20"/>
                <w:szCs w:val="20"/>
                <w:color w:val="auto"/>
              </w:rPr>
            </w:pPr>
            <w:r>
              <w:rPr>
                <w:rFonts w:ascii="Arial" w:cs="Arial" w:eastAsia="Arial" w:hAnsi="Arial"/>
                <w:sz w:val="13"/>
                <w:szCs w:val="13"/>
                <w:color w:val="auto"/>
                <w:w w:val="89"/>
              </w:rPr>
              <w:t>Total</w:t>
            </w:r>
          </w:p>
        </w:tc>
        <w:tc>
          <w:tcPr>
            <w:tcW w:w="340" w:type="dxa"/>
            <w:vAlign w:val="bottom"/>
            <w:tcBorders>
              <w:bottom w:val="single" w:sz="8" w:color="auto"/>
            </w:tcBorders>
            <w:shd w:val="clear" w:color="auto" w:fill="CCEEFF"/>
          </w:tcPr>
          <w:p>
            <w:pPr>
              <w:jc w:val="right"/>
              <w:ind w:right="156"/>
              <w:spacing w:after="0" w:line="141" w:lineRule="exact"/>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252,368</w:t>
            </w: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640"/>
        <w:spacing w:after="0"/>
        <w:rPr>
          <w:sz w:val="20"/>
          <w:szCs w:val="20"/>
          <w:color w:val="auto"/>
        </w:rPr>
      </w:pPr>
      <w:r>
        <w:rPr>
          <w:rFonts w:ascii="Arial" w:cs="Arial" w:eastAsia="Arial" w:hAnsi="Arial"/>
          <w:sz w:val="13"/>
          <w:szCs w:val="13"/>
          <w:i w:val="1"/>
          <w:iCs w:val="1"/>
          <w:color w:val="auto"/>
        </w:rPr>
        <w:t>Income from rentals</w:t>
      </w:r>
    </w:p>
    <w:p>
      <w:pPr>
        <w:spacing w:after="0" w:line="160" w:lineRule="exact"/>
        <w:rPr>
          <w:sz w:val="20"/>
          <w:szCs w:val="20"/>
          <w:color w:val="auto"/>
        </w:rPr>
      </w:pPr>
    </w:p>
    <w:p>
      <w:pPr>
        <w:ind w:left="640" w:right="839" w:firstLine="516"/>
        <w:spacing w:after="0" w:line="314" w:lineRule="auto"/>
        <w:rPr>
          <w:sz w:val="20"/>
          <w:szCs w:val="20"/>
          <w:color w:val="auto"/>
        </w:rPr>
      </w:pPr>
      <w:r>
        <w:rPr>
          <w:rFonts w:ascii="Arial" w:cs="Arial" w:eastAsia="Arial" w:hAnsi="Arial"/>
          <w:sz w:val="12"/>
          <w:szCs w:val="12"/>
          <w:color w:val="auto"/>
        </w:rPr>
        <w:t>Our income from rentals includes revenue related to agreements for the rental of our real estate, which primarily includes revenues subject to the lease accounting standard and the revenue recognition accounting standard as shown below (in thousands):</w:t>
      </w:r>
    </w:p>
    <w:p>
      <w:pPr>
        <w:spacing w:after="0" w:line="101"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3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20" w:type="dxa"/>
            <w:vAlign w:val="bottom"/>
            <w:gridSpan w:val="5"/>
          </w:tcPr>
          <w:p>
            <w:pPr>
              <w:ind w:left="20"/>
              <w:spacing w:after="0"/>
              <w:rPr>
                <w:sz w:val="20"/>
                <w:szCs w:val="20"/>
                <w:color w:val="auto"/>
              </w:rPr>
            </w:pPr>
            <w:r>
              <w:rPr>
                <w:rFonts w:ascii="Arial" w:cs="Arial" w:eastAsia="Arial" w:hAnsi="Arial"/>
                <w:sz w:val="13"/>
                <w:szCs w:val="13"/>
                <w:color w:val="auto"/>
              </w:rPr>
              <w:t>Three Months Ended June 30,</w:t>
            </w:r>
          </w:p>
        </w:tc>
        <w:tc>
          <w:tcPr>
            <w:tcW w:w="180" w:type="dxa"/>
            <w:vAlign w:val="bottom"/>
          </w:tcPr>
          <w:p>
            <w:pPr>
              <w:spacing w:after="0"/>
              <w:rPr>
                <w:sz w:val="13"/>
                <w:szCs w:val="13"/>
                <w:color w:val="auto"/>
              </w:rPr>
            </w:pPr>
          </w:p>
        </w:tc>
        <w:tc>
          <w:tcPr>
            <w:tcW w:w="1860" w:type="dxa"/>
            <w:vAlign w:val="bottom"/>
            <w:gridSpan w:val="4"/>
          </w:tcPr>
          <w:p>
            <w:pPr>
              <w:jc w:val="right"/>
              <w:ind w:right="156"/>
              <w:spacing w:after="0"/>
              <w:rPr>
                <w:sz w:val="20"/>
                <w:szCs w:val="20"/>
                <w:color w:val="auto"/>
              </w:rPr>
            </w:pPr>
            <w:r>
              <w:rPr>
                <w:rFonts w:ascii="Arial" w:cs="Arial" w:eastAsia="Arial" w:hAnsi="Arial"/>
                <w:sz w:val="13"/>
                <w:szCs w:val="13"/>
                <w:color w:val="auto"/>
              </w:rPr>
              <w:t>Six Months Ended June 30,</w:t>
            </w:r>
          </w:p>
        </w:tc>
        <w:tc>
          <w:tcPr>
            <w:tcW w:w="0" w:type="dxa"/>
            <w:vAlign w:val="bottom"/>
          </w:tcPr>
          <w:p>
            <w:pPr>
              <w:spacing w:after="0"/>
              <w:rPr>
                <w:sz w:val="1"/>
                <w:szCs w:val="1"/>
                <w:color w:val="auto"/>
              </w:rPr>
            </w:pPr>
          </w:p>
        </w:tc>
      </w:tr>
      <w:tr>
        <w:trPr>
          <w:trHeight w:val="184"/>
        </w:trPr>
        <w:tc>
          <w:tcPr>
            <w:tcW w:w="342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296"/>
              <w:spacing w:after="0"/>
              <w:rPr>
                <w:sz w:val="20"/>
                <w:szCs w:val="20"/>
                <w:color w:val="auto"/>
              </w:rPr>
            </w:pPr>
            <w:r>
              <w:rPr>
                <w:rFonts w:ascii="Arial" w:cs="Arial" w:eastAsia="Arial" w:hAnsi="Arial"/>
                <w:sz w:val="13"/>
                <w:szCs w:val="13"/>
                <w:color w:val="auto"/>
              </w:rPr>
              <w:t>2024</w:t>
            </w:r>
          </w:p>
        </w:tc>
        <w:tc>
          <w:tcPr>
            <w:tcW w:w="120" w:type="dxa"/>
            <w:vAlign w:val="bottom"/>
            <w:tcBorders>
              <w:top w:val="single" w:sz="8" w:color="auto"/>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ind w:right="296"/>
              <w:spacing w:after="0"/>
              <w:rPr>
                <w:sz w:val="20"/>
                <w:szCs w:val="20"/>
                <w:color w:val="auto"/>
              </w:rPr>
            </w:pPr>
            <w:r>
              <w:rPr>
                <w:rFonts w:ascii="Arial" w:cs="Arial" w:eastAsia="Arial" w:hAnsi="Arial"/>
                <w:sz w:val="13"/>
                <w:szCs w:val="13"/>
                <w:color w:val="auto"/>
              </w:rPr>
              <w:t>2023</w:t>
            </w:r>
          </w:p>
        </w:tc>
        <w:tc>
          <w:tcPr>
            <w:tcW w:w="8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ind w:right="276"/>
              <w:spacing w:after="0"/>
              <w:rPr>
                <w:sz w:val="20"/>
                <w:szCs w:val="20"/>
                <w:color w:val="auto"/>
              </w:rPr>
            </w:pPr>
            <w:r>
              <w:rPr>
                <w:rFonts w:ascii="Arial" w:cs="Arial" w:eastAsia="Arial" w:hAnsi="Arial"/>
                <w:sz w:val="13"/>
                <w:szCs w:val="13"/>
                <w:color w:val="auto"/>
              </w:rPr>
              <w:t>2024</w:t>
            </w:r>
          </w:p>
        </w:tc>
        <w:tc>
          <w:tcPr>
            <w:tcW w:w="120" w:type="dxa"/>
            <w:vAlign w:val="bottom"/>
            <w:tcBorders>
              <w:top w:val="single" w:sz="8" w:color="auto"/>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ind w:right="276"/>
              <w:spacing w:after="0"/>
              <w:rPr>
                <w:sz w:val="20"/>
                <w:szCs w:val="20"/>
                <w:color w:val="auto"/>
              </w:rPr>
            </w:pPr>
            <w:r>
              <w:rPr>
                <w:rFonts w:ascii="Arial" w:cs="Arial" w:eastAsia="Arial" w:hAnsi="Arial"/>
                <w:sz w:val="13"/>
                <w:szCs w:val="13"/>
                <w:color w:val="auto"/>
              </w:rPr>
              <w:t>2023</w:t>
            </w:r>
          </w:p>
        </w:tc>
        <w:tc>
          <w:tcPr>
            <w:tcW w:w="0" w:type="dxa"/>
            <w:vAlign w:val="bottom"/>
          </w:tcPr>
          <w:p>
            <w:pPr>
              <w:spacing w:after="0"/>
              <w:rPr>
                <w:sz w:val="1"/>
                <w:szCs w:val="1"/>
                <w:color w:val="auto"/>
              </w:rPr>
            </w:pPr>
          </w:p>
        </w:tc>
      </w:tr>
      <w:tr>
        <w:trPr>
          <w:trHeight w:val="184"/>
        </w:trPr>
        <w:tc>
          <w:tcPr>
            <w:tcW w:w="3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Income from rentals:</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420" w:type="dxa"/>
            <w:vAlign w:val="bottom"/>
          </w:tcPr>
          <w:p>
            <w:pPr>
              <w:ind w:left="200"/>
              <w:spacing w:after="0"/>
              <w:rPr>
                <w:sz w:val="20"/>
                <w:szCs w:val="20"/>
                <w:color w:val="auto"/>
              </w:rPr>
            </w:pPr>
            <w:r>
              <w:rPr>
                <w:rFonts w:ascii="Arial" w:cs="Arial" w:eastAsia="Arial" w:hAnsi="Arial"/>
                <w:sz w:val="13"/>
                <w:szCs w:val="13"/>
                <w:color w:val="auto"/>
              </w:rPr>
              <w:t>Revenues subject to the lease accounting standard:</w:t>
            </w: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420" w:type="dxa"/>
            <w:vAlign w:val="bottom"/>
            <w:shd w:val="clear" w:color="auto" w:fill="CCEEFF"/>
          </w:tcPr>
          <w:p>
            <w:pPr>
              <w:ind w:left="380"/>
              <w:spacing w:after="0"/>
              <w:rPr>
                <w:sz w:val="20"/>
                <w:szCs w:val="20"/>
                <w:color w:val="auto"/>
              </w:rPr>
            </w:pPr>
            <w:r>
              <w:rPr>
                <w:rFonts w:ascii="Arial" w:cs="Arial" w:eastAsia="Arial" w:hAnsi="Arial"/>
                <w:sz w:val="13"/>
                <w:szCs w:val="13"/>
                <w:color w:val="auto"/>
              </w:rPr>
              <w:t>Operating leases</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745,626</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695,019</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1,491,687</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1,372,441</w:t>
            </w:r>
          </w:p>
        </w:tc>
        <w:tc>
          <w:tcPr>
            <w:tcW w:w="0" w:type="dxa"/>
            <w:vAlign w:val="bottom"/>
          </w:tcPr>
          <w:p>
            <w:pPr>
              <w:spacing w:after="0"/>
              <w:rPr>
                <w:sz w:val="1"/>
                <w:szCs w:val="1"/>
                <w:color w:val="auto"/>
              </w:rPr>
            </w:pPr>
          </w:p>
        </w:tc>
      </w:tr>
      <w:tr>
        <w:trPr>
          <w:trHeight w:val="204"/>
        </w:trPr>
        <w:tc>
          <w:tcPr>
            <w:tcW w:w="3420" w:type="dxa"/>
            <w:vAlign w:val="bottom"/>
            <w:tcBorders>
              <w:bottom w:val="single" w:sz="8" w:color="CCEEFF"/>
            </w:tcBorders>
          </w:tcPr>
          <w:p>
            <w:pPr>
              <w:ind w:left="380"/>
              <w:spacing w:after="0"/>
              <w:rPr>
                <w:sz w:val="20"/>
                <w:szCs w:val="20"/>
                <w:color w:val="auto"/>
              </w:rPr>
            </w:pPr>
            <w:r>
              <w:rPr>
                <w:rFonts w:ascii="Arial" w:cs="Arial" w:eastAsia="Arial" w:hAnsi="Arial"/>
                <w:sz w:val="13"/>
                <w:szCs w:val="13"/>
                <w:color w:val="auto"/>
              </w:rPr>
              <w:t>Direct financing leases</w:t>
            </w: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662</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650</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1,321</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1,298</w:t>
            </w:r>
          </w:p>
        </w:tc>
        <w:tc>
          <w:tcPr>
            <w:tcW w:w="0" w:type="dxa"/>
            <w:vAlign w:val="bottom"/>
          </w:tcPr>
          <w:p>
            <w:pPr>
              <w:spacing w:after="0"/>
              <w:rPr>
                <w:sz w:val="1"/>
                <w:szCs w:val="1"/>
                <w:color w:val="auto"/>
              </w:rPr>
            </w:pPr>
          </w:p>
        </w:tc>
      </w:tr>
      <w:tr>
        <w:trPr>
          <w:trHeight w:val="184"/>
        </w:trPr>
        <w:tc>
          <w:tcPr>
            <w:tcW w:w="34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Revenues subject to the lease accounting standard</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746,288</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695,669</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1,493,008</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1,373,739</w:t>
            </w:r>
          </w:p>
        </w:tc>
        <w:tc>
          <w:tcPr>
            <w:tcW w:w="0" w:type="dxa"/>
            <w:vAlign w:val="bottom"/>
          </w:tcPr>
          <w:p>
            <w:pPr>
              <w:spacing w:after="0"/>
              <w:rPr>
                <w:sz w:val="1"/>
                <w:szCs w:val="1"/>
                <w:color w:val="auto"/>
              </w:rPr>
            </w:pPr>
          </w:p>
        </w:tc>
      </w:tr>
      <w:tr>
        <w:trPr>
          <w:trHeight w:val="172"/>
        </w:trPr>
        <w:tc>
          <w:tcPr>
            <w:tcW w:w="3420" w:type="dxa"/>
            <w:vAlign w:val="bottom"/>
          </w:tcPr>
          <w:p>
            <w:pPr>
              <w:ind w:left="200"/>
              <w:spacing w:after="0"/>
              <w:rPr>
                <w:sz w:val="20"/>
                <w:szCs w:val="20"/>
                <w:color w:val="auto"/>
              </w:rPr>
            </w:pPr>
            <w:r>
              <w:rPr>
                <w:rFonts w:ascii="Arial" w:cs="Arial" w:eastAsia="Arial" w:hAnsi="Arial"/>
                <w:sz w:val="13"/>
                <w:szCs w:val="13"/>
                <w:color w:val="auto"/>
              </w:rPr>
              <w:t>Revenues subject to the revenue recognition</w:t>
            </w:r>
          </w:p>
        </w:tc>
        <w:tc>
          <w:tcPr>
            <w:tcW w:w="14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8,874</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8,670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17,705</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18,549</w:t>
            </w:r>
          </w:p>
        </w:tc>
        <w:tc>
          <w:tcPr>
            <w:tcW w:w="0" w:type="dxa"/>
            <w:vAlign w:val="bottom"/>
          </w:tcPr>
          <w:p>
            <w:pPr>
              <w:spacing w:after="0"/>
              <w:rPr>
                <w:sz w:val="1"/>
                <w:szCs w:val="1"/>
                <w:color w:val="auto"/>
              </w:rPr>
            </w:pPr>
          </w:p>
        </w:tc>
      </w:tr>
      <w:tr>
        <w:trPr>
          <w:trHeight w:val="161"/>
        </w:trPr>
        <w:tc>
          <w:tcPr>
            <w:tcW w:w="3420" w:type="dxa"/>
            <w:vAlign w:val="bottom"/>
            <w:tcBorders>
              <w:bottom w:val="single" w:sz="8" w:color="CCEEFF"/>
            </w:tcBorders>
          </w:tcPr>
          <w:p>
            <w:pPr>
              <w:ind w:left="320"/>
              <w:spacing w:after="0"/>
              <w:rPr>
                <w:sz w:val="20"/>
                <w:szCs w:val="20"/>
                <w:color w:val="auto"/>
              </w:rPr>
            </w:pPr>
            <w:r>
              <w:rPr>
                <w:rFonts w:ascii="Arial" w:cs="Arial" w:eastAsia="Arial" w:hAnsi="Arial"/>
                <w:sz w:val="13"/>
                <w:szCs w:val="13"/>
                <w:color w:val="auto"/>
              </w:rPr>
              <w:t>accounting standard</w:t>
            </w:r>
          </w:p>
        </w:tc>
        <w:tc>
          <w:tcPr>
            <w:tcW w:w="1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Income from rentals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755,162</w:t>
            </w: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704,339</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1,510,713</w:t>
            </w: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1,392,288</w:t>
            </w:r>
          </w:p>
        </w:tc>
        <w:tc>
          <w:tcPr>
            <w:tcW w:w="0" w:type="dxa"/>
            <w:vAlign w:val="bottom"/>
          </w:tcPr>
          <w:p>
            <w:pPr>
              <w:spacing w:after="0"/>
              <w:rPr>
                <w:sz w:val="1"/>
                <w:szCs w:val="1"/>
                <w:color w:val="auto"/>
              </w:rPr>
            </w:pP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2" w:lineRule="exact"/>
        <w:rPr>
          <w:sz w:val="20"/>
          <w:szCs w:val="20"/>
          <w:color w:val="auto"/>
        </w:rPr>
      </w:pPr>
    </w:p>
    <w:p>
      <w:pPr>
        <w:ind w:left="640" w:right="659" w:firstLine="516"/>
        <w:spacing w:after="0" w:line="257" w:lineRule="auto"/>
        <w:rPr>
          <w:sz w:val="20"/>
          <w:szCs w:val="20"/>
          <w:color w:val="auto"/>
        </w:rPr>
      </w:pPr>
      <w:r>
        <w:rPr>
          <w:rFonts w:ascii="Arial" w:cs="Arial" w:eastAsia="Arial" w:hAnsi="Arial"/>
          <w:sz w:val="13"/>
          <w:szCs w:val="13"/>
          <w:color w:val="auto"/>
        </w:rPr>
        <w:t>Our revenues that are subject to the revenue recognition accounting standard and are classified in income from rentals consist primarily of short-term parking revenues that are not considered lease revenues under the lease accounting standard. Refer to “Revenues” and “Recognition of revenue arising from contracts with customers” in Note 2 – “Summary of significant accounting policies” to our unaudited consolidated financial statements for additional information.</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3"/>
          <w:szCs w:val="13"/>
          <w:i w:val="1"/>
          <w:iCs w:val="1"/>
          <w:color w:val="auto"/>
        </w:rPr>
        <w:t>Residual value risk management strategy</w:t>
      </w:r>
    </w:p>
    <w:p>
      <w:pPr>
        <w:spacing w:after="0" w:line="149" w:lineRule="exact"/>
        <w:rPr>
          <w:sz w:val="20"/>
          <w:szCs w:val="20"/>
          <w:color w:val="auto"/>
        </w:rPr>
      </w:pPr>
    </w:p>
    <w:p>
      <w:pPr>
        <w:ind w:left="640" w:right="819" w:firstLine="516"/>
        <w:spacing w:after="0" w:line="253" w:lineRule="auto"/>
        <w:rPr>
          <w:sz w:val="20"/>
          <w:szCs w:val="20"/>
          <w:color w:val="auto"/>
        </w:rPr>
      </w:pPr>
      <w:r>
        <w:rPr>
          <w:rFonts w:ascii="Arial" w:cs="Arial" w:eastAsia="Arial" w:hAnsi="Arial"/>
          <w:sz w:val="13"/>
          <w:szCs w:val="13"/>
          <w:color w:val="auto"/>
        </w:rPr>
        <w:t>Our leases do not have guarantees of residual value on the underlying assets. We manage risk associated with the residual value of our leased assets by (i) evaluating each potential acquisition of real estate to determine whether it meets our business objective to invest primarily in high-demand markets, (ii) directly managing our leased properties, conducting frequent property inspections, proactively addressing potential maintenance issues before they arise, and/or timely resolving any occurring issues, and (iii) carefully selecting our tenants and monitoring their credit quality throughout their respective lease terms.</w:t>
      </w:r>
    </w:p>
    <w:p>
      <w:pPr>
        <w:spacing w:after="0" w:line="136"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00497F"/>
        </w:rPr>
        <w:t>Leases in which we are the lessee</w:t>
      </w:r>
    </w:p>
    <w:p>
      <w:pPr>
        <w:spacing w:after="0" w:line="164" w:lineRule="exact"/>
        <w:rPr>
          <w:sz w:val="20"/>
          <w:szCs w:val="20"/>
          <w:color w:val="auto"/>
        </w:rPr>
      </w:pPr>
    </w:p>
    <w:p>
      <w:pPr>
        <w:ind w:left="640"/>
        <w:spacing w:after="0"/>
        <w:rPr>
          <w:sz w:val="20"/>
          <w:szCs w:val="20"/>
          <w:color w:val="auto"/>
        </w:rPr>
      </w:pPr>
      <w:r>
        <w:rPr>
          <w:rFonts w:ascii="Arial" w:cs="Arial" w:eastAsia="Arial" w:hAnsi="Arial"/>
          <w:sz w:val="13"/>
          <w:szCs w:val="13"/>
          <w:i w:val="1"/>
          <w:iCs w:val="1"/>
          <w:color w:val="auto"/>
        </w:rPr>
        <w:t>Operating lease agreements</w:t>
      </w:r>
    </w:p>
    <w:p>
      <w:pPr>
        <w:spacing w:after="0" w:line="160" w:lineRule="exact"/>
        <w:rPr>
          <w:sz w:val="20"/>
          <w:szCs w:val="20"/>
          <w:color w:val="auto"/>
        </w:rPr>
      </w:pPr>
    </w:p>
    <w:p>
      <w:pPr>
        <w:ind w:left="640" w:right="999" w:firstLine="516"/>
        <w:spacing w:after="0" w:line="265" w:lineRule="auto"/>
        <w:rPr>
          <w:sz w:val="20"/>
          <w:szCs w:val="20"/>
          <w:color w:val="auto"/>
        </w:rPr>
      </w:pPr>
      <w:r>
        <w:rPr>
          <w:rFonts w:ascii="Arial" w:cs="Arial" w:eastAsia="Arial" w:hAnsi="Arial"/>
          <w:sz w:val="13"/>
          <w:szCs w:val="13"/>
          <w:color w:val="auto"/>
        </w:rPr>
        <w:t>We have operating lease agreements in which we are the lessee consisting of ground and office leases. Certain of these leases have options to extend or terminate the contract terms upon meeting certain criteria. There are no notable restrictions or covenants imposed by the leases, nor guarantees of residual value.</w:t>
      </w:r>
    </w:p>
    <w:p>
      <w:pPr>
        <w:spacing w:after="0" w:line="117" w:lineRule="exact"/>
        <w:rPr>
          <w:sz w:val="20"/>
          <w:szCs w:val="20"/>
          <w:color w:val="auto"/>
        </w:rPr>
      </w:pPr>
    </w:p>
    <w:p>
      <w:pPr>
        <w:ind w:left="640" w:right="659" w:firstLine="516"/>
        <w:spacing w:after="0" w:line="263" w:lineRule="auto"/>
        <w:rPr>
          <w:sz w:val="20"/>
          <w:szCs w:val="20"/>
          <w:color w:val="auto"/>
        </w:rPr>
      </w:pPr>
      <w:r>
        <w:rPr>
          <w:rFonts w:ascii="Arial" w:cs="Arial" w:eastAsia="Arial" w:hAnsi="Arial"/>
          <w:sz w:val="13"/>
          <w:szCs w:val="13"/>
          <w:color w:val="auto"/>
        </w:rPr>
        <w:t>We recognize a right-of-use asset, which is classified within other assets in our consolidated balance sheets, and a related liability, which is classified within accounts payable, accrued expenses, and other liabilities in our consolidated balance sheets, to account for our future obligations under ground and office lease arrangements in which we are the lessee. Refer to “Lessee accounting” in Note 2 – “Summary of significant accounting policies” to our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188595</wp:posOffset>
            </wp:positionV>
            <wp:extent cx="5584190" cy="16668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584190" cy="1666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900" w:hanging="262"/>
        <w:spacing w:after="0"/>
        <w:tabs>
          <w:tab w:leader="none" w:pos="900" w:val="left"/>
        </w:tabs>
        <w:numPr>
          <w:ilvl w:val="0"/>
          <w:numId w:val="43"/>
        </w:numPr>
        <w:rPr>
          <w:rFonts w:ascii="Arial" w:cs="Arial" w:eastAsia="Arial" w:hAnsi="Arial"/>
          <w:sz w:val="13"/>
          <w:szCs w:val="13"/>
          <w:b w:val="1"/>
          <w:bCs w:val="1"/>
          <w:color w:val="00497F"/>
        </w:rPr>
      </w:pPr>
      <w:r>
        <w:rPr>
          <w:rFonts w:ascii="Arial" w:cs="Arial" w:eastAsia="Arial" w:hAnsi="Arial"/>
          <w:sz w:val="13"/>
          <w:szCs w:val="13"/>
          <w:b w:val="1"/>
          <w:bCs w:val="1"/>
          <w:color w:val="00497F"/>
        </w:rPr>
        <w:t>LEASES (continued)</w:t>
      </w:r>
    </w:p>
    <w:p>
      <w:pPr>
        <w:spacing w:after="0" w:line="87" w:lineRule="exact"/>
        <w:rPr>
          <w:sz w:val="20"/>
          <w:szCs w:val="20"/>
          <w:color w:val="auto"/>
        </w:rPr>
      </w:pPr>
    </w:p>
    <w:p>
      <w:pPr>
        <w:ind w:left="640" w:right="739" w:firstLine="516"/>
        <w:spacing w:after="0" w:line="253" w:lineRule="auto"/>
        <w:rPr>
          <w:sz w:val="20"/>
          <w:szCs w:val="20"/>
          <w:color w:val="auto"/>
        </w:rPr>
      </w:pPr>
      <w:r>
        <w:rPr>
          <w:rFonts w:ascii="Arial" w:cs="Arial" w:eastAsia="Arial" w:hAnsi="Arial"/>
          <w:sz w:val="13"/>
          <w:szCs w:val="13"/>
          <w:color w:val="auto"/>
        </w:rPr>
        <w:t>As of June 30, 2024, the present value of the remaining contractual payments aggregating $837.1 million under our operating lease agreements, including our extension options that we are reasonably certain to exercise, was $379.2 million. Our corresponding operating lease right-of-use assets, adjusted for initial direct leasing costs and other consideration exchanged with the landlord prior to the commencement of the lease, aggregated $510.1 million. As of June 30, 2024, the weighted-average remaining lease term of operating leases in which we are the lessee was approximately 41 years, including extension options that we are reasonably certain to exercise, and the weighted-average discount rate was 4.6%. The weighted-average discount rate is based on the incremental borrowing rate estimated for each lease, which is the interest rate that we estimate we would have to pay to borrow on a collateralized basis over a similar term for an amount equal to the lease payments.</w:t>
      </w:r>
    </w:p>
    <w:p>
      <w:pPr>
        <w:spacing w:after="0" w:line="135" w:lineRule="exact"/>
        <w:rPr>
          <w:sz w:val="20"/>
          <w:szCs w:val="20"/>
          <w:color w:val="auto"/>
        </w:rPr>
      </w:pPr>
    </w:p>
    <w:p>
      <w:pPr>
        <w:ind w:left="640" w:right="679" w:firstLine="516"/>
        <w:spacing w:after="0" w:line="288" w:lineRule="auto"/>
        <w:rPr>
          <w:sz w:val="20"/>
          <w:szCs w:val="20"/>
          <w:color w:val="auto"/>
        </w:rPr>
      </w:pPr>
      <w:r>
        <w:rPr>
          <w:rFonts w:ascii="Arial" w:cs="Arial" w:eastAsia="Arial" w:hAnsi="Arial"/>
          <w:sz w:val="12"/>
          <w:szCs w:val="12"/>
          <w:color w:val="auto"/>
        </w:rPr>
        <w:t>Ground lease obligations as of June 30, 2024 included leases for 36 of our properties, which accounted for approximately 9% of our total number of properties. Excluding one ground lease that expires in 2036 related to one operating property with a net book value of $5.8 million as of June 30, 2024, our ground lease obligations have remaining lease terms ranging from approximately 30 to 98</w:t>
      </w:r>
    </w:p>
    <w:p>
      <w:pPr>
        <w:sectPr>
          <w:pgSz w:w="11900" w:h="16935" w:orient="portrait"/>
          <w:cols w:equalWidth="0" w:num="1">
            <w:col w:w="9019"/>
          </w:cols>
          <w:pgMar w:left="1440" w:top="150" w:right="1440" w:bottom="0" w:gutter="0" w:footer="0" w:header="0"/>
        </w:sectPr>
      </w:pPr>
    </w:p>
    <w:bookmarkStart w:id="21" w:name="page22"/>
    <w:bookmarkEnd w:id="21"/>
    <w:p>
      <w:pPr>
        <w:spacing w:after="0" w:line="133" w:lineRule="exact"/>
        <w:rPr>
          <w:sz w:val="20"/>
          <w:szCs w:val="20"/>
          <w:color w:val="auto"/>
        </w:rPr>
      </w:pPr>
    </w:p>
    <w:p>
      <w:pPr>
        <w:ind w:left="640"/>
        <w:spacing w:after="0"/>
        <w:rPr>
          <w:sz w:val="20"/>
          <w:szCs w:val="20"/>
          <w:color w:val="auto"/>
        </w:rPr>
      </w:pPr>
      <w:r>
        <w:rPr>
          <w:rFonts w:ascii="Arial" w:cs="Arial" w:eastAsia="Arial" w:hAnsi="Arial"/>
          <w:sz w:val="13"/>
          <w:szCs w:val="13"/>
          <w:color w:val="auto"/>
        </w:rPr>
        <w:t>years, including extension options that we are reasonably certain to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-87630</wp:posOffset>
            </wp:positionV>
            <wp:extent cx="5584190" cy="55473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584190" cy="5547360"/>
                    </a:xfrm>
                    <a:prstGeom prst="rect">
                      <a:avLst/>
                    </a:prstGeom>
                    <a:noFill/>
                  </pic:spPr>
                </pic:pic>
              </a:graphicData>
            </a:graphic>
          </wp:anchor>
        </w:drawing>
      </w:r>
    </w:p>
    <w:p>
      <w:pPr>
        <w:spacing w:after="0" w:line="142" w:lineRule="exact"/>
        <w:rPr>
          <w:sz w:val="20"/>
          <w:szCs w:val="20"/>
          <w:color w:val="auto"/>
        </w:rPr>
      </w:pPr>
    </w:p>
    <w:p>
      <w:pPr>
        <w:jc w:val="both"/>
        <w:ind w:left="640" w:right="719" w:firstLine="516"/>
        <w:spacing w:after="0" w:line="314" w:lineRule="auto"/>
        <w:rPr>
          <w:sz w:val="20"/>
          <w:szCs w:val="20"/>
          <w:color w:val="auto"/>
        </w:rPr>
      </w:pPr>
      <w:r>
        <w:rPr>
          <w:rFonts w:ascii="Arial" w:cs="Arial" w:eastAsia="Arial" w:hAnsi="Arial"/>
          <w:sz w:val="12"/>
          <w:szCs w:val="12"/>
          <w:color w:val="auto"/>
        </w:rPr>
        <w:t>The reconciliation of future lease payments under noncancelable operating leases in which we are the lessee to the operating lease liability reflected in our unaudited consolidated balance sheet as of June 30, 2024 is presented in the table below (in thousands):</w:t>
      </w:r>
    </w:p>
    <w:p>
      <w:pPr>
        <w:spacing w:after="0" w:line="90"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6300" w:type="dxa"/>
            <w:vAlign w:val="bottom"/>
            <w:gridSpan w:val="2"/>
          </w:tcPr>
          <w:p>
            <w:pPr>
              <w:jc w:val="center"/>
              <w:ind w:right="120"/>
              <w:spacing w:after="0"/>
              <w:rPr>
                <w:sz w:val="20"/>
                <w:szCs w:val="20"/>
                <w:color w:val="auto"/>
              </w:rPr>
            </w:pPr>
            <w:r>
              <w:rPr>
                <w:rFonts w:ascii="Arial" w:cs="Arial" w:eastAsia="Arial" w:hAnsi="Arial"/>
                <w:sz w:val="13"/>
                <w:szCs w:val="13"/>
                <w:color w:val="auto"/>
                <w:w w:val="94"/>
              </w:rPr>
              <w:t>Year</w:t>
            </w:r>
          </w:p>
        </w:tc>
        <w:tc>
          <w:tcPr>
            <w:tcW w:w="340" w:type="dxa"/>
            <w:vAlign w:val="bottom"/>
          </w:tcPr>
          <w:p>
            <w:pPr>
              <w:spacing w:after="0"/>
              <w:rPr>
                <w:sz w:val="13"/>
                <w:szCs w:val="13"/>
                <w:color w:val="auto"/>
              </w:rPr>
            </w:pPr>
          </w:p>
        </w:tc>
        <w:tc>
          <w:tcPr>
            <w:tcW w:w="1100" w:type="dxa"/>
            <w:vAlign w:val="bottom"/>
          </w:tcPr>
          <w:p>
            <w:pPr>
              <w:jc w:val="right"/>
              <w:ind w:right="516"/>
              <w:spacing w:after="0"/>
              <w:rPr>
                <w:sz w:val="20"/>
                <w:szCs w:val="20"/>
                <w:color w:val="auto"/>
              </w:rPr>
            </w:pPr>
            <w:r>
              <w:rPr>
                <w:rFonts w:ascii="Arial" w:cs="Arial" w:eastAsia="Arial" w:hAnsi="Arial"/>
                <w:sz w:val="13"/>
                <w:szCs w:val="13"/>
                <w:color w:val="auto"/>
              </w:rPr>
              <w:t>Total</w:t>
            </w:r>
          </w:p>
        </w:tc>
      </w:tr>
      <w:tr>
        <w:trPr>
          <w:trHeight w:val="184"/>
        </w:trPr>
        <w:tc>
          <w:tcPr>
            <w:tcW w:w="6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rPr>
              <w:t>2024</w:t>
            </w:r>
          </w:p>
        </w:tc>
        <w:tc>
          <w:tcPr>
            <w:tcW w:w="12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jc w:val="right"/>
              <w:ind w:right="156"/>
              <w:spacing w:after="0"/>
              <w:rPr>
                <w:sz w:val="20"/>
                <w:szCs w:val="20"/>
                <w:color w:val="auto"/>
              </w:rPr>
            </w:pPr>
            <w:r>
              <w:rPr>
                <w:rFonts w:ascii="Arial" w:cs="Arial" w:eastAsia="Arial" w:hAnsi="Arial"/>
                <w:sz w:val="13"/>
                <w:szCs w:val="13"/>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10,819</w:t>
            </w:r>
          </w:p>
        </w:tc>
      </w:tr>
      <w:tr>
        <w:trPr>
          <w:trHeight w:val="204"/>
        </w:trPr>
        <w:tc>
          <w:tcPr>
            <w:tcW w:w="6180" w:type="dxa"/>
            <w:vAlign w:val="bottom"/>
          </w:tcPr>
          <w:p>
            <w:pPr>
              <w:jc w:val="center"/>
              <w:spacing w:after="0"/>
              <w:rPr>
                <w:sz w:val="20"/>
                <w:szCs w:val="20"/>
                <w:color w:val="auto"/>
              </w:rPr>
            </w:pPr>
            <w:r>
              <w:rPr>
                <w:rFonts w:ascii="Arial" w:cs="Arial" w:eastAsia="Arial" w:hAnsi="Arial"/>
                <w:sz w:val="13"/>
                <w:szCs w:val="13"/>
                <w:color w:val="auto"/>
              </w:rPr>
              <w:t>2025</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22,671</w:t>
            </w:r>
          </w:p>
        </w:tc>
      </w:tr>
      <w:tr>
        <w:trPr>
          <w:trHeight w:val="204"/>
        </w:trPr>
        <w:tc>
          <w:tcPr>
            <w:tcW w:w="618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2026</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22,865</w:t>
            </w:r>
          </w:p>
        </w:tc>
      </w:tr>
      <w:tr>
        <w:trPr>
          <w:trHeight w:val="204"/>
        </w:trPr>
        <w:tc>
          <w:tcPr>
            <w:tcW w:w="6180" w:type="dxa"/>
            <w:vAlign w:val="bottom"/>
          </w:tcPr>
          <w:p>
            <w:pPr>
              <w:jc w:val="center"/>
              <w:spacing w:after="0"/>
              <w:rPr>
                <w:sz w:val="20"/>
                <w:szCs w:val="20"/>
                <w:color w:val="auto"/>
              </w:rPr>
            </w:pPr>
            <w:r>
              <w:rPr>
                <w:rFonts w:ascii="Arial" w:cs="Arial" w:eastAsia="Arial" w:hAnsi="Arial"/>
                <w:sz w:val="13"/>
                <w:szCs w:val="13"/>
                <w:color w:val="auto"/>
              </w:rPr>
              <w:t>2027</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21,946</w:t>
            </w:r>
          </w:p>
        </w:tc>
      </w:tr>
      <w:tr>
        <w:trPr>
          <w:trHeight w:val="204"/>
        </w:trPr>
        <w:tc>
          <w:tcPr>
            <w:tcW w:w="618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2028</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21,614</w:t>
            </w:r>
          </w:p>
        </w:tc>
      </w:tr>
      <w:tr>
        <w:trPr>
          <w:trHeight w:val="204"/>
        </w:trPr>
        <w:tc>
          <w:tcPr>
            <w:tcW w:w="6300" w:type="dxa"/>
            <w:vAlign w:val="bottom"/>
            <w:tcBorders>
              <w:bottom w:val="single" w:sz="8" w:color="CCEEFF"/>
            </w:tcBorders>
            <w:gridSpan w:val="2"/>
          </w:tcPr>
          <w:p>
            <w:pPr>
              <w:jc w:val="center"/>
              <w:ind w:right="120"/>
              <w:spacing w:after="0"/>
              <w:rPr>
                <w:sz w:val="20"/>
                <w:szCs w:val="20"/>
                <w:color w:val="auto"/>
              </w:rPr>
            </w:pPr>
            <w:r>
              <w:rPr>
                <w:rFonts w:ascii="Arial" w:cs="Arial" w:eastAsia="Arial" w:hAnsi="Arial"/>
                <w:sz w:val="13"/>
                <w:szCs w:val="13"/>
                <w:color w:val="auto"/>
                <w:w w:val="96"/>
              </w:rPr>
              <w:t>Thereafter</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737,191</w:t>
            </w:r>
          </w:p>
        </w:tc>
      </w:tr>
      <w:tr>
        <w:trPr>
          <w:trHeight w:val="184"/>
        </w:trPr>
        <w:tc>
          <w:tcPr>
            <w:tcW w:w="63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Total future payments under our operating leases in which we are the lessee</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837,106</w:t>
            </w:r>
          </w:p>
        </w:tc>
      </w:tr>
      <w:tr>
        <w:trPr>
          <w:trHeight w:val="204"/>
        </w:trPr>
        <w:tc>
          <w:tcPr>
            <w:tcW w:w="6300" w:type="dxa"/>
            <w:vAlign w:val="bottom"/>
            <w:tcBorders>
              <w:bottom w:val="single" w:sz="8" w:color="CCEEFF"/>
            </w:tcBorders>
            <w:gridSpan w:val="2"/>
          </w:tcPr>
          <w:p>
            <w:pPr>
              <w:ind w:left="40"/>
              <w:spacing w:after="0"/>
              <w:rPr>
                <w:sz w:val="20"/>
                <w:szCs w:val="20"/>
                <w:color w:val="auto"/>
              </w:rPr>
            </w:pPr>
            <w:r>
              <w:rPr>
                <w:rFonts w:ascii="Arial" w:cs="Arial" w:eastAsia="Arial" w:hAnsi="Arial"/>
                <w:sz w:val="13"/>
                <w:szCs w:val="13"/>
                <w:color w:val="auto"/>
              </w:rPr>
              <w:t>Effect of discounting</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(457,883)</w:t>
            </w:r>
          </w:p>
        </w:tc>
      </w:tr>
      <w:tr>
        <w:trPr>
          <w:trHeight w:val="188"/>
        </w:trPr>
        <w:tc>
          <w:tcPr>
            <w:tcW w:w="6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3"/>
                <w:szCs w:val="13"/>
                <w:color w:val="auto"/>
              </w:rPr>
              <w:t>Operating lease liability</w:t>
            </w:r>
          </w:p>
        </w:tc>
        <w:tc>
          <w:tcPr>
            <w:tcW w:w="34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379,223</w:t>
            </w: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ind w:left="640"/>
        <w:spacing w:after="0"/>
        <w:rPr>
          <w:sz w:val="20"/>
          <w:szCs w:val="20"/>
          <w:color w:val="auto"/>
        </w:rPr>
      </w:pPr>
      <w:r>
        <w:rPr>
          <w:rFonts w:ascii="Arial" w:cs="Arial" w:eastAsia="Arial" w:hAnsi="Arial"/>
          <w:sz w:val="13"/>
          <w:szCs w:val="13"/>
          <w:i w:val="1"/>
          <w:iCs w:val="1"/>
          <w:color w:val="auto"/>
        </w:rPr>
        <w:t>Lessee operating costs</w:t>
      </w:r>
    </w:p>
    <w:p>
      <w:pPr>
        <w:spacing w:after="0" w:line="160" w:lineRule="exact"/>
        <w:rPr>
          <w:sz w:val="20"/>
          <w:szCs w:val="20"/>
          <w:color w:val="auto"/>
        </w:rPr>
      </w:pPr>
    </w:p>
    <w:p>
      <w:pPr>
        <w:ind w:left="640" w:right="659" w:firstLine="516"/>
        <w:spacing w:after="0" w:line="257" w:lineRule="auto"/>
        <w:rPr>
          <w:sz w:val="20"/>
          <w:szCs w:val="20"/>
          <w:color w:val="auto"/>
        </w:rPr>
      </w:pPr>
      <w:r>
        <w:rPr>
          <w:rFonts w:ascii="Arial" w:cs="Arial" w:eastAsia="Arial" w:hAnsi="Arial"/>
          <w:sz w:val="13"/>
          <w:szCs w:val="13"/>
          <w:color w:val="auto"/>
        </w:rPr>
        <w:t>Operating lease costs relate to our ground and office leases in which we are the lessee. Ground leases generally require fixed annual rent payments and may also include escalation clauses and renewal options. Our operating lease obligations related to our office leases have remaining terms of up to 12 years, exclusive of extension options. For the three and six months ended June 30, 2024 and 2023, our costs for operating leases in which we are the lessee were as follows (in thousands):</w:t>
      </w:r>
    </w:p>
    <w:p>
      <w:pPr>
        <w:spacing w:after="0" w:line="122"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3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60" w:type="dxa"/>
            <w:vAlign w:val="bottom"/>
            <w:gridSpan w:val="5"/>
          </w:tcPr>
          <w:p>
            <w:pPr>
              <w:ind w:left="40"/>
              <w:spacing w:after="0"/>
              <w:rPr>
                <w:sz w:val="20"/>
                <w:szCs w:val="20"/>
                <w:color w:val="auto"/>
              </w:rPr>
            </w:pPr>
            <w:r>
              <w:rPr>
                <w:rFonts w:ascii="Arial" w:cs="Arial" w:eastAsia="Arial" w:hAnsi="Arial"/>
                <w:sz w:val="13"/>
                <w:szCs w:val="13"/>
                <w:color w:val="auto"/>
              </w:rPr>
              <w:t>Three Months Ended June 30,</w:t>
            </w:r>
          </w:p>
        </w:tc>
        <w:tc>
          <w:tcPr>
            <w:tcW w:w="180" w:type="dxa"/>
            <w:vAlign w:val="bottom"/>
          </w:tcPr>
          <w:p>
            <w:pPr>
              <w:spacing w:after="0"/>
              <w:rPr>
                <w:sz w:val="13"/>
                <w:szCs w:val="13"/>
                <w:color w:val="auto"/>
              </w:rPr>
            </w:pPr>
          </w:p>
        </w:tc>
        <w:tc>
          <w:tcPr>
            <w:tcW w:w="1880" w:type="dxa"/>
            <w:vAlign w:val="bottom"/>
            <w:gridSpan w:val="4"/>
          </w:tcPr>
          <w:p>
            <w:pPr>
              <w:jc w:val="right"/>
              <w:ind w:right="176"/>
              <w:spacing w:after="0"/>
              <w:rPr>
                <w:sz w:val="20"/>
                <w:szCs w:val="20"/>
                <w:color w:val="auto"/>
              </w:rPr>
            </w:pPr>
            <w:r>
              <w:rPr>
                <w:rFonts w:ascii="Arial" w:cs="Arial" w:eastAsia="Arial" w:hAnsi="Arial"/>
                <w:sz w:val="13"/>
                <w:szCs w:val="13"/>
                <w:color w:val="auto"/>
              </w:rPr>
              <w:t>Six Months Ended June 30,</w:t>
            </w:r>
          </w:p>
        </w:tc>
      </w:tr>
      <w:tr>
        <w:trPr>
          <w:trHeight w:val="184"/>
        </w:trPr>
        <w:tc>
          <w:tcPr>
            <w:tcW w:w="348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296"/>
              <w:spacing w:after="0"/>
              <w:rPr>
                <w:sz w:val="20"/>
                <w:szCs w:val="20"/>
                <w:color w:val="auto"/>
              </w:rPr>
            </w:pPr>
            <w:r>
              <w:rPr>
                <w:rFonts w:ascii="Arial" w:cs="Arial" w:eastAsia="Arial" w:hAnsi="Arial"/>
                <w:sz w:val="13"/>
                <w:szCs w:val="13"/>
                <w:color w:val="auto"/>
              </w:rPr>
              <w:t>2024</w:t>
            </w:r>
          </w:p>
        </w:tc>
        <w:tc>
          <w:tcPr>
            <w:tcW w:w="60" w:type="dxa"/>
            <w:vAlign w:val="bottom"/>
            <w:tcBorders>
              <w:top w:val="single" w:sz="8" w:color="auto"/>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3"/>
                <w:szCs w:val="13"/>
                <w:color w:val="auto"/>
              </w:rPr>
              <w:t>2023</w:t>
            </w:r>
          </w:p>
        </w:tc>
        <w:tc>
          <w:tcPr>
            <w:tcW w:w="10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ind w:right="296"/>
              <w:spacing w:after="0"/>
              <w:rPr>
                <w:sz w:val="20"/>
                <w:szCs w:val="20"/>
                <w:color w:val="auto"/>
              </w:rPr>
            </w:pPr>
            <w:r>
              <w:rPr>
                <w:rFonts w:ascii="Arial" w:cs="Arial" w:eastAsia="Arial" w:hAnsi="Arial"/>
                <w:sz w:val="13"/>
                <w:szCs w:val="13"/>
                <w:color w:val="auto"/>
              </w:rPr>
              <w:t>2024</w:t>
            </w:r>
          </w:p>
        </w:tc>
        <w:tc>
          <w:tcPr>
            <w:tcW w:w="60" w:type="dxa"/>
            <w:vAlign w:val="bottom"/>
            <w:tcBorders>
              <w:top w:val="single" w:sz="8" w:color="auto"/>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ind w:right="296"/>
              <w:spacing w:after="0"/>
              <w:rPr>
                <w:sz w:val="20"/>
                <w:szCs w:val="20"/>
                <w:color w:val="auto"/>
              </w:rPr>
            </w:pPr>
            <w:r>
              <w:rPr>
                <w:rFonts w:ascii="Arial" w:cs="Arial" w:eastAsia="Arial" w:hAnsi="Arial"/>
                <w:sz w:val="13"/>
                <w:szCs w:val="13"/>
                <w:color w:val="auto"/>
              </w:rPr>
              <w:t>2023</w:t>
            </w:r>
          </w:p>
        </w:tc>
      </w:tr>
      <w:tr>
        <w:trPr>
          <w:trHeight w:val="184"/>
        </w:trPr>
        <w:tc>
          <w:tcPr>
            <w:tcW w:w="3480" w:type="dxa"/>
            <w:vAlign w:val="bottom"/>
            <w:shd w:val="clear" w:color="auto" w:fill="CCEEFF"/>
          </w:tcPr>
          <w:p>
            <w:pPr>
              <w:ind w:left="40"/>
              <w:spacing w:after="0"/>
              <w:rPr>
                <w:sz w:val="20"/>
                <w:szCs w:val="20"/>
                <w:color w:val="auto"/>
              </w:rPr>
            </w:pPr>
            <w:r>
              <w:rPr>
                <w:rFonts w:ascii="Arial" w:cs="Arial" w:eastAsia="Arial" w:hAnsi="Arial"/>
                <w:sz w:val="13"/>
                <w:szCs w:val="13"/>
                <w:color w:val="auto"/>
              </w:rPr>
              <w:t>Gross operating lease costs</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9,930</w:t>
            </w: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11,815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19,141</w:t>
            </w: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21,272</w:t>
            </w:r>
          </w:p>
        </w:tc>
      </w:tr>
      <w:tr>
        <w:trPr>
          <w:trHeight w:val="204"/>
        </w:trPr>
        <w:tc>
          <w:tcPr>
            <w:tcW w:w="348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Capitalized lease costs</w:t>
            </w: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(518)</w:t>
            </w:r>
          </w:p>
        </w:tc>
        <w:tc>
          <w:tcPr>
            <w:tcW w:w="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(3,297)</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(1,046)</w:t>
            </w:r>
          </w:p>
        </w:tc>
        <w:tc>
          <w:tcPr>
            <w:tcW w:w="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(4,218)</w:t>
            </w:r>
          </w:p>
        </w:tc>
      </w:tr>
      <w:tr>
        <w:trPr>
          <w:trHeight w:val="188"/>
        </w:trPr>
        <w:tc>
          <w:tcPr>
            <w:tcW w:w="3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Expenses for operating leases in which we are the lessee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9,412</w:t>
            </w:r>
          </w:p>
        </w:tc>
        <w:tc>
          <w:tcPr>
            <w:tcW w:w="6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8,518</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18,095</w:t>
            </w:r>
          </w:p>
        </w:tc>
        <w:tc>
          <w:tcPr>
            <w:tcW w:w="6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17,054</w:t>
            </w: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204" w:lineRule="exact"/>
        <w:rPr>
          <w:sz w:val="20"/>
          <w:szCs w:val="20"/>
          <w:color w:val="auto"/>
        </w:rPr>
      </w:pPr>
    </w:p>
    <w:p>
      <w:pPr>
        <w:ind w:left="640" w:right="839" w:firstLine="516"/>
        <w:spacing w:after="0" w:line="314" w:lineRule="auto"/>
        <w:rPr>
          <w:sz w:val="20"/>
          <w:szCs w:val="20"/>
          <w:color w:val="auto"/>
        </w:rPr>
      </w:pPr>
      <w:r>
        <w:rPr>
          <w:rFonts w:ascii="Arial" w:cs="Arial" w:eastAsia="Arial" w:hAnsi="Arial"/>
          <w:sz w:val="12"/>
          <w:szCs w:val="12"/>
          <w:color w:val="auto"/>
        </w:rPr>
        <w:t>For the six months ended June 30, 2024 and 2023, amounts paid and classified as operating activities in our unaudited consolidated statements of cash flows for leases in which we are the lessee aggregated $16.4 million and $18.0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188595</wp:posOffset>
            </wp:positionV>
            <wp:extent cx="5584190" cy="49060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584190" cy="4906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900" w:hanging="262"/>
        <w:spacing w:after="0"/>
        <w:tabs>
          <w:tab w:leader="none" w:pos="900" w:val="left"/>
        </w:tabs>
        <w:numPr>
          <w:ilvl w:val="0"/>
          <w:numId w:val="44"/>
        </w:numPr>
        <w:rPr>
          <w:rFonts w:ascii="Arial" w:cs="Arial" w:eastAsia="Arial" w:hAnsi="Arial"/>
          <w:sz w:val="13"/>
          <w:szCs w:val="13"/>
          <w:b w:val="1"/>
          <w:bCs w:val="1"/>
          <w:color w:val="00497F"/>
        </w:rPr>
      </w:pPr>
      <w:r>
        <w:rPr>
          <w:rFonts w:ascii="Arial" w:cs="Arial" w:eastAsia="Arial" w:hAnsi="Arial"/>
          <w:sz w:val="13"/>
          <w:szCs w:val="13"/>
          <w:b w:val="1"/>
          <w:bCs w:val="1"/>
          <w:color w:val="00497F"/>
        </w:rPr>
        <w:t>CASH, CASH EQUIVALENTS, AND RESTRICTED CASH</w:t>
      </w:r>
    </w:p>
    <w:p>
      <w:pPr>
        <w:spacing w:after="0" w:line="119" w:lineRule="exact"/>
        <w:rPr>
          <w:sz w:val="20"/>
          <w:szCs w:val="20"/>
          <w:color w:val="auto"/>
        </w:rPr>
      </w:pPr>
    </w:p>
    <w:p>
      <w:pPr>
        <w:ind w:left="640" w:right="1139" w:firstLine="516"/>
        <w:spacing w:after="0" w:line="272" w:lineRule="auto"/>
        <w:rPr>
          <w:sz w:val="20"/>
          <w:szCs w:val="20"/>
          <w:color w:val="auto"/>
        </w:rPr>
      </w:pPr>
      <w:r>
        <w:rPr>
          <w:rFonts w:ascii="Arial" w:cs="Arial" w:eastAsia="Arial" w:hAnsi="Arial"/>
          <w:sz w:val="13"/>
          <w:szCs w:val="13"/>
          <w:color w:val="auto"/>
        </w:rPr>
        <w:t>Cash, cash equivalents, and restricted cash consisted of the following as of June 30, 2024 and December 31, 2023 (in thousands):</w:t>
      </w:r>
    </w:p>
    <w:p>
      <w:pPr>
        <w:spacing w:after="0" w:line="123"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4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gridSpan w:val="2"/>
          </w:tcPr>
          <w:p>
            <w:pPr>
              <w:ind w:left="100"/>
              <w:spacing w:after="0"/>
              <w:rPr>
                <w:sz w:val="20"/>
                <w:szCs w:val="20"/>
                <w:color w:val="auto"/>
              </w:rPr>
            </w:pPr>
            <w:r>
              <w:rPr>
                <w:rFonts w:ascii="Arial" w:cs="Arial" w:eastAsia="Arial" w:hAnsi="Arial"/>
                <w:sz w:val="13"/>
                <w:szCs w:val="13"/>
                <w:color w:val="auto"/>
              </w:rPr>
              <w:t>June 30, 2024</w:t>
            </w:r>
          </w:p>
        </w:tc>
        <w:tc>
          <w:tcPr>
            <w:tcW w:w="140" w:type="dxa"/>
            <w:vAlign w:val="bottom"/>
          </w:tcPr>
          <w:p>
            <w:pPr>
              <w:spacing w:after="0"/>
              <w:rPr>
                <w:sz w:val="13"/>
                <w:szCs w:val="13"/>
                <w:color w:val="auto"/>
              </w:rPr>
            </w:pPr>
          </w:p>
        </w:tc>
        <w:tc>
          <w:tcPr>
            <w:tcW w:w="1300" w:type="dxa"/>
            <w:vAlign w:val="bottom"/>
          </w:tcPr>
          <w:p>
            <w:pPr>
              <w:jc w:val="right"/>
              <w:ind w:right="96"/>
              <w:spacing w:after="0"/>
              <w:rPr>
                <w:sz w:val="20"/>
                <w:szCs w:val="20"/>
                <w:color w:val="auto"/>
              </w:rPr>
            </w:pPr>
            <w:r>
              <w:rPr>
                <w:rFonts w:ascii="Arial" w:cs="Arial" w:eastAsia="Arial" w:hAnsi="Arial"/>
                <w:sz w:val="13"/>
                <w:szCs w:val="13"/>
                <w:color w:val="auto"/>
                <w:w w:val="98"/>
              </w:rPr>
              <w:t>December 31, 2023</w:t>
            </w:r>
          </w:p>
        </w:tc>
      </w:tr>
      <w:tr>
        <w:trPr>
          <w:trHeight w:val="184"/>
        </w:trPr>
        <w:tc>
          <w:tcPr>
            <w:tcW w:w="48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Cash and cash equivalents</w:t>
            </w: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561,021</w:t>
            </w:r>
          </w:p>
        </w:tc>
        <w:tc>
          <w:tcPr>
            <w:tcW w:w="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618,190</w:t>
            </w:r>
          </w:p>
        </w:tc>
      </w:tr>
      <w:tr>
        <w:trPr>
          <w:trHeight w:val="204"/>
        </w:trPr>
        <w:tc>
          <w:tcPr>
            <w:tcW w:w="4820" w:type="dxa"/>
            <w:vAlign w:val="bottom"/>
          </w:tcPr>
          <w:p>
            <w:pPr>
              <w:ind w:left="40"/>
              <w:spacing w:after="0"/>
              <w:rPr>
                <w:sz w:val="20"/>
                <w:szCs w:val="20"/>
                <w:color w:val="auto"/>
              </w:rPr>
            </w:pPr>
            <w:r>
              <w:rPr>
                <w:rFonts w:ascii="Arial" w:cs="Arial" w:eastAsia="Arial" w:hAnsi="Arial"/>
                <w:sz w:val="13"/>
                <w:szCs w:val="13"/>
                <w:color w:val="auto"/>
              </w:rPr>
              <w:t>Restricted cash:</w:t>
            </w: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4"/>
        </w:trPr>
        <w:tc>
          <w:tcPr>
            <w:tcW w:w="48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Funds held in escrow for real estate acquisitions</w:t>
            </w:r>
          </w:p>
        </w:tc>
        <w:tc>
          <w:tcPr>
            <w:tcW w:w="2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37,434</w:t>
            </w:r>
          </w:p>
        </w:tc>
      </w:tr>
      <w:tr>
        <w:trPr>
          <w:trHeight w:val="204"/>
        </w:trPr>
        <w:tc>
          <w:tcPr>
            <w:tcW w:w="4820" w:type="dxa"/>
            <w:vAlign w:val="bottom"/>
            <w:tcBorders>
              <w:bottom w:val="single" w:sz="8" w:color="CCEEFF"/>
            </w:tcBorders>
          </w:tcPr>
          <w:p>
            <w:pPr>
              <w:ind w:left="200"/>
              <w:spacing w:after="0"/>
              <w:rPr>
                <w:sz w:val="20"/>
                <w:szCs w:val="20"/>
                <w:color w:val="auto"/>
              </w:rPr>
            </w:pPr>
            <w:r>
              <w:rPr>
                <w:rFonts w:ascii="Arial" w:cs="Arial" w:eastAsia="Arial" w:hAnsi="Arial"/>
                <w:sz w:val="13"/>
                <w:szCs w:val="13"/>
                <w:color w:val="auto"/>
              </w:rPr>
              <w:t>Other</w:t>
            </w: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4,832</w:t>
            </w:r>
          </w:p>
        </w:tc>
        <w:tc>
          <w:tcPr>
            <w:tcW w:w="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5,147</w:t>
            </w:r>
          </w:p>
        </w:tc>
      </w:tr>
      <w:tr>
        <w:trPr>
          <w:trHeight w:val="184"/>
        </w:trPr>
        <w:tc>
          <w:tcPr>
            <w:tcW w:w="48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4,832</w:t>
            </w:r>
          </w:p>
        </w:tc>
        <w:tc>
          <w:tcPr>
            <w:tcW w:w="6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42,581</w:t>
            </w:r>
          </w:p>
        </w:tc>
      </w:tr>
      <w:tr>
        <w:trPr>
          <w:trHeight w:val="163"/>
        </w:trPr>
        <w:tc>
          <w:tcPr>
            <w:tcW w:w="4820" w:type="dxa"/>
            <w:vAlign w:val="bottom"/>
          </w:tcPr>
          <w:p>
            <w:pPr>
              <w:ind w:left="40"/>
              <w:spacing w:after="0"/>
              <w:rPr>
                <w:sz w:val="20"/>
                <w:szCs w:val="20"/>
                <w:color w:val="auto"/>
              </w:rPr>
            </w:pPr>
            <w:r>
              <w:rPr>
                <w:rFonts w:ascii="Arial" w:cs="Arial" w:eastAsia="Arial" w:hAnsi="Arial"/>
                <w:sz w:val="13"/>
                <w:szCs w:val="13"/>
                <w:color w:val="auto"/>
              </w:rPr>
              <w:t>Total</w:t>
            </w:r>
          </w:p>
        </w:tc>
        <w:tc>
          <w:tcPr>
            <w:tcW w:w="20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565,853</w:t>
            </w:r>
          </w:p>
        </w:tc>
        <w:tc>
          <w:tcPr>
            <w:tcW w:w="6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660,771</w:t>
            </w:r>
          </w:p>
        </w:tc>
      </w:tr>
      <w:tr>
        <w:trPr>
          <w:trHeight w:val="20"/>
        </w:trPr>
        <w:tc>
          <w:tcPr>
            <w:tcW w:w="4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900" w:hanging="262"/>
        <w:spacing w:after="0"/>
        <w:tabs>
          <w:tab w:leader="none" w:pos="900" w:val="left"/>
        </w:tabs>
        <w:numPr>
          <w:ilvl w:val="0"/>
          <w:numId w:val="45"/>
        </w:numPr>
        <w:rPr>
          <w:rFonts w:ascii="Arial" w:cs="Arial" w:eastAsia="Arial" w:hAnsi="Arial"/>
          <w:sz w:val="13"/>
          <w:szCs w:val="13"/>
          <w:b w:val="1"/>
          <w:bCs w:val="1"/>
          <w:color w:val="00497F"/>
        </w:rPr>
      </w:pPr>
      <w:r>
        <w:rPr>
          <w:rFonts w:ascii="Arial" w:cs="Arial" w:eastAsia="Arial" w:hAnsi="Arial"/>
          <w:sz w:val="13"/>
          <w:szCs w:val="13"/>
          <w:b w:val="1"/>
          <w:bCs w:val="1"/>
          <w:color w:val="00497F"/>
        </w:rPr>
        <w:t>INVESTMENTS</w:t>
      </w:r>
    </w:p>
    <w:p>
      <w:pPr>
        <w:spacing w:after="0" w:line="87" w:lineRule="exact"/>
        <w:rPr>
          <w:sz w:val="20"/>
          <w:szCs w:val="20"/>
          <w:color w:val="auto"/>
        </w:rPr>
      </w:pPr>
    </w:p>
    <w:p>
      <w:pPr>
        <w:ind w:left="640" w:right="659" w:firstLine="516"/>
        <w:spacing w:after="0" w:line="251" w:lineRule="auto"/>
        <w:rPr>
          <w:sz w:val="20"/>
          <w:szCs w:val="20"/>
          <w:color w:val="auto"/>
        </w:rPr>
      </w:pPr>
      <w:r>
        <w:rPr>
          <w:rFonts w:ascii="Arial" w:cs="Arial" w:eastAsia="Arial" w:hAnsi="Arial"/>
          <w:sz w:val="13"/>
          <w:szCs w:val="13"/>
          <w:color w:val="auto"/>
        </w:rPr>
        <w:t>We hold investments in publicly traded companies and privately held entities primarily involved in the life science industry. As a REIT, we generally limit our ownership of each individual entity’s voting stock to less than 10%. We evaluate each investment to determine whether we have the ability to exercise significant influence, but not control, over an investee. We evaluate investments in which our ownership is equal to or greater than 20%, but less than or equal to 50%, of an investee’s voting stock with a presumption that we have this ability. For our investments in limited partnerships that maintain specific ownership accounts, we presume that such ability exists when our ownership interest exceeds 3% to 5%. In addition to our ownership interest, we consider whether we have a board seat or whether we participate in the investee’s policy-making process, among other criteria, to determine if we have the ability to exert significant influence, but not control, over an investee. If we determine that we have such ability, we account for the investment under the equity method, as described below.</w:t>
      </w:r>
    </w:p>
    <w:p>
      <w:pPr>
        <w:spacing w:after="0" w:line="139"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00497F"/>
        </w:rPr>
        <w:t>Investments accounted for under the equity method</w:t>
      </w:r>
    </w:p>
    <w:p>
      <w:pPr>
        <w:spacing w:after="0" w:line="162" w:lineRule="exact"/>
        <w:rPr>
          <w:sz w:val="20"/>
          <w:szCs w:val="20"/>
          <w:color w:val="auto"/>
        </w:rPr>
      </w:pPr>
    </w:p>
    <w:p>
      <w:pPr>
        <w:ind w:left="640" w:right="719" w:firstLine="516"/>
        <w:spacing w:after="0" w:line="265" w:lineRule="auto"/>
        <w:rPr>
          <w:sz w:val="20"/>
          <w:szCs w:val="20"/>
          <w:color w:val="auto"/>
        </w:rPr>
      </w:pPr>
      <w:r>
        <w:rPr>
          <w:rFonts w:ascii="Arial" w:cs="Arial" w:eastAsia="Arial" w:hAnsi="Arial"/>
          <w:sz w:val="13"/>
          <w:szCs w:val="13"/>
          <w:color w:val="auto"/>
        </w:rPr>
        <w:t>Under the equity method of accounting, we initially recognize our investment at cost and subsequently adjust the carrying amount of the investment for our share of earnings or losses reported by the investee, distributions received, and other-than-temporary impairments.</w:t>
      </w:r>
    </w:p>
    <w:p>
      <w:pPr>
        <w:spacing w:after="0" w:line="117" w:lineRule="exact"/>
        <w:rPr>
          <w:sz w:val="20"/>
          <w:szCs w:val="20"/>
          <w:color w:val="auto"/>
        </w:rPr>
      </w:pPr>
    </w:p>
    <w:p>
      <w:pPr>
        <w:ind w:left="640" w:right="699" w:firstLine="516"/>
        <w:spacing w:after="0" w:line="265" w:lineRule="auto"/>
        <w:rPr>
          <w:sz w:val="20"/>
          <w:szCs w:val="20"/>
          <w:color w:val="auto"/>
        </w:rPr>
      </w:pPr>
      <w:r>
        <w:rPr>
          <w:rFonts w:ascii="Arial" w:cs="Arial" w:eastAsia="Arial" w:hAnsi="Arial"/>
          <w:sz w:val="13"/>
          <w:szCs w:val="13"/>
          <w:color w:val="auto"/>
        </w:rPr>
        <w:t>As of June 30, 2024, we had 10 investments in limited partnerships maintaining specific ownership accounts for each investor, which were accounted for under the equity method. These investments aggregated $139.3 million. Our ownership interest in each of these 10 investments was greater than 5%.</w:t>
      </w:r>
    </w:p>
    <w:p>
      <w:pPr>
        <w:spacing w:after="0" w:line="128"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00497F"/>
        </w:rPr>
        <w:t>Investments that do not qualify for the equity method of accounting</w:t>
      </w:r>
    </w:p>
    <w:p>
      <w:pPr>
        <w:spacing w:after="0" w:line="162" w:lineRule="exact"/>
        <w:rPr>
          <w:sz w:val="20"/>
          <w:szCs w:val="20"/>
          <w:color w:val="auto"/>
        </w:rPr>
      </w:pPr>
    </w:p>
    <w:p>
      <w:pPr>
        <w:jc w:val="both"/>
        <w:ind w:left="640" w:right="739" w:firstLine="516"/>
        <w:spacing w:after="0" w:line="265" w:lineRule="auto"/>
        <w:rPr>
          <w:sz w:val="20"/>
          <w:szCs w:val="20"/>
          <w:color w:val="auto"/>
        </w:rPr>
      </w:pPr>
      <w:r>
        <w:rPr>
          <w:rFonts w:ascii="Arial" w:cs="Arial" w:eastAsia="Arial" w:hAnsi="Arial"/>
          <w:sz w:val="13"/>
          <w:szCs w:val="13"/>
          <w:color w:val="auto"/>
        </w:rPr>
        <w:t>For investees over which we determine that we do not have the ability to exercise significant influence or control, we account for each investment depending on whether it is an investment in a (i) publicly traded company, (ii) privately held entity that reports NAV per share, or (iii) privately held entity that does not report NAV per share, as described below.</w:t>
      </w:r>
    </w:p>
    <w:p>
      <w:pPr>
        <w:spacing w:after="0" w:line="119" w:lineRule="exact"/>
        <w:rPr>
          <w:sz w:val="20"/>
          <w:szCs w:val="20"/>
          <w:color w:val="auto"/>
        </w:rPr>
      </w:pPr>
    </w:p>
    <w:p>
      <w:pPr>
        <w:ind w:left="640"/>
        <w:spacing w:after="0"/>
        <w:rPr>
          <w:sz w:val="20"/>
          <w:szCs w:val="20"/>
          <w:color w:val="auto"/>
        </w:rPr>
      </w:pPr>
      <w:r>
        <w:rPr>
          <w:rFonts w:ascii="Arial" w:cs="Arial" w:eastAsia="Arial" w:hAnsi="Arial"/>
          <w:sz w:val="13"/>
          <w:szCs w:val="13"/>
          <w:i w:val="1"/>
          <w:iCs w:val="1"/>
          <w:color w:val="auto"/>
        </w:rPr>
        <w:t>Investments in publicly traded companies</w:t>
      </w:r>
    </w:p>
    <w:p>
      <w:pPr>
        <w:spacing w:after="0" w:line="160" w:lineRule="exact"/>
        <w:rPr>
          <w:sz w:val="20"/>
          <w:szCs w:val="20"/>
          <w:color w:val="auto"/>
        </w:rPr>
      </w:pPr>
    </w:p>
    <w:p>
      <w:pPr>
        <w:ind w:left="640" w:right="1019" w:firstLine="516"/>
        <w:spacing w:after="0" w:line="333" w:lineRule="auto"/>
        <w:rPr>
          <w:sz w:val="20"/>
          <w:szCs w:val="20"/>
          <w:color w:val="auto"/>
        </w:rPr>
      </w:pPr>
      <w:r>
        <w:rPr>
          <w:rFonts w:ascii="Arial" w:cs="Arial" w:eastAsia="Arial" w:hAnsi="Arial"/>
          <w:sz w:val="12"/>
          <w:szCs w:val="12"/>
          <w:color w:val="auto"/>
        </w:rPr>
        <w:t>Our investments in publicly traded companies are classified as investments with readily determinable fair values and are presented at fair value in our consolidated balance sheets, with changes in fair value classified in investment income (loss) in our</w:t>
      </w:r>
    </w:p>
    <w:p>
      <w:pPr>
        <w:sectPr>
          <w:pgSz w:w="11900" w:h="16972" w:orient="portrait"/>
          <w:cols w:equalWidth="0" w:num="1">
            <w:col w:w="9019"/>
          </w:cols>
          <w:pgMar w:left="1440" w:top="129" w:right="1440" w:bottom="0" w:gutter="0" w:footer="0" w:header="0"/>
        </w:sectPr>
      </w:pPr>
    </w:p>
    <w:bookmarkStart w:id="22" w:name="page23"/>
    <w:bookmarkEnd w:id="22"/>
    <w:p>
      <w:pPr>
        <w:ind w:left="640" w:right="699"/>
        <w:spacing w:after="0" w:line="272" w:lineRule="auto"/>
        <w:rPr>
          <w:sz w:val="20"/>
          <w:szCs w:val="20"/>
          <w:color w:val="auto"/>
        </w:rPr>
      </w:pPr>
      <w:r>
        <w:rPr>
          <w:rFonts w:ascii="Arial" w:cs="Arial" w:eastAsia="Arial" w:hAnsi="Arial"/>
          <w:sz w:val="13"/>
          <w:szCs w:val="13"/>
          <w:color w:val="auto"/>
        </w:rPr>
        <w:t>consolidated statements of operations. The fair values for our investments in publicly traded companies are determined based on sales prices or quotes available on securities exchanges.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-207645</wp:posOffset>
            </wp:positionV>
            <wp:extent cx="5584190" cy="2307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584190" cy="2307590"/>
                    </a:xfrm>
                    <a:prstGeom prst="rect">
                      <a:avLst/>
                    </a:prstGeom>
                    <a:noFill/>
                  </pic:spPr>
                </pic:pic>
              </a:graphicData>
            </a:graphic>
          </wp:anchor>
        </w:drawing>
      </w:r>
    </w:p>
    <w:p>
      <w:pPr>
        <w:spacing w:after="0" w:line="105" w:lineRule="exact"/>
        <w:rPr>
          <w:sz w:val="20"/>
          <w:szCs w:val="20"/>
          <w:color w:val="auto"/>
        </w:rPr>
      </w:pPr>
    </w:p>
    <w:p>
      <w:pPr>
        <w:ind w:left="640"/>
        <w:spacing w:after="0"/>
        <w:rPr>
          <w:sz w:val="20"/>
          <w:szCs w:val="20"/>
          <w:color w:val="auto"/>
        </w:rPr>
      </w:pPr>
      <w:r>
        <w:rPr>
          <w:rFonts w:ascii="Arial" w:cs="Arial" w:eastAsia="Arial" w:hAnsi="Arial"/>
          <w:sz w:val="13"/>
          <w:szCs w:val="13"/>
          <w:i w:val="1"/>
          <w:iCs w:val="1"/>
          <w:color w:val="auto"/>
        </w:rPr>
        <w:t>Investments in privately held companies</w:t>
      </w:r>
    </w:p>
    <w:p>
      <w:pPr>
        <w:spacing w:after="0" w:line="160" w:lineRule="exact"/>
        <w:rPr>
          <w:sz w:val="20"/>
          <w:szCs w:val="20"/>
          <w:color w:val="auto"/>
        </w:rPr>
      </w:pPr>
    </w:p>
    <w:p>
      <w:pPr>
        <w:ind w:left="640" w:right="679" w:firstLine="516"/>
        <w:spacing w:after="0" w:line="265" w:lineRule="auto"/>
        <w:rPr>
          <w:sz w:val="20"/>
          <w:szCs w:val="20"/>
          <w:color w:val="auto"/>
        </w:rPr>
      </w:pPr>
      <w:r>
        <w:rPr>
          <w:rFonts w:ascii="Arial" w:cs="Arial" w:eastAsia="Arial" w:hAnsi="Arial"/>
          <w:sz w:val="13"/>
          <w:szCs w:val="13"/>
          <w:color w:val="auto"/>
        </w:rPr>
        <w:t>Our investments in privately held entities without readily determinable fair values consist of (i) investments in privately held entities that report NAV per share and (ii) investments in privately held entities that do not report NAV per share. These investments are accounted for as follows:</w:t>
      </w:r>
    </w:p>
    <w:p>
      <w:pPr>
        <w:spacing w:after="0" w:line="128" w:lineRule="exact"/>
        <w:rPr>
          <w:sz w:val="20"/>
          <w:szCs w:val="20"/>
          <w:color w:val="auto"/>
        </w:rPr>
      </w:pPr>
    </w:p>
    <w:p>
      <w:pPr>
        <w:ind w:left="1160"/>
        <w:spacing w:after="0"/>
        <w:rPr>
          <w:sz w:val="20"/>
          <w:szCs w:val="20"/>
          <w:color w:val="auto"/>
        </w:rPr>
      </w:pPr>
      <w:r>
        <w:rPr>
          <w:rFonts w:ascii="Arial" w:cs="Arial" w:eastAsia="Arial" w:hAnsi="Arial"/>
          <w:sz w:val="13"/>
          <w:szCs w:val="13"/>
          <w:u w:val="single" w:color="auto"/>
          <w:color w:val="auto"/>
        </w:rPr>
        <w:t>Investments in privately held entities that report NAV per share</w:t>
      </w:r>
    </w:p>
    <w:p>
      <w:pPr>
        <w:spacing w:after="0" w:line="151" w:lineRule="exact"/>
        <w:rPr>
          <w:sz w:val="20"/>
          <w:szCs w:val="20"/>
          <w:color w:val="auto"/>
        </w:rPr>
      </w:pPr>
    </w:p>
    <w:p>
      <w:pPr>
        <w:ind w:left="640" w:right="679" w:firstLine="516"/>
        <w:spacing w:after="0" w:line="257" w:lineRule="auto"/>
        <w:rPr>
          <w:sz w:val="20"/>
          <w:szCs w:val="20"/>
          <w:color w:val="auto"/>
        </w:rPr>
      </w:pPr>
      <w:r>
        <w:rPr>
          <w:rFonts w:ascii="Arial" w:cs="Arial" w:eastAsia="Arial" w:hAnsi="Arial"/>
          <w:sz w:val="13"/>
          <w:szCs w:val="13"/>
          <w:color w:val="auto"/>
        </w:rPr>
        <w:t>Investments in privately held entities that report NAV per share, such as our privately held investments in limited partnerships, are presented at fair value using NAV as a practical expedient, with changes in fair value classified in investment income (loss) in our consolidated statements of operations. We use NAV per share reported by limited partnerships generally without adjustment, unless we are aware of information indicating that the NAV reported by a limited partnership does not accurately reflect the fair value of the investment at our reporting date.</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188595</wp:posOffset>
            </wp:positionV>
            <wp:extent cx="5584190" cy="72205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900" w:hanging="262"/>
        <w:spacing w:after="0"/>
        <w:tabs>
          <w:tab w:leader="none" w:pos="900" w:val="left"/>
        </w:tabs>
        <w:numPr>
          <w:ilvl w:val="0"/>
          <w:numId w:val="46"/>
        </w:numPr>
        <w:rPr>
          <w:rFonts w:ascii="Arial" w:cs="Arial" w:eastAsia="Arial" w:hAnsi="Arial"/>
          <w:sz w:val="13"/>
          <w:szCs w:val="13"/>
          <w:b w:val="1"/>
          <w:bCs w:val="1"/>
          <w:color w:val="00497F"/>
        </w:rPr>
      </w:pPr>
      <w:r>
        <w:rPr>
          <w:rFonts w:ascii="Arial" w:cs="Arial" w:eastAsia="Arial" w:hAnsi="Arial"/>
          <w:sz w:val="13"/>
          <w:szCs w:val="13"/>
          <w:b w:val="1"/>
          <w:bCs w:val="1"/>
          <w:color w:val="00497F"/>
        </w:rPr>
        <w:t>INVESTMENTS (continued)</w:t>
      </w:r>
    </w:p>
    <w:p>
      <w:pPr>
        <w:spacing w:after="0" w:line="119" w:lineRule="exact"/>
        <w:rPr>
          <w:sz w:val="20"/>
          <w:szCs w:val="20"/>
          <w:color w:val="auto"/>
        </w:rPr>
      </w:pPr>
    </w:p>
    <w:p>
      <w:pPr>
        <w:ind w:left="1160"/>
        <w:spacing w:after="0"/>
        <w:rPr>
          <w:sz w:val="20"/>
          <w:szCs w:val="20"/>
          <w:color w:val="auto"/>
        </w:rPr>
      </w:pPr>
      <w:r>
        <w:rPr>
          <w:rFonts w:ascii="Arial" w:cs="Arial" w:eastAsia="Arial" w:hAnsi="Arial"/>
          <w:sz w:val="13"/>
          <w:szCs w:val="13"/>
          <w:u w:val="single" w:color="auto"/>
          <w:color w:val="auto"/>
        </w:rPr>
        <w:t>Investments in privately held entities that do not report NAV per share</w:t>
      </w:r>
    </w:p>
    <w:p>
      <w:pPr>
        <w:spacing w:after="0" w:line="162" w:lineRule="exact"/>
        <w:rPr>
          <w:sz w:val="20"/>
          <w:szCs w:val="20"/>
          <w:color w:val="auto"/>
        </w:rPr>
      </w:pPr>
    </w:p>
    <w:p>
      <w:pPr>
        <w:ind w:left="640" w:right="739" w:firstLine="516"/>
        <w:spacing w:after="0" w:line="265" w:lineRule="auto"/>
        <w:rPr>
          <w:sz w:val="20"/>
          <w:szCs w:val="20"/>
          <w:color w:val="auto"/>
        </w:rPr>
      </w:pPr>
      <w:r>
        <w:rPr>
          <w:rFonts w:ascii="Arial" w:cs="Arial" w:eastAsia="Arial" w:hAnsi="Arial"/>
          <w:sz w:val="13"/>
          <w:szCs w:val="13"/>
          <w:color w:val="auto"/>
        </w:rPr>
        <w:t>Investments in privately held entities that do not report NAV per share are accounted for using a measurement alternative, under which these investments are measured at cost, adjusted for observable price changes and impairments, with changes classified in investment income (loss) in our consolidated statements of operations.</w:t>
      </w:r>
    </w:p>
    <w:p>
      <w:pPr>
        <w:spacing w:after="0" w:line="117" w:lineRule="exact"/>
        <w:rPr>
          <w:sz w:val="20"/>
          <w:szCs w:val="20"/>
          <w:color w:val="auto"/>
        </w:rPr>
      </w:pPr>
    </w:p>
    <w:p>
      <w:pPr>
        <w:ind w:left="640" w:right="899" w:firstLine="516"/>
        <w:spacing w:after="0" w:line="254" w:lineRule="auto"/>
        <w:rPr>
          <w:sz w:val="20"/>
          <w:szCs w:val="20"/>
          <w:color w:val="auto"/>
        </w:rPr>
      </w:pPr>
      <w:r>
        <w:rPr>
          <w:rFonts w:ascii="Arial" w:cs="Arial" w:eastAsia="Arial" w:hAnsi="Arial"/>
          <w:sz w:val="13"/>
          <w:szCs w:val="13"/>
          <w:color w:val="auto"/>
        </w:rPr>
        <w:t>An observable price arises from an orderly transaction for an identical or similar investment of the same issuer, which is observed by an investor without expending undue cost and effort. Observable price changes result from, among other things, equity transactions of the same issuer executed during the reporting period, including subsequent equity offerings or other reported equity transactions related to the same issuer. To determine whether these transactions are indicative of an observable price change, we evaluate, among other factors, whether these transactions have similar rights and obligations, including voting rights, distribution preferences, and conversion rights to the investments we hold.</w:t>
      </w:r>
    </w:p>
    <w:p>
      <w:pPr>
        <w:spacing w:after="0" w:line="296" w:lineRule="exact"/>
        <w:rPr>
          <w:sz w:val="20"/>
          <w:szCs w:val="20"/>
          <w:color w:val="auto"/>
        </w:rPr>
      </w:pPr>
    </w:p>
    <w:p>
      <w:pPr>
        <w:ind w:left="640" w:right="959"/>
        <w:spacing w:after="0" w:line="284" w:lineRule="auto"/>
        <w:rPr>
          <w:sz w:val="20"/>
          <w:szCs w:val="20"/>
          <w:color w:val="auto"/>
        </w:rPr>
      </w:pPr>
      <w:r>
        <w:rPr>
          <w:rFonts w:ascii="Arial" w:cs="Arial" w:eastAsia="Arial" w:hAnsi="Arial"/>
          <w:sz w:val="13"/>
          <w:szCs w:val="13"/>
          <w:b w:val="1"/>
          <w:bCs w:val="1"/>
          <w:color w:val="00497F"/>
        </w:rPr>
        <w:t>Impairment evaluation of equity method investments and investments in privately held entities that do not report NAV per share</w:t>
      </w:r>
    </w:p>
    <w:p>
      <w:pPr>
        <w:spacing w:after="0" w:line="108" w:lineRule="exact"/>
        <w:rPr>
          <w:sz w:val="20"/>
          <w:szCs w:val="20"/>
          <w:color w:val="auto"/>
        </w:rPr>
      </w:pPr>
    </w:p>
    <w:p>
      <w:pPr>
        <w:ind w:left="640" w:right="679" w:firstLine="516"/>
        <w:spacing w:after="0" w:line="285" w:lineRule="auto"/>
        <w:rPr>
          <w:sz w:val="20"/>
          <w:szCs w:val="20"/>
          <w:color w:val="auto"/>
        </w:rPr>
      </w:pPr>
      <w:r>
        <w:rPr>
          <w:rFonts w:ascii="Arial" w:cs="Arial" w:eastAsia="Arial" w:hAnsi="Arial"/>
          <w:sz w:val="12"/>
          <w:szCs w:val="12"/>
          <w:color w:val="auto"/>
        </w:rPr>
        <w:t>We monitor equity method investments and investments in privately held entities that do not report NAV per share for new developments, including operating results, prospects and results of clinical trials, new product initiatives, new collaborative agreements, capital-raising events, and merger and acquisition activities. These investments are evaluated on the basis of a qualitative assessment for indicators of impairment by monitoring the presence of the following triggering events or impairment indicators:</w:t>
      </w:r>
    </w:p>
    <w:p>
      <w:pPr>
        <w:spacing w:after="0" w:line="118" w:lineRule="exact"/>
        <w:rPr>
          <w:sz w:val="20"/>
          <w:szCs w:val="20"/>
          <w:color w:val="auto"/>
        </w:rPr>
      </w:pPr>
    </w:p>
    <w:p>
      <w:pPr>
        <w:ind w:left="1420" w:hanging="267"/>
        <w:spacing w:after="0"/>
        <w:tabs>
          <w:tab w:leader="none" w:pos="1420" w:val="left"/>
        </w:tabs>
        <w:numPr>
          <w:ilvl w:val="0"/>
          <w:numId w:val="47"/>
        </w:numPr>
        <w:rPr>
          <w:rFonts w:ascii="Arial" w:cs="Arial" w:eastAsia="Arial" w:hAnsi="Arial"/>
          <w:sz w:val="13"/>
          <w:szCs w:val="13"/>
          <w:color w:val="auto"/>
        </w:rPr>
      </w:pPr>
      <w:r>
        <w:rPr>
          <w:rFonts w:ascii="Arial" w:cs="Arial" w:eastAsia="Arial" w:hAnsi="Arial"/>
          <w:sz w:val="13"/>
          <w:szCs w:val="13"/>
          <w:color w:val="auto"/>
        </w:rPr>
        <w:t>a significant deterioration in the earnings performance, credit rating, asset quality, or business prospects of the investee;</w:t>
      </w:r>
    </w:p>
    <w:p>
      <w:pPr>
        <w:spacing w:after="0" w:line="12" w:lineRule="exact"/>
        <w:rPr>
          <w:rFonts w:ascii="Arial" w:cs="Arial" w:eastAsia="Arial" w:hAnsi="Arial"/>
          <w:sz w:val="13"/>
          <w:szCs w:val="13"/>
          <w:color w:val="auto"/>
        </w:rPr>
      </w:pPr>
    </w:p>
    <w:p>
      <w:pPr>
        <w:ind w:left="1420" w:hanging="267"/>
        <w:spacing w:after="0"/>
        <w:tabs>
          <w:tab w:leader="none" w:pos="1420" w:val="left"/>
        </w:tabs>
        <w:numPr>
          <w:ilvl w:val="0"/>
          <w:numId w:val="47"/>
        </w:numPr>
        <w:rPr>
          <w:rFonts w:ascii="Arial" w:cs="Arial" w:eastAsia="Arial" w:hAnsi="Arial"/>
          <w:sz w:val="13"/>
          <w:szCs w:val="13"/>
          <w:color w:val="auto"/>
        </w:rPr>
      </w:pPr>
      <w:r>
        <w:rPr>
          <w:rFonts w:ascii="Arial" w:cs="Arial" w:eastAsia="Arial" w:hAnsi="Arial"/>
          <w:sz w:val="13"/>
          <w:szCs w:val="13"/>
          <w:color w:val="auto"/>
        </w:rPr>
        <w:t>a significant adverse change in the regulatory, economic, or technological environment of the investee;</w:t>
      </w:r>
    </w:p>
    <w:p>
      <w:pPr>
        <w:spacing w:after="0" w:line="7" w:lineRule="exact"/>
        <w:rPr>
          <w:rFonts w:ascii="Arial" w:cs="Arial" w:eastAsia="Arial" w:hAnsi="Arial"/>
          <w:sz w:val="13"/>
          <w:szCs w:val="13"/>
          <w:color w:val="auto"/>
        </w:rPr>
      </w:pPr>
    </w:p>
    <w:p>
      <w:pPr>
        <w:ind w:left="1420" w:right="759" w:hanging="267"/>
        <w:spacing w:after="0" w:line="244" w:lineRule="auto"/>
        <w:tabs>
          <w:tab w:leader="none" w:pos="1420" w:val="left"/>
        </w:tabs>
        <w:numPr>
          <w:ilvl w:val="0"/>
          <w:numId w:val="47"/>
        </w:numPr>
        <w:rPr>
          <w:rFonts w:ascii="Arial" w:cs="Arial" w:eastAsia="Arial" w:hAnsi="Arial"/>
          <w:sz w:val="13"/>
          <w:szCs w:val="13"/>
          <w:color w:val="auto"/>
        </w:rPr>
      </w:pPr>
      <w:r>
        <w:rPr>
          <w:rFonts w:ascii="Arial" w:cs="Arial" w:eastAsia="Arial" w:hAnsi="Arial"/>
          <w:sz w:val="13"/>
          <w:szCs w:val="13"/>
          <w:color w:val="auto"/>
        </w:rPr>
        <w:t>a significant adverse change in the general market condition, including the research and development of technology and products that the investee is bringing or attempting to bring to the market;</w:t>
      </w:r>
    </w:p>
    <w:p>
      <w:pPr>
        <w:spacing w:after="0" w:line="1" w:lineRule="exact"/>
        <w:rPr>
          <w:rFonts w:ascii="Arial" w:cs="Arial" w:eastAsia="Arial" w:hAnsi="Arial"/>
          <w:sz w:val="13"/>
          <w:szCs w:val="13"/>
          <w:color w:val="auto"/>
        </w:rPr>
      </w:pPr>
    </w:p>
    <w:p>
      <w:pPr>
        <w:ind w:left="1420" w:hanging="267"/>
        <w:spacing w:after="0"/>
        <w:tabs>
          <w:tab w:leader="none" w:pos="1420" w:val="left"/>
        </w:tabs>
        <w:numPr>
          <w:ilvl w:val="0"/>
          <w:numId w:val="47"/>
        </w:numPr>
        <w:rPr>
          <w:rFonts w:ascii="Arial" w:cs="Arial" w:eastAsia="Arial" w:hAnsi="Arial"/>
          <w:sz w:val="13"/>
          <w:szCs w:val="13"/>
          <w:color w:val="auto"/>
        </w:rPr>
      </w:pPr>
      <w:r>
        <w:rPr>
          <w:rFonts w:ascii="Arial" w:cs="Arial" w:eastAsia="Arial" w:hAnsi="Arial"/>
          <w:sz w:val="13"/>
          <w:szCs w:val="13"/>
          <w:color w:val="auto"/>
        </w:rPr>
        <w:t>significant concerns about the investee’s ability to continue as a going concern; and/or</w:t>
      </w:r>
    </w:p>
    <w:p>
      <w:pPr>
        <w:spacing w:after="0" w:line="7" w:lineRule="exact"/>
        <w:rPr>
          <w:rFonts w:ascii="Arial" w:cs="Arial" w:eastAsia="Arial" w:hAnsi="Arial"/>
          <w:sz w:val="13"/>
          <w:szCs w:val="13"/>
          <w:color w:val="auto"/>
        </w:rPr>
      </w:pPr>
    </w:p>
    <w:p>
      <w:pPr>
        <w:ind w:left="1420" w:hanging="267"/>
        <w:spacing w:after="0"/>
        <w:tabs>
          <w:tab w:leader="none" w:pos="1420" w:val="left"/>
        </w:tabs>
        <w:numPr>
          <w:ilvl w:val="0"/>
          <w:numId w:val="47"/>
        </w:numPr>
        <w:rPr>
          <w:rFonts w:ascii="Arial" w:cs="Arial" w:eastAsia="Arial" w:hAnsi="Arial"/>
          <w:sz w:val="13"/>
          <w:szCs w:val="13"/>
          <w:color w:val="auto"/>
        </w:rPr>
      </w:pPr>
      <w:r>
        <w:rPr>
          <w:rFonts w:ascii="Arial" w:cs="Arial" w:eastAsia="Arial" w:hAnsi="Arial"/>
          <w:sz w:val="13"/>
          <w:szCs w:val="13"/>
          <w:color w:val="auto"/>
        </w:rPr>
        <w:t>a decision by investors to cease providing support or reduce their financial commitment to the investee.</w:t>
      </w:r>
    </w:p>
    <w:p>
      <w:pPr>
        <w:spacing w:after="0" w:line="154" w:lineRule="exact"/>
        <w:rPr>
          <w:sz w:val="20"/>
          <w:szCs w:val="20"/>
          <w:color w:val="auto"/>
        </w:rPr>
      </w:pPr>
    </w:p>
    <w:p>
      <w:pPr>
        <w:ind w:left="640" w:right="1299" w:firstLine="516"/>
        <w:spacing w:after="0" w:line="272" w:lineRule="auto"/>
        <w:rPr>
          <w:sz w:val="20"/>
          <w:szCs w:val="20"/>
          <w:color w:val="auto"/>
        </w:rPr>
      </w:pPr>
      <w:r>
        <w:rPr>
          <w:rFonts w:ascii="Arial" w:cs="Arial" w:eastAsia="Arial" w:hAnsi="Arial"/>
          <w:sz w:val="13"/>
          <w:szCs w:val="13"/>
          <w:color w:val="auto"/>
        </w:rPr>
        <w:t>If such indicators are present, we are required to estimate the investment’s fair value and immediately recognize an impairment charge in an amount equal to the investment’s carrying value in excess of its estimated fair value.</w:t>
      </w:r>
    </w:p>
    <w:p>
      <w:pPr>
        <w:spacing w:after="0" w:line="123"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00497F"/>
        </w:rPr>
        <w:t>Investment income/loss recognition and classification</w:t>
      </w:r>
    </w:p>
    <w:p>
      <w:pPr>
        <w:spacing w:after="0" w:line="162" w:lineRule="exact"/>
        <w:rPr>
          <w:sz w:val="20"/>
          <w:szCs w:val="20"/>
          <w:color w:val="auto"/>
        </w:rPr>
      </w:pPr>
    </w:p>
    <w:p>
      <w:pPr>
        <w:ind w:left="640" w:right="1119" w:firstLine="516"/>
        <w:spacing w:after="0" w:line="272" w:lineRule="auto"/>
        <w:rPr>
          <w:sz w:val="20"/>
          <w:szCs w:val="20"/>
          <w:color w:val="auto"/>
        </w:rPr>
      </w:pPr>
      <w:r>
        <w:rPr>
          <w:rFonts w:ascii="Arial" w:cs="Arial" w:eastAsia="Arial" w:hAnsi="Arial"/>
          <w:sz w:val="13"/>
          <w:szCs w:val="13"/>
          <w:color w:val="auto"/>
        </w:rPr>
        <w:t>We recognize both realized and unrealized gains and losses in our consolidated statements of operations, classified in investment income (loss) in our consolidated statements of operations. Unrealized gains and losses represent:</w:t>
      </w:r>
    </w:p>
    <w:p>
      <w:pPr>
        <w:spacing w:after="0" w:line="123" w:lineRule="exact"/>
        <w:rPr>
          <w:sz w:val="20"/>
          <w:szCs w:val="20"/>
          <w:color w:val="auto"/>
        </w:rPr>
      </w:pPr>
    </w:p>
    <w:p>
      <w:pPr>
        <w:ind w:left="1420" w:hanging="267"/>
        <w:spacing w:after="0"/>
        <w:tabs>
          <w:tab w:leader="none" w:pos="1420" w:val="left"/>
        </w:tabs>
        <w:numPr>
          <w:ilvl w:val="0"/>
          <w:numId w:val="48"/>
        </w:numPr>
        <w:rPr>
          <w:rFonts w:ascii="Arial" w:cs="Arial" w:eastAsia="Arial" w:hAnsi="Arial"/>
          <w:sz w:val="13"/>
          <w:szCs w:val="13"/>
          <w:color w:val="auto"/>
        </w:rPr>
      </w:pPr>
      <w:r>
        <w:rPr>
          <w:rFonts w:ascii="Arial" w:cs="Arial" w:eastAsia="Arial" w:hAnsi="Arial"/>
          <w:sz w:val="13"/>
          <w:szCs w:val="13"/>
          <w:color w:val="auto"/>
        </w:rPr>
        <w:t>changes in fair value for investments in publicly traded companies;</w:t>
      </w:r>
    </w:p>
    <w:p>
      <w:pPr>
        <w:spacing w:after="0" w:line="12" w:lineRule="exact"/>
        <w:rPr>
          <w:rFonts w:ascii="Arial" w:cs="Arial" w:eastAsia="Arial" w:hAnsi="Arial"/>
          <w:sz w:val="13"/>
          <w:szCs w:val="13"/>
          <w:color w:val="auto"/>
        </w:rPr>
      </w:pPr>
    </w:p>
    <w:p>
      <w:pPr>
        <w:ind w:left="1420" w:hanging="267"/>
        <w:spacing w:after="0"/>
        <w:tabs>
          <w:tab w:leader="none" w:pos="1420" w:val="left"/>
        </w:tabs>
        <w:numPr>
          <w:ilvl w:val="0"/>
          <w:numId w:val="48"/>
        </w:numPr>
        <w:rPr>
          <w:rFonts w:ascii="Arial" w:cs="Arial" w:eastAsia="Arial" w:hAnsi="Arial"/>
          <w:sz w:val="13"/>
          <w:szCs w:val="13"/>
          <w:color w:val="auto"/>
        </w:rPr>
      </w:pPr>
      <w:r>
        <w:rPr>
          <w:rFonts w:ascii="Arial" w:cs="Arial" w:eastAsia="Arial" w:hAnsi="Arial"/>
          <w:sz w:val="13"/>
          <w:szCs w:val="13"/>
          <w:color w:val="auto"/>
        </w:rPr>
        <w:t>changes in NAV for investments in privately held entities that report NAV per share;</w:t>
      </w:r>
    </w:p>
    <w:p>
      <w:pPr>
        <w:spacing w:after="0" w:line="7" w:lineRule="exact"/>
        <w:rPr>
          <w:rFonts w:ascii="Arial" w:cs="Arial" w:eastAsia="Arial" w:hAnsi="Arial"/>
          <w:sz w:val="13"/>
          <w:szCs w:val="13"/>
          <w:color w:val="auto"/>
        </w:rPr>
      </w:pPr>
    </w:p>
    <w:p>
      <w:pPr>
        <w:ind w:left="1420" w:hanging="267"/>
        <w:spacing w:after="0"/>
        <w:tabs>
          <w:tab w:leader="none" w:pos="1420" w:val="left"/>
        </w:tabs>
        <w:numPr>
          <w:ilvl w:val="0"/>
          <w:numId w:val="48"/>
        </w:numPr>
        <w:rPr>
          <w:rFonts w:ascii="Arial" w:cs="Arial" w:eastAsia="Arial" w:hAnsi="Arial"/>
          <w:sz w:val="13"/>
          <w:szCs w:val="13"/>
          <w:color w:val="auto"/>
        </w:rPr>
      </w:pPr>
      <w:r>
        <w:rPr>
          <w:rFonts w:ascii="Arial" w:cs="Arial" w:eastAsia="Arial" w:hAnsi="Arial"/>
          <w:sz w:val="13"/>
          <w:szCs w:val="13"/>
          <w:color w:val="auto"/>
        </w:rPr>
        <w:t>observable price changes for investments in privately held entities that do not report NAV per share; and</w:t>
      </w:r>
    </w:p>
    <w:p>
      <w:pPr>
        <w:spacing w:after="0" w:line="5" w:lineRule="exact"/>
        <w:rPr>
          <w:rFonts w:ascii="Arial" w:cs="Arial" w:eastAsia="Arial" w:hAnsi="Arial"/>
          <w:sz w:val="13"/>
          <w:szCs w:val="13"/>
          <w:color w:val="auto"/>
        </w:rPr>
      </w:pPr>
    </w:p>
    <w:p>
      <w:pPr>
        <w:ind w:left="1420" w:hanging="267"/>
        <w:spacing w:after="0"/>
        <w:tabs>
          <w:tab w:leader="none" w:pos="1420" w:val="left"/>
        </w:tabs>
        <w:numPr>
          <w:ilvl w:val="0"/>
          <w:numId w:val="48"/>
        </w:numPr>
        <w:rPr>
          <w:rFonts w:ascii="Arial" w:cs="Arial" w:eastAsia="Arial" w:hAnsi="Arial"/>
          <w:sz w:val="13"/>
          <w:szCs w:val="13"/>
          <w:color w:val="auto"/>
        </w:rPr>
      </w:pPr>
      <w:r>
        <w:rPr>
          <w:rFonts w:ascii="Arial" w:cs="Arial" w:eastAsia="Arial" w:hAnsi="Arial"/>
          <w:sz w:val="13"/>
          <w:szCs w:val="13"/>
          <w:color w:val="auto"/>
        </w:rPr>
        <w:t>our share of unrealized gains or losses reported by our equity method investees.</w:t>
      </w:r>
    </w:p>
    <w:p>
      <w:pPr>
        <w:spacing w:after="0" w:line="150" w:lineRule="exact"/>
        <w:rPr>
          <w:sz w:val="20"/>
          <w:szCs w:val="20"/>
          <w:color w:val="auto"/>
        </w:rPr>
      </w:pPr>
    </w:p>
    <w:p>
      <w:pPr>
        <w:ind w:left="640" w:right="739" w:firstLine="516"/>
        <w:spacing w:after="0" w:line="253" w:lineRule="auto"/>
        <w:rPr>
          <w:sz w:val="20"/>
          <w:szCs w:val="20"/>
          <w:color w:val="auto"/>
        </w:rPr>
      </w:pPr>
      <w:r>
        <w:rPr>
          <w:rFonts w:ascii="Arial" w:cs="Arial" w:eastAsia="Arial" w:hAnsi="Arial"/>
          <w:sz w:val="13"/>
          <w:szCs w:val="13"/>
          <w:color w:val="auto"/>
        </w:rPr>
        <w:t>Realized gains and losses on our investments represent the difference between proceeds received upon disposition of investments and their historical or adjusted cost basis. For our equity method investments, realized gains and losses represent our share of realized gains or losses reported by the investee. Impairments are realized losses, which result in an adjusted cost basis, and represent charges to reduce the carrying values of investments in privately held entities that do not report NAV per share and equity method investments, if impairments are deemed other than temporary, to their estimated fair value.</w:t>
      </w:r>
    </w:p>
    <w:p>
      <w:pPr>
        <w:spacing w:after="0" w:line="136"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00497F"/>
        </w:rPr>
        <w:t>Funding commitments to investments in privately held entities that report NAV</w:t>
      </w:r>
    </w:p>
    <w:p>
      <w:pPr>
        <w:spacing w:after="0" w:line="162" w:lineRule="exact"/>
        <w:rPr>
          <w:sz w:val="20"/>
          <w:szCs w:val="20"/>
          <w:color w:val="auto"/>
        </w:rPr>
      </w:pPr>
    </w:p>
    <w:p>
      <w:pPr>
        <w:ind w:left="640" w:right="839" w:firstLine="516"/>
        <w:spacing w:after="0" w:line="284" w:lineRule="auto"/>
        <w:rPr>
          <w:sz w:val="20"/>
          <w:szCs w:val="20"/>
          <w:color w:val="auto"/>
        </w:rPr>
      </w:pPr>
      <w:r>
        <w:rPr>
          <w:rFonts w:ascii="Arial" w:cs="Arial" w:eastAsia="Arial" w:hAnsi="Arial"/>
          <w:sz w:val="12"/>
          <w:szCs w:val="12"/>
          <w:color w:val="auto"/>
        </w:rPr>
        <w:t>We are committed to funding approximately $402.0 million for our investments in privately held entities that report NAV. Our funding commitments expire at various dates over the next 12 years with a weighted-average expiration of 8.3 years as of June 30, 2024. These investments are not redeemable by us, but we may receive distributions from these investments throughout their terms. Our investments in privately held entities that report NAV generally have expected initial terms in excess of 10 years. The weighted-average remaining term during which these investments are expected to be liquidated was 5.4 years as of June 30,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188595</wp:posOffset>
            </wp:positionV>
            <wp:extent cx="5584190" cy="8623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584190" cy="862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900" w:hanging="262"/>
        <w:spacing w:after="0"/>
        <w:tabs>
          <w:tab w:leader="none" w:pos="900" w:val="left"/>
        </w:tabs>
        <w:numPr>
          <w:ilvl w:val="0"/>
          <w:numId w:val="49"/>
        </w:numPr>
        <w:rPr>
          <w:rFonts w:ascii="Arial" w:cs="Arial" w:eastAsia="Arial" w:hAnsi="Arial"/>
          <w:sz w:val="13"/>
          <w:szCs w:val="13"/>
          <w:b w:val="1"/>
          <w:bCs w:val="1"/>
          <w:color w:val="00497F"/>
        </w:rPr>
      </w:pPr>
      <w:r>
        <w:rPr>
          <w:rFonts w:ascii="Arial" w:cs="Arial" w:eastAsia="Arial" w:hAnsi="Arial"/>
          <w:sz w:val="13"/>
          <w:szCs w:val="13"/>
          <w:b w:val="1"/>
          <w:bCs w:val="1"/>
          <w:color w:val="00497F"/>
        </w:rPr>
        <w:t>INVESTMENTS (continued)</w:t>
      </w:r>
    </w:p>
    <w:p>
      <w:pPr>
        <w:spacing w:after="0" w:line="119" w:lineRule="exact"/>
        <w:rPr>
          <w:sz w:val="20"/>
          <w:szCs w:val="20"/>
          <w:color w:val="auto"/>
        </w:rPr>
      </w:pPr>
    </w:p>
    <w:p>
      <w:pPr>
        <w:ind w:left="1160"/>
        <w:spacing w:after="0"/>
        <w:rPr>
          <w:sz w:val="20"/>
          <w:szCs w:val="20"/>
          <w:color w:val="auto"/>
        </w:rPr>
      </w:pPr>
      <w:r>
        <w:rPr>
          <w:rFonts w:ascii="Arial" w:cs="Arial" w:eastAsia="Arial" w:hAnsi="Arial"/>
          <w:sz w:val="13"/>
          <w:szCs w:val="13"/>
          <w:color w:val="auto"/>
        </w:rPr>
        <w:t>The following tables summarize our investments as of June 30, 2024 and December 31, 2023 (in thousands):</w:t>
      </w:r>
    </w:p>
    <w:p>
      <w:pPr>
        <w:spacing w:after="0" w:line="151" w:lineRule="exact"/>
        <w:rPr>
          <w:sz w:val="20"/>
          <w:szCs w:val="20"/>
          <w:color w:val="auto"/>
        </w:rPr>
      </w:pPr>
    </w:p>
    <w:p>
      <w:pPr>
        <w:ind w:left="5960"/>
        <w:spacing w:after="0"/>
        <w:rPr>
          <w:sz w:val="20"/>
          <w:szCs w:val="20"/>
          <w:color w:val="auto"/>
        </w:rPr>
      </w:pPr>
      <w:r>
        <w:rPr>
          <w:rFonts w:ascii="Arial" w:cs="Arial" w:eastAsia="Arial" w:hAnsi="Arial"/>
          <w:sz w:val="13"/>
          <w:szCs w:val="13"/>
          <w:color w:val="auto"/>
        </w:rPr>
        <w:t>June 30, 2024</w:t>
      </w:r>
    </w:p>
    <w:p>
      <w:pPr>
        <w:sectPr>
          <w:pgSz w:w="11900" w:h="16838" w:orient="portrait"/>
          <w:cols w:equalWidth="0" w:num="1">
            <w:col w:w="9019"/>
          </w:cols>
          <w:pgMar w:left="1440" w:top="129" w:right="1440" w:bottom="0" w:gutter="0" w:footer="0" w:header="0"/>
        </w:sectPr>
      </w:pPr>
    </w:p>
    <w:bookmarkStart w:id="23" w:name="page24"/>
    <w:bookmarkEnd w:id="23"/>
    <w:p>
      <w:pPr>
        <w:spacing w:after="0" w:line="40" w:lineRule="exact"/>
        <w:rPr>
          <w:sz w:val="20"/>
          <w:szCs w:val="20"/>
          <w:color w:val="auto"/>
        </w:rPr>
      </w:pPr>
    </w:p>
    <w:tbl>
      <w:tblPr>
        <w:tblLayout w:type="fixed"/>
        <w:tblInd w:w="640" w:type="dxa"/>
        <w:tblCellMar>
          <w:top w:w="0" w:type="dxa"/>
          <w:left w:w="0" w:type="dxa"/>
          <w:bottom w:w="0" w:type="dxa"/>
          <w:right w:w="0" w:type="dxa"/>
        </w:tblCellMar>
      </w:tblPr>
      <w:tr>
        <w:trPr>
          <w:trHeight w:val="149"/>
        </w:trPr>
        <w:tc>
          <w:tcPr>
            <w:tcW w:w="3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gridSpan w:val="3"/>
            <w:vMerge w:val="restart"/>
          </w:tcPr>
          <w:p>
            <w:pPr>
              <w:ind w:left="140"/>
              <w:spacing w:after="0"/>
              <w:rPr>
                <w:sz w:val="20"/>
                <w:szCs w:val="20"/>
                <w:color w:val="auto"/>
              </w:rPr>
            </w:pPr>
            <w:r>
              <w:rPr>
                <w:rFonts w:ascii="Arial" w:cs="Arial" w:eastAsia="Arial" w:hAnsi="Arial"/>
                <w:sz w:val="13"/>
                <w:szCs w:val="13"/>
                <w:color w:val="auto"/>
              </w:rPr>
              <w:t>Cost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3"/>
          </w:tcPr>
          <w:p>
            <w:pPr>
              <w:jc w:val="center"/>
              <w:ind w:right="180"/>
              <w:spacing w:after="0"/>
              <w:rPr>
                <w:sz w:val="20"/>
                <w:szCs w:val="20"/>
                <w:color w:val="auto"/>
              </w:rPr>
            </w:pPr>
            <w:r>
              <w:rPr>
                <w:rFonts w:ascii="Arial" w:cs="Arial" w:eastAsia="Arial" w:hAnsi="Arial"/>
                <w:sz w:val="13"/>
                <w:szCs w:val="13"/>
                <w:color w:val="auto"/>
                <w:w w:val="99"/>
              </w:rPr>
              <w:t>Unrealized</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3"/>
          </w:tcPr>
          <w:p>
            <w:pPr>
              <w:jc w:val="center"/>
              <w:ind w:right="180"/>
              <w:spacing w:after="0"/>
              <w:rPr>
                <w:sz w:val="20"/>
                <w:szCs w:val="20"/>
                <w:color w:val="auto"/>
              </w:rPr>
            </w:pPr>
            <w:r>
              <w:rPr>
                <w:rFonts w:ascii="Arial" w:cs="Arial" w:eastAsia="Arial" w:hAnsi="Arial"/>
                <w:sz w:val="13"/>
                <w:szCs w:val="13"/>
                <w:color w:val="auto"/>
                <w:w w:val="96"/>
              </w:rPr>
              <w:t>Unrealized</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jc w:val="center"/>
              <w:ind w:right="116"/>
              <w:spacing w:after="0"/>
              <w:rPr>
                <w:sz w:val="20"/>
                <w:szCs w:val="20"/>
                <w:color w:val="auto"/>
              </w:rPr>
            </w:pPr>
            <w:r>
              <w:rPr>
                <w:rFonts w:ascii="Arial" w:cs="Arial" w:eastAsia="Arial" w:hAnsi="Arial"/>
                <w:sz w:val="13"/>
                <w:szCs w:val="13"/>
                <w:color w:val="auto"/>
                <w:w w:val="97"/>
              </w:rPr>
              <w:t>Carrying</w:t>
            </w:r>
          </w:p>
        </w:tc>
        <w:tc>
          <w:tcPr>
            <w:tcW w:w="0" w:type="dxa"/>
            <w:vAlign w:val="bottom"/>
          </w:tcPr>
          <w:p>
            <w:pPr>
              <w:spacing w:after="0"/>
              <w:rPr>
                <w:sz w:val="1"/>
                <w:szCs w:val="1"/>
                <w:color w:val="auto"/>
              </w:rPr>
            </w:pPr>
          </w:p>
        </w:tc>
      </w:tr>
      <w:tr>
        <w:trPr>
          <w:trHeight w:val="97"/>
        </w:trPr>
        <w:tc>
          <w:tcPr>
            <w:tcW w:w="372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gridSpan w:val="3"/>
            <w:vMerge w:val="continue"/>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gridSpan w:val="3"/>
          </w:tcPr>
          <w:p>
            <w:pPr>
              <w:jc w:val="center"/>
              <w:ind w:right="180"/>
              <w:spacing w:after="0" w:line="97" w:lineRule="exact"/>
              <w:rPr>
                <w:sz w:val="20"/>
                <w:szCs w:val="20"/>
                <w:color w:val="auto"/>
              </w:rPr>
            </w:pPr>
            <w:r>
              <w:rPr>
                <w:rFonts w:ascii="Arial" w:cs="Arial" w:eastAsia="Arial" w:hAnsi="Arial"/>
                <w:sz w:val="11"/>
                <w:szCs w:val="11"/>
                <w:color w:val="auto"/>
              </w:rPr>
              <w:t>Gains</w:t>
            </w:r>
          </w:p>
        </w:tc>
        <w:tc>
          <w:tcPr>
            <w:tcW w:w="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gridSpan w:val="3"/>
          </w:tcPr>
          <w:p>
            <w:pPr>
              <w:jc w:val="center"/>
              <w:ind w:right="180"/>
              <w:spacing w:after="0" w:line="97" w:lineRule="exact"/>
              <w:rPr>
                <w:sz w:val="20"/>
                <w:szCs w:val="20"/>
                <w:color w:val="auto"/>
              </w:rPr>
            </w:pPr>
            <w:r>
              <w:rPr>
                <w:rFonts w:ascii="Arial" w:cs="Arial" w:eastAsia="Arial" w:hAnsi="Arial"/>
                <w:sz w:val="11"/>
                <w:szCs w:val="11"/>
                <w:color w:val="auto"/>
              </w:rPr>
              <w:t>Losses</w:t>
            </w:r>
          </w:p>
        </w:tc>
        <w:tc>
          <w:tcPr>
            <w:tcW w:w="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jc w:val="center"/>
              <w:ind w:right="116"/>
              <w:spacing w:after="0" w:line="97" w:lineRule="exact"/>
              <w:rPr>
                <w:sz w:val="20"/>
                <w:szCs w:val="20"/>
                <w:color w:val="auto"/>
              </w:rPr>
            </w:pPr>
            <w:r>
              <w:rPr>
                <w:rFonts w:ascii="Arial" w:cs="Arial" w:eastAsia="Arial" w:hAnsi="Arial"/>
                <w:sz w:val="11"/>
                <w:szCs w:val="11"/>
                <w:color w:val="auto"/>
              </w:rPr>
              <w:t>Amount</w:t>
            </w:r>
          </w:p>
        </w:tc>
        <w:tc>
          <w:tcPr>
            <w:tcW w:w="0" w:type="dxa"/>
            <w:vAlign w:val="bottom"/>
          </w:tcPr>
          <w:p>
            <w:pPr>
              <w:spacing w:after="0"/>
              <w:rPr>
                <w:sz w:val="1"/>
                <w:szCs w:val="1"/>
                <w:color w:val="auto"/>
              </w:rPr>
            </w:pPr>
          </w:p>
        </w:tc>
      </w:tr>
      <w:tr>
        <w:trPr>
          <w:trHeight w:val="181"/>
        </w:trPr>
        <w:tc>
          <w:tcPr>
            <w:tcW w:w="3720" w:type="dxa"/>
            <w:vAlign w:val="bottom"/>
          </w:tcPr>
          <w:p>
            <w:pPr>
              <w:ind w:left="40"/>
              <w:spacing w:after="0"/>
              <w:rPr>
                <w:sz w:val="20"/>
                <w:szCs w:val="20"/>
                <w:color w:val="auto"/>
              </w:rPr>
            </w:pPr>
            <w:r>
              <w:rPr>
                <w:rFonts w:ascii="Arial" w:cs="Arial" w:eastAsia="Arial" w:hAnsi="Arial"/>
                <w:sz w:val="13"/>
                <w:szCs w:val="13"/>
                <w:color w:val="auto"/>
              </w:rPr>
              <w:t>Publicly traded companies</w:t>
            </w:r>
          </w:p>
        </w:tc>
        <w:tc>
          <w:tcPr>
            <w:tcW w:w="22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201,321</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42,052</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(90,182)</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153,191</w:t>
            </w:r>
          </w:p>
        </w:tc>
        <w:tc>
          <w:tcPr>
            <w:tcW w:w="0" w:type="dxa"/>
            <w:vAlign w:val="bottom"/>
          </w:tcPr>
          <w:p>
            <w:pPr>
              <w:spacing w:after="0"/>
              <w:rPr>
                <w:sz w:val="1"/>
                <w:szCs w:val="1"/>
                <w:color w:val="auto"/>
              </w:rPr>
            </w:pPr>
          </w:p>
        </w:tc>
      </w:tr>
      <w:tr>
        <w:trPr>
          <w:trHeight w:val="204"/>
        </w:trPr>
        <w:tc>
          <w:tcPr>
            <w:tcW w:w="3720" w:type="dxa"/>
            <w:vAlign w:val="bottom"/>
          </w:tcPr>
          <w:p>
            <w:pPr>
              <w:ind w:left="40"/>
              <w:spacing w:after="0"/>
              <w:rPr>
                <w:sz w:val="20"/>
                <w:szCs w:val="20"/>
                <w:color w:val="auto"/>
              </w:rPr>
            </w:pPr>
            <w:r>
              <w:rPr>
                <w:rFonts w:ascii="Arial" w:cs="Arial" w:eastAsia="Arial" w:hAnsi="Arial"/>
                <w:sz w:val="13"/>
                <w:szCs w:val="13"/>
                <w:color w:val="auto"/>
              </w:rPr>
              <w:t>Entities that report NAV</w:t>
            </w: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510,335</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162,559</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(33,254)</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639,640</w:t>
            </w:r>
          </w:p>
        </w:tc>
        <w:tc>
          <w:tcPr>
            <w:tcW w:w="0" w:type="dxa"/>
            <w:vAlign w:val="bottom"/>
          </w:tcPr>
          <w:p>
            <w:pPr>
              <w:spacing w:after="0"/>
              <w:rPr>
                <w:sz w:val="1"/>
                <w:szCs w:val="1"/>
                <w:color w:val="auto"/>
              </w:rPr>
            </w:pPr>
          </w:p>
        </w:tc>
      </w:tr>
      <w:tr>
        <w:trPr>
          <w:trHeight w:val="204"/>
        </w:trPr>
        <w:tc>
          <w:tcPr>
            <w:tcW w:w="3720" w:type="dxa"/>
            <w:vAlign w:val="bottom"/>
          </w:tcPr>
          <w:p>
            <w:pPr>
              <w:ind w:left="40"/>
              <w:spacing w:after="0"/>
              <w:rPr>
                <w:sz w:val="20"/>
                <w:szCs w:val="20"/>
                <w:color w:val="auto"/>
              </w:rPr>
            </w:pPr>
            <w:r>
              <w:rPr>
                <w:rFonts w:ascii="Arial" w:cs="Arial" w:eastAsia="Arial" w:hAnsi="Arial"/>
                <w:sz w:val="13"/>
                <w:szCs w:val="13"/>
                <w:color w:val="auto"/>
              </w:rPr>
              <w:t>Entities that do not report NAV:</w:t>
            </w: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720" w:type="dxa"/>
            <w:vAlign w:val="bottom"/>
          </w:tcPr>
          <w:p>
            <w:pPr>
              <w:ind w:left="200"/>
              <w:spacing w:after="0"/>
              <w:rPr>
                <w:sz w:val="20"/>
                <w:szCs w:val="20"/>
                <w:color w:val="auto"/>
              </w:rPr>
            </w:pPr>
            <w:r>
              <w:rPr>
                <w:rFonts w:ascii="Arial" w:cs="Arial" w:eastAsia="Arial" w:hAnsi="Arial"/>
                <w:sz w:val="13"/>
                <w:szCs w:val="13"/>
                <w:color w:val="auto"/>
              </w:rPr>
              <w:t>Entities with observable price changes</w:t>
            </w: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94,509</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79,609</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(1,007)</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ind w:right="16"/>
              <w:spacing w:after="0"/>
              <w:rPr>
                <w:sz w:val="20"/>
                <w:szCs w:val="20"/>
                <w:color w:val="auto"/>
              </w:rPr>
            </w:pPr>
            <w:r>
              <w:rPr>
                <w:rFonts w:ascii="Arial" w:cs="Arial" w:eastAsia="Arial" w:hAnsi="Arial"/>
                <w:sz w:val="13"/>
                <w:szCs w:val="13"/>
                <w:color w:val="auto"/>
              </w:rPr>
              <w:t>173,111</w:t>
            </w:r>
          </w:p>
        </w:tc>
        <w:tc>
          <w:tcPr>
            <w:tcW w:w="0" w:type="dxa"/>
            <w:vAlign w:val="bottom"/>
          </w:tcPr>
          <w:p>
            <w:pPr>
              <w:spacing w:after="0"/>
              <w:rPr>
                <w:sz w:val="1"/>
                <w:szCs w:val="1"/>
                <w:color w:val="auto"/>
              </w:rPr>
            </w:pPr>
          </w:p>
        </w:tc>
      </w:tr>
      <w:tr>
        <w:trPr>
          <w:trHeight w:val="204"/>
        </w:trPr>
        <w:tc>
          <w:tcPr>
            <w:tcW w:w="3720" w:type="dxa"/>
            <w:vAlign w:val="bottom"/>
          </w:tcPr>
          <w:p>
            <w:pPr>
              <w:ind w:left="200"/>
              <w:spacing w:after="0"/>
              <w:rPr>
                <w:sz w:val="20"/>
                <w:szCs w:val="20"/>
                <w:color w:val="auto"/>
              </w:rPr>
            </w:pPr>
            <w:r>
              <w:rPr>
                <w:rFonts w:ascii="Arial" w:cs="Arial" w:eastAsia="Arial" w:hAnsi="Arial"/>
                <w:sz w:val="13"/>
                <w:szCs w:val="13"/>
                <w:color w:val="auto"/>
              </w:rPr>
              <w:t>Entities without observable price changes</w:t>
            </w: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389,124</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389,124</w:t>
            </w:r>
          </w:p>
        </w:tc>
        <w:tc>
          <w:tcPr>
            <w:tcW w:w="0" w:type="dxa"/>
            <w:vAlign w:val="bottom"/>
          </w:tcPr>
          <w:p>
            <w:pPr>
              <w:spacing w:after="0"/>
              <w:rPr>
                <w:sz w:val="1"/>
                <w:szCs w:val="1"/>
                <w:color w:val="auto"/>
              </w:rPr>
            </w:pPr>
          </w:p>
        </w:tc>
      </w:tr>
      <w:tr>
        <w:trPr>
          <w:trHeight w:val="204"/>
        </w:trPr>
        <w:tc>
          <w:tcPr>
            <w:tcW w:w="3720" w:type="dxa"/>
            <w:vAlign w:val="bottom"/>
          </w:tcPr>
          <w:p>
            <w:pPr>
              <w:ind w:left="40"/>
              <w:spacing w:after="0"/>
              <w:rPr>
                <w:sz w:val="20"/>
                <w:szCs w:val="20"/>
                <w:color w:val="auto"/>
              </w:rPr>
            </w:pPr>
            <w:r>
              <w:rPr>
                <w:rFonts w:ascii="Arial" w:cs="Arial" w:eastAsia="Arial" w:hAnsi="Arial"/>
                <w:sz w:val="13"/>
                <w:szCs w:val="13"/>
                <w:color w:val="auto"/>
              </w:rPr>
              <w:t>Investments accounted for under the equity method</w:t>
            </w:r>
          </w:p>
        </w:tc>
        <w:tc>
          <w:tcPr>
            <w:tcW w:w="220" w:type="dxa"/>
            <w:vAlign w:val="bottom"/>
          </w:tcPr>
          <w:p>
            <w:pPr>
              <w:spacing w:after="0"/>
              <w:rPr>
                <w:sz w:val="17"/>
                <w:szCs w:val="17"/>
                <w:color w:val="auto"/>
              </w:rPr>
            </w:pPr>
          </w:p>
        </w:tc>
        <w:tc>
          <w:tcPr>
            <w:tcW w:w="800" w:type="dxa"/>
            <w:vAlign w:val="bottom"/>
            <w:gridSpan w:val="3"/>
          </w:tcPr>
          <w:p>
            <w:pPr>
              <w:ind w:left="520"/>
              <w:spacing w:after="0"/>
              <w:rPr>
                <w:sz w:val="20"/>
                <w:szCs w:val="20"/>
                <w:color w:val="auto"/>
              </w:rPr>
            </w:pPr>
            <w:r>
              <w:rPr>
                <w:rFonts w:ascii="Arial" w:cs="Arial" w:eastAsia="Arial" w:hAnsi="Arial"/>
                <w:sz w:val="13"/>
                <w:szCs w:val="13"/>
                <w:color w:val="auto"/>
              </w:rPr>
              <w:t>N/A</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3"/>
          </w:tcPr>
          <w:p>
            <w:pPr>
              <w:ind w:left="580"/>
              <w:spacing w:after="0"/>
              <w:rPr>
                <w:sz w:val="20"/>
                <w:szCs w:val="20"/>
                <w:color w:val="auto"/>
              </w:rPr>
            </w:pPr>
            <w:r>
              <w:rPr>
                <w:rFonts w:ascii="Arial" w:cs="Arial" w:eastAsia="Arial" w:hAnsi="Arial"/>
                <w:sz w:val="13"/>
                <w:szCs w:val="13"/>
                <w:color w:val="auto"/>
              </w:rPr>
              <w:t>N/A</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3"/>
          </w:tcPr>
          <w:p>
            <w:pPr>
              <w:ind w:left="580"/>
              <w:spacing w:after="0"/>
              <w:rPr>
                <w:sz w:val="20"/>
                <w:szCs w:val="20"/>
                <w:color w:val="auto"/>
              </w:rPr>
            </w:pPr>
            <w:r>
              <w:rPr>
                <w:rFonts w:ascii="Arial" w:cs="Arial" w:eastAsia="Arial" w:hAnsi="Arial"/>
                <w:sz w:val="13"/>
                <w:szCs w:val="13"/>
                <w:color w:val="auto"/>
              </w:rPr>
              <w:t>N/A</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139,282</w:t>
            </w:r>
          </w:p>
        </w:tc>
        <w:tc>
          <w:tcPr>
            <w:tcW w:w="0" w:type="dxa"/>
            <w:vAlign w:val="bottom"/>
          </w:tcPr>
          <w:p>
            <w:pPr>
              <w:spacing w:after="0"/>
              <w:rPr>
                <w:sz w:val="1"/>
                <w:szCs w:val="1"/>
                <w:color w:val="auto"/>
              </w:rPr>
            </w:pPr>
          </w:p>
        </w:tc>
      </w:tr>
      <w:tr>
        <w:trPr>
          <w:trHeight w:val="204"/>
        </w:trPr>
        <w:tc>
          <w:tcPr>
            <w:tcW w:w="3720" w:type="dxa"/>
            <w:vAlign w:val="bottom"/>
          </w:tcPr>
          <w:p>
            <w:pPr>
              <w:ind w:left="40"/>
              <w:spacing w:after="0"/>
              <w:rPr>
                <w:sz w:val="20"/>
                <w:szCs w:val="20"/>
                <w:color w:val="auto"/>
              </w:rPr>
            </w:pPr>
            <w:r>
              <w:rPr>
                <w:rFonts w:ascii="Arial" w:cs="Arial" w:eastAsia="Arial" w:hAnsi="Arial"/>
                <w:sz w:val="13"/>
                <w:szCs w:val="13"/>
                <w:color w:val="auto"/>
              </w:rPr>
              <w:t>Total investments</w:t>
            </w:r>
          </w:p>
        </w:tc>
        <w:tc>
          <w:tcPr>
            <w:tcW w:w="22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1,195,289</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284,220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(124,443)</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1,494,348</w:t>
            </w:r>
          </w:p>
        </w:tc>
        <w:tc>
          <w:tcPr>
            <w:tcW w:w="0" w:type="dxa"/>
            <w:vAlign w:val="bottom"/>
          </w:tcPr>
          <w:p>
            <w:pPr>
              <w:spacing w:after="0"/>
              <w:rPr>
                <w:sz w:val="1"/>
                <w:szCs w:val="1"/>
                <w:color w:val="auto"/>
              </w:rPr>
            </w:pPr>
          </w:p>
        </w:tc>
      </w:tr>
      <w:tr>
        <w:trPr>
          <w:trHeight w:val="132"/>
        </w:trPr>
        <w:tc>
          <w:tcPr>
            <w:tcW w:w="3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9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372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spacing w:after="0"/>
              <w:rPr>
                <w:sz w:val="15"/>
                <w:szCs w:val="15"/>
                <w:color w:val="auto"/>
              </w:rPr>
            </w:pPr>
          </w:p>
        </w:tc>
        <w:tc>
          <w:tcPr>
            <w:tcW w:w="740" w:type="dxa"/>
            <w:vAlign w:val="bottom"/>
            <w:tcBorders>
              <w:top w:val="single" w:sz="8" w:color="auto"/>
              <w:bottom w:val="single" w:sz="8" w:color="auto"/>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auto"/>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spacing w:after="0"/>
              <w:rPr>
                <w:sz w:val="15"/>
                <w:szCs w:val="15"/>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December</w:t>
            </w: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960" w:type="dxa"/>
            <w:vAlign w:val="bottom"/>
            <w:tcBorders>
              <w:top w:val="single" w:sz="8" w:color="auto"/>
              <w:bottom w:val="single" w:sz="8" w:color="auto"/>
            </w:tcBorders>
            <w:gridSpan w:val="3"/>
            <w:shd w:val="clear" w:color="auto" w:fill="CCEEFF"/>
          </w:tcPr>
          <w:p>
            <w:pPr>
              <w:ind w:left="60"/>
              <w:spacing w:after="0"/>
              <w:rPr>
                <w:sz w:val="20"/>
                <w:szCs w:val="20"/>
                <w:color w:val="auto"/>
              </w:rPr>
            </w:pPr>
            <w:r>
              <w:rPr>
                <w:rFonts w:ascii="Arial" w:cs="Arial" w:eastAsia="Arial" w:hAnsi="Arial"/>
                <w:sz w:val="13"/>
                <w:szCs w:val="13"/>
                <w:color w:val="auto"/>
              </w:rPr>
              <w:t>31, 2023</w:t>
            </w: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780" w:type="dxa"/>
            <w:vAlign w:val="bottom"/>
            <w:tcBorders>
              <w:top w:val="single" w:sz="8" w:color="auto"/>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3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gridSpan w:val="2"/>
            <w:vMerge w:val="restart"/>
          </w:tcPr>
          <w:p>
            <w:pPr>
              <w:ind w:left="160"/>
              <w:spacing w:after="0"/>
              <w:rPr>
                <w:sz w:val="20"/>
                <w:szCs w:val="20"/>
                <w:color w:val="auto"/>
              </w:rPr>
            </w:pPr>
            <w:r>
              <w:rPr>
                <w:rFonts w:ascii="Arial" w:cs="Arial" w:eastAsia="Arial" w:hAnsi="Arial"/>
                <w:sz w:val="13"/>
                <w:szCs w:val="13"/>
                <w:color w:val="auto"/>
              </w:rPr>
              <w:t>Cost</w:t>
            </w:r>
          </w:p>
        </w:tc>
        <w:tc>
          <w:tcPr>
            <w:tcW w:w="20" w:type="dxa"/>
            <w:vAlign w:val="bottom"/>
            <w:vMerge w:val="restart"/>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3"/>
          </w:tcPr>
          <w:p>
            <w:pPr>
              <w:ind w:left="40"/>
              <w:spacing w:after="0" w:line="135" w:lineRule="exact"/>
              <w:rPr>
                <w:sz w:val="20"/>
                <w:szCs w:val="20"/>
                <w:color w:val="auto"/>
              </w:rPr>
            </w:pPr>
            <w:r>
              <w:rPr>
                <w:rFonts w:ascii="Arial" w:cs="Arial" w:eastAsia="Arial" w:hAnsi="Arial"/>
                <w:sz w:val="13"/>
                <w:szCs w:val="13"/>
                <w:color w:val="auto"/>
              </w:rPr>
              <w:t>Unrealized</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3"/>
          </w:tcPr>
          <w:p>
            <w:pPr>
              <w:jc w:val="center"/>
              <w:ind w:right="160"/>
              <w:spacing w:after="0" w:line="135" w:lineRule="exact"/>
              <w:rPr>
                <w:sz w:val="20"/>
                <w:szCs w:val="20"/>
                <w:color w:val="auto"/>
              </w:rPr>
            </w:pPr>
            <w:r>
              <w:rPr>
                <w:rFonts w:ascii="Arial" w:cs="Arial" w:eastAsia="Arial" w:hAnsi="Arial"/>
                <w:sz w:val="13"/>
                <w:szCs w:val="13"/>
                <w:color w:val="auto"/>
                <w:w w:val="99"/>
              </w:rPr>
              <w:t>Unrealized</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jc w:val="center"/>
              <w:ind w:right="116"/>
              <w:spacing w:after="0" w:line="135" w:lineRule="exact"/>
              <w:rPr>
                <w:sz w:val="20"/>
                <w:szCs w:val="20"/>
                <w:color w:val="auto"/>
              </w:rPr>
            </w:pPr>
            <w:r>
              <w:rPr>
                <w:rFonts w:ascii="Arial" w:cs="Arial" w:eastAsia="Arial" w:hAnsi="Arial"/>
                <w:sz w:val="13"/>
                <w:szCs w:val="13"/>
                <w:color w:val="auto"/>
                <w:w w:val="97"/>
              </w:rPr>
              <w:t>Carrying</w:t>
            </w:r>
          </w:p>
        </w:tc>
        <w:tc>
          <w:tcPr>
            <w:tcW w:w="0" w:type="dxa"/>
            <w:vAlign w:val="bottom"/>
          </w:tcPr>
          <w:p>
            <w:pPr>
              <w:spacing w:after="0"/>
              <w:rPr>
                <w:sz w:val="1"/>
                <w:szCs w:val="1"/>
                <w:color w:val="auto"/>
              </w:rPr>
            </w:pPr>
          </w:p>
        </w:tc>
      </w:tr>
      <w:tr>
        <w:trPr>
          <w:trHeight w:val="161"/>
        </w:trPr>
        <w:tc>
          <w:tcPr>
            <w:tcW w:w="372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2"/>
            <w:vMerge w:val="continue"/>
          </w:tcPr>
          <w:p>
            <w:pPr>
              <w:spacing w:after="0"/>
              <w:rPr>
                <w:sz w:val="13"/>
                <w:szCs w:val="13"/>
                <w:color w:val="auto"/>
              </w:rPr>
            </w:pPr>
          </w:p>
        </w:tc>
        <w:tc>
          <w:tcPr>
            <w:tcW w:w="20" w:type="dxa"/>
            <w:vAlign w:val="bottom"/>
            <w:tcBorders>
              <w:bottom w:val="single" w:sz="8" w:color="CCEEFF"/>
            </w:tcBorders>
            <w:vMerge w:val="continue"/>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3"/>
                <w:szCs w:val="13"/>
                <w:color w:val="auto"/>
              </w:rPr>
              <w:t>Gains</w:t>
            </w:r>
          </w:p>
        </w:tc>
        <w:tc>
          <w:tcPr>
            <w:tcW w:w="2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3"/>
                <w:szCs w:val="13"/>
                <w:color w:val="auto"/>
                <w:w w:val="97"/>
              </w:rPr>
              <w:t>Losses</w:t>
            </w: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ind w:right="116"/>
              <w:spacing w:after="0"/>
              <w:rPr>
                <w:sz w:val="20"/>
                <w:szCs w:val="20"/>
                <w:color w:val="auto"/>
              </w:rPr>
            </w:pPr>
            <w:r>
              <w:rPr>
                <w:rFonts w:ascii="Arial" w:cs="Arial" w:eastAsia="Arial" w:hAnsi="Arial"/>
                <w:sz w:val="13"/>
                <w:szCs w:val="13"/>
                <w:color w:val="auto"/>
                <w:w w:val="98"/>
              </w:rPr>
              <w:t>Amount</w:t>
            </w:r>
          </w:p>
        </w:tc>
        <w:tc>
          <w:tcPr>
            <w:tcW w:w="0" w:type="dxa"/>
            <w:vAlign w:val="bottom"/>
          </w:tcPr>
          <w:p>
            <w:pPr>
              <w:spacing w:after="0"/>
              <w:rPr>
                <w:sz w:val="1"/>
                <w:szCs w:val="1"/>
                <w:color w:val="auto"/>
              </w:rPr>
            </w:pPr>
          </w:p>
        </w:tc>
      </w:tr>
      <w:tr>
        <w:trPr>
          <w:trHeight w:val="184"/>
        </w:trPr>
        <w:tc>
          <w:tcPr>
            <w:tcW w:w="3720" w:type="dxa"/>
            <w:vAlign w:val="bottom"/>
            <w:shd w:val="clear" w:color="auto" w:fill="CCEEFF"/>
          </w:tcPr>
          <w:p>
            <w:pPr>
              <w:ind w:left="40"/>
              <w:spacing w:after="0"/>
              <w:rPr>
                <w:sz w:val="20"/>
                <w:szCs w:val="20"/>
                <w:color w:val="auto"/>
              </w:rPr>
            </w:pPr>
            <w:r>
              <w:rPr>
                <w:rFonts w:ascii="Arial" w:cs="Arial" w:eastAsia="Arial" w:hAnsi="Arial"/>
                <w:sz w:val="13"/>
                <w:szCs w:val="13"/>
                <w:color w:val="auto"/>
              </w:rPr>
              <w:t>Publicly traded companies</w:t>
            </w:r>
          </w:p>
        </w:tc>
        <w:tc>
          <w:tcPr>
            <w:tcW w:w="2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203,467</w:t>
            </w: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50,377</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(94,278)</w:t>
            </w:r>
          </w:p>
        </w:tc>
        <w:tc>
          <w:tcPr>
            <w:tcW w:w="40" w:type="dxa"/>
            <w:vAlign w:val="bottom"/>
            <w:shd w:val="clear" w:color="auto" w:fill="CCEEFF"/>
          </w:tcPr>
          <w:p>
            <w:pPr>
              <w:spacing w:after="0"/>
              <w:rPr>
                <w:sz w:val="16"/>
                <w:szCs w:val="16"/>
                <w:color w:val="auto"/>
              </w:rPr>
            </w:pP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159,566</w:t>
            </w:r>
          </w:p>
        </w:tc>
        <w:tc>
          <w:tcPr>
            <w:tcW w:w="0" w:type="dxa"/>
            <w:vAlign w:val="bottom"/>
          </w:tcPr>
          <w:p>
            <w:pPr>
              <w:spacing w:after="0"/>
              <w:rPr>
                <w:sz w:val="1"/>
                <w:szCs w:val="1"/>
                <w:color w:val="auto"/>
              </w:rPr>
            </w:pPr>
          </w:p>
        </w:tc>
      </w:tr>
      <w:tr>
        <w:trPr>
          <w:trHeight w:val="204"/>
        </w:trPr>
        <w:tc>
          <w:tcPr>
            <w:tcW w:w="3720" w:type="dxa"/>
            <w:vAlign w:val="bottom"/>
          </w:tcPr>
          <w:p>
            <w:pPr>
              <w:ind w:left="40"/>
              <w:spacing w:after="0"/>
              <w:rPr>
                <w:sz w:val="20"/>
                <w:szCs w:val="20"/>
                <w:color w:val="auto"/>
              </w:rPr>
            </w:pPr>
            <w:r>
              <w:rPr>
                <w:rFonts w:ascii="Arial" w:cs="Arial" w:eastAsia="Arial" w:hAnsi="Arial"/>
                <w:sz w:val="13"/>
                <w:szCs w:val="13"/>
                <w:color w:val="auto"/>
              </w:rPr>
              <w:t>Entities that report NAV</w:t>
            </w: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507,059</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192,468</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(27,995)</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671,532</w:t>
            </w:r>
          </w:p>
        </w:tc>
        <w:tc>
          <w:tcPr>
            <w:tcW w:w="0" w:type="dxa"/>
            <w:vAlign w:val="bottom"/>
          </w:tcPr>
          <w:p>
            <w:pPr>
              <w:spacing w:after="0"/>
              <w:rPr>
                <w:sz w:val="1"/>
                <w:szCs w:val="1"/>
                <w:color w:val="auto"/>
              </w:rPr>
            </w:pPr>
          </w:p>
        </w:tc>
      </w:tr>
      <w:tr>
        <w:trPr>
          <w:trHeight w:val="204"/>
        </w:trPr>
        <w:tc>
          <w:tcPr>
            <w:tcW w:w="3720" w:type="dxa"/>
            <w:vAlign w:val="bottom"/>
            <w:shd w:val="clear" w:color="auto" w:fill="CCEEFF"/>
          </w:tcPr>
          <w:p>
            <w:pPr>
              <w:ind w:left="40"/>
              <w:spacing w:after="0"/>
              <w:rPr>
                <w:sz w:val="20"/>
                <w:szCs w:val="20"/>
                <w:color w:val="auto"/>
              </w:rPr>
            </w:pPr>
            <w:r>
              <w:rPr>
                <w:rFonts w:ascii="Arial" w:cs="Arial" w:eastAsia="Arial" w:hAnsi="Arial"/>
                <w:sz w:val="13"/>
                <w:szCs w:val="13"/>
                <w:color w:val="auto"/>
              </w:rPr>
              <w:t>Entities that do not report NAV:</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720" w:type="dxa"/>
            <w:vAlign w:val="bottom"/>
          </w:tcPr>
          <w:p>
            <w:pPr>
              <w:ind w:left="200"/>
              <w:spacing w:after="0"/>
              <w:rPr>
                <w:sz w:val="20"/>
                <w:szCs w:val="20"/>
                <w:color w:val="auto"/>
              </w:rPr>
            </w:pPr>
            <w:r>
              <w:rPr>
                <w:rFonts w:ascii="Arial" w:cs="Arial" w:eastAsia="Arial" w:hAnsi="Arial"/>
                <w:sz w:val="13"/>
                <w:szCs w:val="13"/>
                <w:color w:val="auto"/>
              </w:rPr>
              <w:t>Entities with observable price changes</w:t>
            </w: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97,892</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77,600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(1,224)</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174,268</w:t>
            </w:r>
          </w:p>
        </w:tc>
        <w:tc>
          <w:tcPr>
            <w:tcW w:w="0" w:type="dxa"/>
            <w:vAlign w:val="bottom"/>
          </w:tcPr>
          <w:p>
            <w:pPr>
              <w:spacing w:after="0"/>
              <w:rPr>
                <w:sz w:val="1"/>
                <w:szCs w:val="1"/>
                <w:color w:val="auto"/>
              </w:rPr>
            </w:pPr>
          </w:p>
        </w:tc>
      </w:tr>
      <w:tr>
        <w:trPr>
          <w:trHeight w:val="204"/>
        </w:trPr>
        <w:tc>
          <w:tcPr>
            <w:tcW w:w="37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Entities without observable price changes</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368,654</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368,654</w:t>
            </w:r>
          </w:p>
        </w:tc>
        <w:tc>
          <w:tcPr>
            <w:tcW w:w="0" w:type="dxa"/>
            <w:vAlign w:val="bottom"/>
          </w:tcPr>
          <w:p>
            <w:pPr>
              <w:spacing w:after="0"/>
              <w:rPr>
                <w:sz w:val="1"/>
                <w:szCs w:val="1"/>
                <w:color w:val="auto"/>
              </w:rPr>
            </w:pPr>
          </w:p>
        </w:tc>
      </w:tr>
      <w:tr>
        <w:trPr>
          <w:trHeight w:val="204"/>
        </w:trPr>
        <w:tc>
          <w:tcPr>
            <w:tcW w:w="372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Investments accounted for under the equity method</w:t>
            </w: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gridSpan w:val="2"/>
          </w:tcPr>
          <w:p>
            <w:pPr>
              <w:ind w:left="540"/>
              <w:spacing w:after="0"/>
              <w:rPr>
                <w:sz w:val="20"/>
                <w:szCs w:val="20"/>
                <w:color w:val="auto"/>
              </w:rPr>
            </w:pPr>
            <w:r>
              <w:rPr>
                <w:rFonts w:ascii="Arial" w:cs="Arial" w:eastAsia="Arial" w:hAnsi="Arial"/>
                <w:sz w:val="13"/>
                <w:szCs w:val="13"/>
                <w:color w:val="auto"/>
              </w:rPr>
              <w:t>N/A</w:t>
            </w:r>
          </w:p>
        </w:tc>
        <w:tc>
          <w:tcPr>
            <w:tcW w:w="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N/A</w:t>
            </w:r>
          </w:p>
        </w:tc>
        <w:tc>
          <w:tcPr>
            <w:tcW w:w="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N/A</w:t>
            </w:r>
          </w:p>
        </w:tc>
        <w:tc>
          <w:tcPr>
            <w:tcW w:w="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75,498</w:t>
            </w:r>
          </w:p>
        </w:tc>
        <w:tc>
          <w:tcPr>
            <w:tcW w:w="0" w:type="dxa"/>
            <w:vAlign w:val="bottom"/>
          </w:tcPr>
          <w:p>
            <w:pPr>
              <w:spacing w:after="0"/>
              <w:rPr>
                <w:sz w:val="1"/>
                <w:szCs w:val="1"/>
                <w:color w:val="auto"/>
              </w:rPr>
            </w:pPr>
          </w:p>
        </w:tc>
      </w:tr>
      <w:tr>
        <w:trPr>
          <w:trHeight w:val="183"/>
        </w:trPr>
        <w:tc>
          <w:tcPr>
            <w:tcW w:w="3720" w:type="dxa"/>
            <w:vAlign w:val="bottom"/>
            <w:shd w:val="clear" w:color="auto" w:fill="CCEEFF"/>
          </w:tcPr>
          <w:p>
            <w:pPr>
              <w:ind w:left="40"/>
              <w:spacing w:after="0"/>
              <w:rPr>
                <w:sz w:val="20"/>
                <w:szCs w:val="20"/>
                <w:color w:val="auto"/>
              </w:rPr>
            </w:pPr>
            <w:r>
              <w:rPr>
                <w:rFonts w:ascii="Arial" w:cs="Arial" w:eastAsia="Arial" w:hAnsi="Arial"/>
                <w:sz w:val="13"/>
                <w:szCs w:val="13"/>
                <w:color w:val="auto"/>
              </w:rPr>
              <w:t>Total investments</w:t>
            </w:r>
          </w:p>
        </w:tc>
        <w:tc>
          <w:tcPr>
            <w:tcW w:w="2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1,177,072</w:t>
            </w: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320,445</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(123,497)</w:t>
            </w:r>
          </w:p>
        </w:tc>
        <w:tc>
          <w:tcPr>
            <w:tcW w:w="40" w:type="dxa"/>
            <w:vAlign w:val="bottom"/>
            <w:shd w:val="clear" w:color="auto" w:fill="CCEEFF"/>
          </w:tcPr>
          <w:p>
            <w:pPr>
              <w:spacing w:after="0"/>
              <w:rPr>
                <w:sz w:val="15"/>
                <w:szCs w:val="15"/>
                <w:color w:val="auto"/>
              </w:rPr>
            </w:pP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1,449,518</w:t>
            </w: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-2392680</wp:posOffset>
            </wp:positionV>
            <wp:extent cx="5584190" cy="63519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584190" cy="6351905"/>
                    </a:xfrm>
                    <a:prstGeom prst="rect">
                      <a:avLst/>
                    </a:prstGeom>
                    <a:noFill/>
                  </pic:spPr>
                </pic:pic>
              </a:graphicData>
            </a:graphic>
          </wp:anchor>
        </w:drawing>
      </w:r>
    </w:p>
    <w:p>
      <w:pPr>
        <w:spacing w:after="0" w:line="174" w:lineRule="exact"/>
        <w:rPr>
          <w:sz w:val="20"/>
          <w:szCs w:val="20"/>
          <w:color w:val="auto"/>
        </w:rPr>
      </w:pPr>
    </w:p>
    <w:p>
      <w:pPr>
        <w:jc w:val="both"/>
        <w:ind w:left="640" w:right="679" w:firstLine="516"/>
        <w:spacing w:after="0" w:line="265" w:lineRule="auto"/>
        <w:rPr>
          <w:sz w:val="20"/>
          <w:szCs w:val="20"/>
          <w:color w:val="auto"/>
        </w:rPr>
      </w:pPr>
      <w:r>
        <w:rPr>
          <w:rFonts w:ascii="Arial" w:cs="Arial" w:eastAsia="Arial" w:hAnsi="Arial"/>
          <w:sz w:val="13"/>
          <w:szCs w:val="13"/>
          <w:color w:val="auto"/>
          <w:highlight w:val="white"/>
        </w:rPr>
        <w:t>Cumulative gains and losses (realized and unrealized) on investments in privately held entities that do not report NAV still held as of June 30, 2024 aggregated to a loss of $59.6 million, which consisted of upward adjustments aggregating $79.6 million, downward adjustments aggregating $1.0 million, and impairments aggregating $138.2 million.</w:t>
      </w:r>
    </w:p>
    <w:p>
      <w:pPr>
        <w:spacing w:after="0" w:line="128" w:lineRule="exact"/>
        <w:rPr>
          <w:sz w:val="20"/>
          <w:szCs w:val="20"/>
          <w:color w:val="auto"/>
        </w:rPr>
      </w:pPr>
    </w:p>
    <w:p>
      <w:pPr>
        <w:ind w:left="640" w:right="1079" w:firstLine="516"/>
        <w:spacing w:after="0" w:line="272" w:lineRule="auto"/>
        <w:rPr>
          <w:sz w:val="20"/>
          <w:szCs w:val="20"/>
          <w:color w:val="auto"/>
        </w:rPr>
      </w:pPr>
      <w:r>
        <w:rPr>
          <w:rFonts w:ascii="Arial" w:cs="Arial" w:eastAsia="Arial" w:hAnsi="Arial"/>
          <w:sz w:val="13"/>
          <w:szCs w:val="13"/>
          <w:color w:val="auto"/>
        </w:rPr>
        <w:t>Our investment income (loss) for the three and six months ended June 30, 2024 and 2023 consisted of the following (in thousands):</w:t>
      </w:r>
    </w:p>
    <w:p>
      <w:pPr>
        <w:spacing w:after="0" w:line="123"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3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0" w:type="dxa"/>
            <w:vAlign w:val="bottom"/>
            <w:gridSpan w:val="5"/>
          </w:tcPr>
          <w:p>
            <w:pPr>
              <w:ind w:left="80"/>
              <w:spacing w:after="0"/>
              <w:rPr>
                <w:sz w:val="20"/>
                <w:szCs w:val="20"/>
                <w:color w:val="auto"/>
              </w:rPr>
            </w:pPr>
            <w:r>
              <w:rPr>
                <w:rFonts w:ascii="Arial" w:cs="Arial" w:eastAsia="Arial" w:hAnsi="Arial"/>
                <w:sz w:val="13"/>
                <w:szCs w:val="13"/>
                <w:color w:val="auto"/>
              </w:rPr>
              <w:t>Three Months Ended June 30,</w:t>
            </w:r>
          </w:p>
        </w:tc>
        <w:tc>
          <w:tcPr>
            <w:tcW w:w="240" w:type="dxa"/>
            <w:vAlign w:val="bottom"/>
          </w:tcPr>
          <w:p>
            <w:pPr>
              <w:spacing w:after="0"/>
              <w:rPr>
                <w:sz w:val="13"/>
                <w:szCs w:val="13"/>
                <w:color w:val="auto"/>
              </w:rPr>
            </w:pPr>
          </w:p>
        </w:tc>
        <w:tc>
          <w:tcPr>
            <w:tcW w:w="2080" w:type="dxa"/>
            <w:vAlign w:val="bottom"/>
            <w:gridSpan w:val="4"/>
          </w:tcPr>
          <w:p>
            <w:pPr>
              <w:jc w:val="right"/>
              <w:ind w:right="316"/>
              <w:spacing w:after="0"/>
              <w:rPr>
                <w:sz w:val="20"/>
                <w:szCs w:val="20"/>
                <w:color w:val="auto"/>
              </w:rPr>
            </w:pPr>
            <w:r>
              <w:rPr>
                <w:rFonts w:ascii="Arial" w:cs="Arial" w:eastAsia="Arial" w:hAnsi="Arial"/>
                <w:sz w:val="13"/>
                <w:szCs w:val="13"/>
                <w:color w:val="auto"/>
              </w:rPr>
              <w:t>Six Months Ended June 30,</w:t>
            </w:r>
          </w:p>
        </w:tc>
      </w:tr>
      <w:tr>
        <w:trPr>
          <w:trHeight w:val="184"/>
        </w:trPr>
        <w:tc>
          <w:tcPr>
            <w:tcW w:w="302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3"/>
                <w:szCs w:val="13"/>
                <w:color w:val="auto"/>
              </w:rPr>
              <w:t>2024</w:t>
            </w:r>
          </w:p>
        </w:tc>
        <w:tc>
          <w:tcPr>
            <w:tcW w:w="180" w:type="dxa"/>
            <w:vAlign w:val="bottom"/>
            <w:tcBorders>
              <w:top w:val="single" w:sz="8" w:color="auto"/>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3"/>
                <w:szCs w:val="13"/>
                <w:color w:val="auto"/>
              </w:rPr>
              <w:t>2023</w:t>
            </w:r>
          </w:p>
        </w:tc>
        <w:tc>
          <w:tcPr>
            <w:tcW w:w="10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3"/>
                <w:szCs w:val="13"/>
                <w:color w:val="auto"/>
              </w:rPr>
              <w:t>2024</w:t>
            </w:r>
          </w:p>
        </w:tc>
        <w:tc>
          <w:tcPr>
            <w:tcW w:w="180" w:type="dxa"/>
            <w:vAlign w:val="bottom"/>
            <w:tcBorders>
              <w:top w:val="single" w:sz="8" w:color="auto"/>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ind w:right="336"/>
              <w:spacing w:after="0"/>
              <w:rPr>
                <w:sz w:val="20"/>
                <w:szCs w:val="20"/>
                <w:color w:val="auto"/>
              </w:rPr>
            </w:pPr>
            <w:r>
              <w:rPr>
                <w:rFonts w:ascii="Arial" w:cs="Arial" w:eastAsia="Arial" w:hAnsi="Arial"/>
                <w:sz w:val="13"/>
                <w:szCs w:val="13"/>
                <w:color w:val="auto"/>
              </w:rPr>
              <w:t>2023</w:t>
            </w:r>
          </w:p>
        </w:tc>
      </w:tr>
      <w:tr>
        <w:trPr>
          <w:trHeight w:val="184"/>
        </w:trPr>
        <w:tc>
          <w:tcPr>
            <w:tcW w:w="3020" w:type="dxa"/>
            <w:vAlign w:val="bottom"/>
            <w:shd w:val="clear" w:color="auto" w:fill="CCEEFF"/>
          </w:tcPr>
          <w:p>
            <w:pPr>
              <w:ind w:left="40"/>
              <w:spacing w:after="0"/>
              <w:rPr>
                <w:sz w:val="20"/>
                <w:szCs w:val="20"/>
                <w:color w:val="auto"/>
              </w:rPr>
            </w:pPr>
            <w:r>
              <w:rPr>
                <w:rFonts w:ascii="Arial" w:cs="Arial" w:eastAsia="Arial" w:hAnsi="Arial"/>
                <w:sz w:val="13"/>
                <w:szCs w:val="13"/>
                <w:color w:val="auto"/>
              </w:rPr>
              <w:t>Realized gains (losses)</w:t>
            </w:r>
          </w:p>
        </w:tc>
        <w:tc>
          <w:tcPr>
            <w:tcW w:w="2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 xml:space="preserve">20,578  </w:t>
            </w:r>
            <w:r>
              <w:rPr>
                <w:rFonts w:ascii="Arial" w:cs="Arial" w:eastAsia="Arial" w:hAnsi="Arial"/>
                <w:sz w:val="16"/>
                <w:szCs w:val="16"/>
                <w:color w:val="auto"/>
                <w:vertAlign w:val="superscript"/>
              </w:rPr>
              <w:t>(1)</w:t>
            </w:r>
          </w:p>
        </w:tc>
        <w:tc>
          <w:tcPr>
            <w:tcW w:w="26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(371)</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 xml:space="preserve">34,704  </w:t>
            </w:r>
            <w:r>
              <w:rPr>
                <w:rFonts w:ascii="Arial" w:cs="Arial" w:eastAsia="Arial" w:hAnsi="Arial"/>
                <w:sz w:val="16"/>
                <w:szCs w:val="16"/>
                <w:color w:val="auto"/>
                <w:vertAlign w:val="superscript"/>
              </w:rPr>
              <w:t>(1)</w:t>
            </w:r>
          </w:p>
        </w:tc>
        <w:tc>
          <w:tcPr>
            <w:tcW w:w="26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20,373</w:t>
            </w:r>
          </w:p>
        </w:tc>
      </w:tr>
      <w:tr>
        <w:trPr>
          <w:trHeight w:val="204"/>
        </w:trPr>
        <w:tc>
          <w:tcPr>
            <w:tcW w:w="302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Unrealized losses</w:t>
            </w: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(64,238)</w:t>
            </w:r>
          </w:p>
        </w:tc>
        <w:tc>
          <w:tcPr>
            <w:tcW w:w="1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(77,897)</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(35,080)</w:t>
            </w:r>
          </w:p>
        </w:tc>
        <w:tc>
          <w:tcPr>
            <w:tcW w:w="1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(143,752)</w:t>
            </w:r>
          </w:p>
        </w:tc>
      </w:tr>
      <w:tr>
        <w:trPr>
          <w:trHeight w:val="188"/>
        </w:trPr>
        <w:tc>
          <w:tcPr>
            <w:tcW w:w="30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3"/>
                <w:szCs w:val="13"/>
                <w:color w:val="auto"/>
              </w:rPr>
              <w:t>Investment loss</w:t>
            </w: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(43,660)</w:t>
            </w:r>
          </w:p>
        </w:tc>
        <w:tc>
          <w:tcPr>
            <w:tcW w:w="1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(78,268)</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(376)</w:t>
            </w:r>
          </w:p>
        </w:tc>
        <w:tc>
          <w:tcPr>
            <w:tcW w:w="1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(123,379)</w:t>
            </w: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114" w:lineRule="exact"/>
        <w:rPr>
          <w:sz w:val="20"/>
          <w:szCs w:val="20"/>
          <w:color w:val="auto"/>
        </w:rPr>
      </w:pPr>
    </w:p>
    <w:p>
      <w:pPr>
        <w:ind w:left="900" w:right="859" w:hanging="262"/>
        <w:spacing w:after="0" w:line="305" w:lineRule="auto"/>
        <w:tabs>
          <w:tab w:leader="none" w:pos="900" w:val="left"/>
        </w:tabs>
        <w:numPr>
          <w:ilvl w:val="0"/>
          <w:numId w:val="50"/>
        </w:numPr>
        <w:rPr>
          <w:rFonts w:ascii="Arial" w:cs="Arial" w:eastAsia="Arial" w:hAnsi="Arial"/>
          <w:sz w:val="10"/>
          <w:szCs w:val="10"/>
          <w:color w:val="auto"/>
        </w:rPr>
      </w:pPr>
      <w:r>
        <w:rPr>
          <w:rFonts w:ascii="Arial" w:cs="Arial" w:eastAsia="Arial" w:hAnsi="Arial"/>
          <w:sz w:val="10"/>
          <w:szCs w:val="10"/>
          <w:color w:val="auto"/>
        </w:rPr>
        <w:t>Consists of realized gains of $33.4 million and $62.2 million, partially offset by impairment charges of $12.8 million and $27.5 million during the three and six months ended June 30, 2024, respectively.</w:t>
      </w:r>
    </w:p>
    <w:p>
      <w:pPr>
        <w:spacing w:after="0" w:line="131" w:lineRule="exact"/>
        <w:rPr>
          <w:sz w:val="20"/>
          <w:szCs w:val="20"/>
          <w:color w:val="auto"/>
        </w:rPr>
      </w:pPr>
    </w:p>
    <w:p>
      <w:pPr>
        <w:ind w:left="640" w:right="759" w:firstLine="516"/>
        <w:spacing w:after="0" w:line="242" w:lineRule="auto"/>
        <w:rPr>
          <w:sz w:val="20"/>
          <w:szCs w:val="20"/>
          <w:color w:val="auto"/>
        </w:rPr>
      </w:pPr>
      <w:r>
        <w:rPr>
          <w:rFonts w:ascii="Arial" w:cs="Arial" w:eastAsia="Arial" w:hAnsi="Arial"/>
          <w:sz w:val="13"/>
          <w:szCs w:val="13"/>
          <w:color w:val="auto"/>
        </w:rPr>
        <w:t>During the six months ended June 30, 2024, gains and losses on investments in privately held entities that do not report NAV still held as of June 30, 2024 aggregated to a loss of</w:t>
      </w:r>
      <w:r>
        <w:rPr>
          <w:sz w:val="1"/>
          <w:szCs w:val="1"/>
          <w:color w:val="auto"/>
        </w:rPr>
        <w:drawing>
          <wp:inline distT="0" distB="0" distL="0" distR="0">
            <wp:extent cx="27305" cy="95250"/>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7305" cy="95250"/>
                    </a:xfrm>
                    <a:prstGeom prst="rect">
                      <a:avLst/>
                    </a:prstGeom>
                    <a:noFill/>
                    <a:ln>
                      <a:noFill/>
                    </a:ln>
                  </pic:spPr>
                </pic:pic>
              </a:graphicData>
            </a:graphic>
          </wp:inline>
        </w:drawing>
      </w:r>
      <w:r>
        <w:rPr>
          <w:rFonts w:ascii="Arial" w:cs="Arial" w:eastAsia="Arial" w:hAnsi="Arial"/>
          <w:sz w:val="13"/>
          <w:szCs w:val="13"/>
          <w:color w:val="auto"/>
          <w:highlight w:val="white"/>
        </w:rPr>
        <w:t>$13.7 million, which consisted of upward adjustments aggregating $15.7 million and downward adjustments and impairments aggregating $29.4 million.</w:t>
      </w:r>
    </w:p>
    <w:p>
      <w:pPr>
        <w:spacing w:after="0" w:line="142" w:lineRule="exact"/>
        <w:rPr>
          <w:sz w:val="20"/>
          <w:szCs w:val="20"/>
          <w:color w:val="auto"/>
        </w:rPr>
      </w:pPr>
    </w:p>
    <w:p>
      <w:pPr>
        <w:ind w:left="640" w:right="679" w:firstLine="516"/>
        <w:spacing w:after="0" w:line="265" w:lineRule="auto"/>
        <w:rPr>
          <w:sz w:val="20"/>
          <w:szCs w:val="20"/>
          <w:color w:val="auto"/>
        </w:rPr>
      </w:pPr>
      <w:r>
        <w:rPr>
          <w:rFonts w:ascii="Arial" w:cs="Arial" w:eastAsia="Arial" w:hAnsi="Arial"/>
          <w:sz w:val="13"/>
          <w:szCs w:val="13"/>
          <w:color w:val="auto"/>
        </w:rPr>
        <w:t>During the six months ended June 30, 2023, gains and losses on investments in privately held entities that do not report NAV still held as of June 30, 2023 aggregated to a loss of $23.3 million, which consisted of upward adjustments aggregating $3.8 million and downward adjustments and impairments aggregating $27.1 million.</w:t>
      </w:r>
    </w:p>
    <w:p>
      <w:pPr>
        <w:spacing w:after="0" w:line="117" w:lineRule="exact"/>
        <w:rPr>
          <w:sz w:val="20"/>
          <w:szCs w:val="20"/>
          <w:color w:val="auto"/>
        </w:rPr>
      </w:pPr>
    </w:p>
    <w:p>
      <w:pPr>
        <w:ind w:left="640" w:right="659" w:firstLine="516"/>
        <w:spacing w:after="0" w:line="265" w:lineRule="auto"/>
        <w:rPr>
          <w:sz w:val="20"/>
          <w:szCs w:val="20"/>
          <w:color w:val="auto"/>
        </w:rPr>
      </w:pPr>
      <w:r>
        <w:rPr>
          <w:rFonts w:ascii="Arial" w:cs="Arial" w:eastAsia="Arial" w:hAnsi="Arial"/>
          <w:sz w:val="13"/>
          <w:szCs w:val="13"/>
          <w:color w:val="auto"/>
        </w:rPr>
        <w:t>Unrealized gains or losses related to investments still held (excluding investments accounted for under the equity method) as of June 30, 2024 and 2023 aggregated to losses of $1.8 million and $47.6 million during the six months ended June 30, 2024 and 2023, respectively.</w:t>
      </w:r>
    </w:p>
    <w:p>
      <w:pPr>
        <w:spacing w:after="0" w:line="128" w:lineRule="exact"/>
        <w:rPr>
          <w:sz w:val="20"/>
          <w:szCs w:val="20"/>
          <w:color w:val="auto"/>
        </w:rPr>
      </w:pPr>
    </w:p>
    <w:p>
      <w:pPr>
        <w:ind w:left="640" w:right="699" w:firstLine="516"/>
        <w:spacing w:after="0" w:line="272" w:lineRule="auto"/>
        <w:rPr>
          <w:sz w:val="20"/>
          <w:szCs w:val="20"/>
          <w:color w:val="auto"/>
        </w:rPr>
      </w:pPr>
      <w:r>
        <w:rPr>
          <w:rFonts w:ascii="Arial" w:cs="Arial" w:eastAsia="Arial" w:hAnsi="Arial"/>
          <w:sz w:val="13"/>
          <w:szCs w:val="13"/>
          <w:color w:val="auto"/>
        </w:rPr>
        <w:t>Our investment loss of $0.4 million for the six months ended June 30, 2024 also included $0.7 million of equity in losses of our equity method investments.</w:t>
      </w:r>
    </w:p>
    <w:p>
      <w:pPr>
        <w:spacing w:after="0" w:line="123" w:lineRule="exact"/>
        <w:rPr>
          <w:sz w:val="20"/>
          <w:szCs w:val="20"/>
          <w:color w:val="auto"/>
        </w:rPr>
      </w:pPr>
    </w:p>
    <w:p>
      <w:pPr>
        <w:ind w:left="640" w:right="1139" w:firstLine="516"/>
        <w:spacing w:after="0" w:line="289" w:lineRule="auto"/>
        <w:rPr>
          <w:sz w:val="20"/>
          <w:szCs w:val="20"/>
          <w:color w:val="auto"/>
        </w:rPr>
      </w:pPr>
      <w:r>
        <w:rPr>
          <w:rFonts w:ascii="Arial" w:cs="Arial" w:eastAsia="Arial" w:hAnsi="Arial"/>
          <w:sz w:val="13"/>
          <w:szCs w:val="13"/>
          <w:color w:val="auto"/>
        </w:rPr>
        <w:t>Refer to “Investments” in Note 2 – “Summary of significant accounting policies” to our unaudited consolidated financial statements for additional information.</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188595</wp:posOffset>
            </wp:positionV>
            <wp:extent cx="5584190" cy="41014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584190" cy="410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900" w:hanging="262"/>
        <w:spacing w:after="0"/>
        <w:tabs>
          <w:tab w:leader="none" w:pos="900" w:val="left"/>
        </w:tabs>
        <w:numPr>
          <w:ilvl w:val="0"/>
          <w:numId w:val="51"/>
        </w:numPr>
        <w:rPr>
          <w:rFonts w:ascii="Arial" w:cs="Arial" w:eastAsia="Arial" w:hAnsi="Arial"/>
          <w:sz w:val="13"/>
          <w:szCs w:val="13"/>
          <w:b w:val="1"/>
          <w:bCs w:val="1"/>
          <w:color w:val="00497F"/>
        </w:rPr>
      </w:pPr>
      <w:r>
        <w:rPr>
          <w:rFonts w:ascii="Arial" w:cs="Arial" w:eastAsia="Arial" w:hAnsi="Arial"/>
          <w:sz w:val="13"/>
          <w:szCs w:val="13"/>
          <w:b w:val="1"/>
          <w:bCs w:val="1"/>
          <w:color w:val="00497F"/>
        </w:rPr>
        <w:t>OTHER ASSETS</w:t>
      </w:r>
    </w:p>
    <w:p>
      <w:pPr>
        <w:spacing w:after="0" w:line="269" w:lineRule="exact"/>
        <w:rPr>
          <w:sz w:val="20"/>
          <w:szCs w:val="20"/>
          <w:color w:val="auto"/>
        </w:rPr>
      </w:pPr>
    </w:p>
    <w:p>
      <w:pPr>
        <w:ind w:left="1160"/>
        <w:spacing w:after="0"/>
        <w:rPr>
          <w:sz w:val="20"/>
          <w:szCs w:val="20"/>
          <w:color w:val="auto"/>
        </w:rPr>
      </w:pPr>
      <w:r>
        <w:rPr>
          <w:rFonts w:ascii="Arial" w:cs="Arial" w:eastAsia="Arial" w:hAnsi="Arial"/>
          <w:sz w:val="13"/>
          <w:szCs w:val="13"/>
          <w:color w:val="auto"/>
        </w:rPr>
        <w:t>The following table summarizes the components of other assets as of June 30, 2024 and December 31, 2023 (in thousands):</w:t>
      </w:r>
    </w:p>
    <w:p>
      <w:pPr>
        <w:spacing w:after="0" w:line="226"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4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gridSpan w:val="2"/>
          </w:tcPr>
          <w:p>
            <w:pPr>
              <w:ind w:left="100"/>
              <w:spacing w:after="0"/>
              <w:rPr>
                <w:sz w:val="20"/>
                <w:szCs w:val="20"/>
                <w:color w:val="auto"/>
              </w:rPr>
            </w:pPr>
            <w:r>
              <w:rPr>
                <w:rFonts w:ascii="Arial" w:cs="Arial" w:eastAsia="Arial" w:hAnsi="Arial"/>
                <w:sz w:val="13"/>
                <w:szCs w:val="13"/>
                <w:color w:val="auto"/>
              </w:rPr>
              <w:t>June 30, 2024</w:t>
            </w:r>
          </w:p>
        </w:tc>
        <w:tc>
          <w:tcPr>
            <w:tcW w:w="120" w:type="dxa"/>
            <w:vAlign w:val="bottom"/>
          </w:tcPr>
          <w:p>
            <w:pPr>
              <w:spacing w:after="0"/>
              <w:rPr>
                <w:sz w:val="13"/>
                <w:szCs w:val="13"/>
                <w:color w:val="auto"/>
              </w:rPr>
            </w:pPr>
          </w:p>
        </w:tc>
        <w:tc>
          <w:tcPr>
            <w:tcW w:w="1300" w:type="dxa"/>
            <w:vAlign w:val="bottom"/>
          </w:tcPr>
          <w:p>
            <w:pPr>
              <w:jc w:val="right"/>
              <w:ind w:right="76"/>
              <w:spacing w:after="0"/>
              <w:rPr>
                <w:sz w:val="20"/>
                <w:szCs w:val="20"/>
                <w:color w:val="auto"/>
              </w:rPr>
            </w:pPr>
            <w:r>
              <w:rPr>
                <w:rFonts w:ascii="Arial" w:cs="Arial" w:eastAsia="Arial" w:hAnsi="Arial"/>
                <w:sz w:val="13"/>
                <w:szCs w:val="13"/>
                <w:color w:val="auto"/>
                <w:w w:val="99"/>
              </w:rPr>
              <w:t>December 31, 2023</w:t>
            </w:r>
          </w:p>
        </w:tc>
      </w:tr>
      <w:tr>
        <w:trPr>
          <w:trHeight w:val="184"/>
        </w:trPr>
        <w:tc>
          <w:tcPr>
            <w:tcW w:w="46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Acquired in-place leases</w:t>
            </w:r>
          </w:p>
        </w:tc>
        <w:tc>
          <w:tcPr>
            <w:tcW w:w="22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398,033</w:t>
            </w:r>
          </w:p>
        </w:tc>
        <w:tc>
          <w:tcPr>
            <w:tcW w:w="2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461,613</w:t>
            </w:r>
          </w:p>
        </w:tc>
      </w:tr>
      <w:tr>
        <w:trPr>
          <w:trHeight w:val="204"/>
        </w:trPr>
        <w:tc>
          <w:tcPr>
            <w:tcW w:w="4640" w:type="dxa"/>
            <w:vAlign w:val="bottom"/>
          </w:tcPr>
          <w:p>
            <w:pPr>
              <w:ind w:left="40"/>
              <w:spacing w:after="0"/>
              <w:rPr>
                <w:sz w:val="20"/>
                <w:szCs w:val="20"/>
                <w:color w:val="auto"/>
              </w:rPr>
            </w:pPr>
            <w:r>
              <w:rPr>
                <w:rFonts w:ascii="Arial" w:cs="Arial" w:eastAsia="Arial" w:hAnsi="Arial"/>
                <w:sz w:val="13"/>
                <w:szCs w:val="13"/>
                <w:color w:val="auto"/>
              </w:rPr>
              <w:t>Deferred compensation plan</w:t>
            </w:r>
          </w:p>
        </w:tc>
        <w:tc>
          <w:tcPr>
            <w:tcW w:w="2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46,223</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40,365</w:t>
            </w:r>
          </w:p>
        </w:tc>
      </w:tr>
      <w:tr>
        <w:trPr>
          <w:trHeight w:val="204"/>
        </w:trPr>
        <w:tc>
          <w:tcPr>
            <w:tcW w:w="4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Deferred financing costs – unsecured senior line of credit</w:t>
            </w: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27,113</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30,897</w:t>
            </w:r>
          </w:p>
        </w:tc>
      </w:tr>
      <w:tr>
        <w:trPr>
          <w:trHeight w:val="204"/>
        </w:trPr>
        <w:tc>
          <w:tcPr>
            <w:tcW w:w="4640" w:type="dxa"/>
            <w:vAlign w:val="bottom"/>
          </w:tcPr>
          <w:p>
            <w:pPr>
              <w:ind w:left="40"/>
              <w:spacing w:after="0"/>
              <w:rPr>
                <w:sz w:val="20"/>
                <w:szCs w:val="20"/>
                <w:color w:val="auto"/>
              </w:rPr>
            </w:pPr>
            <w:r>
              <w:rPr>
                <w:rFonts w:ascii="Arial" w:cs="Arial" w:eastAsia="Arial" w:hAnsi="Arial"/>
                <w:sz w:val="13"/>
                <w:szCs w:val="13"/>
                <w:color w:val="auto"/>
              </w:rPr>
              <w:t>Deposits</w:t>
            </w:r>
          </w:p>
        </w:tc>
        <w:tc>
          <w:tcPr>
            <w:tcW w:w="2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28,221</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25,863</w:t>
            </w:r>
          </w:p>
        </w:tc>
      </w:tr>
      <w:tr>
        <w:trPr>
          <w:trHeight w:val="204"/>
        </w:trPr>
        <w:tc>
          <w:tcPr>
            <w:tcW w:w="4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Furniture, fixtures, and equipment</w:t>
            </w: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32,775</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26,560</w:t>
            </w:r>
          </w:p>
        </w:tc>
      </w:tr>
      <w:tr>
        <w:trPr>
          <w:trHeight w:val="204"/>
        </w:trPr>
        <w:tc>
          <w:tcPr>
            <w:tcW w:w="4640" w:type="dxa"/>
            <w:vAlign w:val="bottom"/>
          </w:tcPr>
          <w:p>
            <w:pPr>
              <w:ind w:left="40"/>
              <w:spacing w:after="0"/>
              <w:rPr>
                <w:sz w:val="20"/>
                <w:szCs w:val="20"/>
                <w:color w:val="auto"/>
              </w:rPr>
            </w:pPr>
            <w:r>
              <w:rPr>
                <w:rFonts w:ascii="Arial" w:cs="Arial" w:eastAsia="Arial" w:hAnsi="Arial"/>
                <w:sz w:val="13"/>
                <w:szCs w:val="13"/>
                <w:color w:val="auto"/>
              </w:rPr>
              <w:t>Net investment in direct financing lease</w:t>
            </w:r>
          </w:p>
        </w:tc>
        <w:tc>
          <w:tcPr>
            <w:tcW w:w="2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40,462</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40,097</w:t>
            </w:r>
          </w:p>
        </w:tc>
      </w:tr>
      <w:tr>
        <w:trPr>
          <w:trHeight w:val="204"/>
        </w:trPr>
        <w:tc>
          <w:tcPr>
            <w:tcW w:w="4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Notes receivable</w:t>
            </w: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16,975</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15,841</w:t>
            </w:r>
          </w:p>
        </w:tc>
      </w:tr>
      <w:tr>
        <w:trPr>
          <w:trHeight w:val="204"/>
        </w:trPr>
        <w:tc>
          <w:tcPr>
            <w:tcW w:w="4640" w:type="dxa"/>
            <w:vAlign w:val="bottom"/>
          </w:tcPr>
          <w:p>
            <w:pPr>
              <w:ind w:left="40"/>
              <w:spacing w:after="0"/>
              <w:rPr>
                <w:sz w:val="20"/>
                <w:szCs w:val="20"/>
                <w:color w:val="auto"/>
              </w:rPr>
            </w:pPr>
            <w:r>
              <w:rPr>
                <w:rFonts w:ascii="Arial" w:cs="Arial" w:eastAsia="Arial" w:hAnsi="Arial"/>
                <w:sz w:val="13"/>
                <w:szCs w:val="13"/>
                <w:color w:val="auto"/>
              </w:rPr>
              <w:t>Operating lease right-of-use assets</w:t>
            </w:r>
          </w:p>
        </w:tc>
        <w:tc>
          <w:tcPr>
            <w:tcW w:w="2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510,075</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516,452</w:t>
            </w:r>
          </w:p>
        </w:tc>
      </w:tr>
      <w:tr>
        <w:trPr>
          <w:trHeight w:val="204"/>
        </w:trPr>
        <w:tc>
          <w:tcPr>
            <w:tcW w:w="4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Other assets</w:t>
            </w: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92,515</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88,453</w:t>
            </w:r>
          </w:p>
        </w:tc>
      </w:tr>
      <w:tr>
        <w:trPr>
          <w:trHeight w:val="204"/>
        </w:trPr>
        <w:tc>
          <w:tcPr>
            <w:tcW w:w="4640" w:type="dxa"/>
            <w:vAlign w:val="bottom"/>
          </w:tcPr>
          <w:p>
            <w:pPr>
              <w:ind w:left="40"/>
              <w:spacing w:after="0"/>
              <w:rPr>
                <w:sz w:val="20"/>
                <w:szCs w:val="20"/>
                <w:color w:val="auto"/>
              </w:rPr>
            </w:pPr>
            <w:r>
              <w:rPr>
                <w:rFonts w:ascii="Arial" w:cs="Arial" w:eastAsia="Arial" w:hAnsi="Arial"/>
                <w:sz w:val="13"/>
                <w:szCs w:val="13"/>
                <w:color w:val="auto"/>
              </w:rPr>
              <w:t>Prepaid expenses</w:t>
            </w:r>
          </w:p>
        </w:tc>
        <w:tc>
          <w:tcPr>
            <w:tcW w:w="2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21,042</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30,969</w:t>
            </w:r>
          </w:p>
        </w:tc>
      </w:tr>
      <w:tr>
        <w:trPr>
          <w:trHeight w:val="204"/>
        </w:trPr>
        <w:tc>
          <w:tcPr>
            <w:tcW w:w="4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Property, plant, and equipment</w:t>
            </w:r>
          </w:p>
        </w:tc>
        <w:tc>
          <w:tcPr>
            <w:tcW w:w="22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143,069</w:t>
            </w:r>
          </w:p>
        </w:tc>
        <w:tc>
          <w:tcPr>
            <w:tcW w:w="2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144,784</w:t>
            </w:r>
          </w:p>
        </w:tc>
      </w:tr>
      <w:tr>
        <w:trPr>
          <w:trHeight w:val="163"/>
        </w:trPr>
        <w:tc>
          <w:tcPr>
            <w:tcW w:w="4640" w:type="dxa"/>
            <w:vAlign w:val="bottom"/>
          </w:tcPr>
          <w:p>
            <w:pPr>
              <w:ind w:left="40"/>
              <w:spacing w:after="0"/>
              <w:rPr>
                <w:sz w:val="20"/>
                <w:szCs w:val="20"/>
                <w:color w:val="auto"/>
              </w:rPr>
            </w:pPr>
            <w:r>
              <w:rPr>
                <w:rFonts w:ascii="Arial" w:cs="Arial" w:eastAsia="Arial" w:hAnsi="Arial"/>
                <w:sz w:val="13"/>
                <w:szCs w:val="13"/>
                <w:color w:val="auto"/>
              </w:rPr>
              <w:t>Total</w:t>
            </w:r>
          </w:p>
        </w:tc>
        <w:tc>
          <w:tcPr>
            <w:tcW w:w="2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1,356,503</w:t>
            </w:r>
          </w:p>
        </w:tc>
        <w:tc>
          <w:tcPr>
            <w:tcW w:w="22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1,421,894</w:t>
            </w:r>
          </w:p>
        </w:tc>
      </w:tr>
      <w:tr>
        <w:trPr>
          <w:trHeight w:val="20"/>
        </w:trPr>
        <w:tc>
          <w:tcPr>
            <w:tcW w:w="4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ind w:left="900" w:hanging="262"/>
        <w:spacing w:after="0"/>
        <w:tabs>
          <w:tab w:leader="none" w:pos="900" w:val="left"/>
        </w:tabs>
        <w:numPr>
          <w:ilvl w:val="0"/>
          <w:numId w:val="52"/>
        </w:numPr>
        <w:rPr>
          <w:rFonts w:ascii="Arial" w:cs="Arial" w:eastAsia="Arial" w:hAnsi="Arial"/>
          <w:sz w:val="13"/>
          <w:szCs w:val="13"/>
          <w:b w:val="1"/>
          <w:bCs w:val="1"/>
          <w:color w:val="00497F"/>
        </w:rPr>
      </w:pPr>
      <w:r>
        <w:rPr>
          <w:rFonts w:ascii="Arial" w:cs="Arial" w:eastAsia="Arial" w:hAnsi="Arial"/>
          <w:sz w:val="13"/>
          <w:szCs w:val="13"/>
          <w:b w:val="1"/>
          <w:bCs w:val="1"/>
          <w:color w:val="00497F"/>
        </w:rPr>
        <w:t>FAIR VALUE MEASUREMENTS</w:t>
      </w:r>
    </w:p>
    <w:p>
      <w:pPr>
        <w:spacing w:after="0" w:line="162" w:lineRule="exact"/>
        <w:rPr>
          <w:sz w:val="20"/>
          <w:szCs w:val="20"/>
          <w:color w:val="auto"/>
        </w:rPr>
      </w:pPr>
    </w:p>
    <w:p>
      <w:pPr>
        <w:ind w:left="640" w:right="659" w:firstLine="516"/>
        <w:spacing w:after="0" w:line="250" w:lineRule="auto"/>
        <w:rPr>
          <w:sz w:val="20"/>
          <w:szCs w:val="20"/>
          <w:color w:val="auto"/>
        </w:rPr>
      </w:pPr>
      <w:r>
        <w:rPr>
          <w:rFonts w:ascii="Arial" w:cs="Arial" w:eastAsia="Arial" w:hAnsi="Arial"/>
          <w:sz w:val="13"/>
          <w:szCs w:val="13"/>
          <w:color w:val="auto"/>
        </w:rPr>
        <w:t>We provide fair value information about all financial instruments for which it is practicable to estimate fair value. We measure and disclose the estimated fair value of financial assets and liabilities by utilizing a fair value hierarchy that distinguishes between data obtained from sources independent of the reporting entity and the reporting entity’s own assumptions about market participant assumptions. This hierarchy consists of three broad levels, as follows: (i) quoted prices in active markets for identical assets or liabilities (Level 1), (ii) significant other observable inputs (Level 2), and (iii) significant unobservable inputs (Level 3). Significant other observable inputs can include quoted prices for similar assets or liabilities in active markets, as well as inputs that are observable for the asset or liability, such as interest rates, foreign exchange rates, and yield curves. Significant unobservable inputs are typically based on an entity’s own assumptions, since there is little, if any, related market activity. In instances in which the determination of the fair value measurement is based on inputs from different levels of the fair value hierarchy, the level in the fair value hierarchy within which the entire fair value measurement falls is based on the lowest level of input that is significant to the fair value measurement in its entirety. Our assessment of the significance of a particular input to the fair value measurement in its entirety requires judgment and considers factors specific to the asset or liability.</w:t>
      </w:r>
    </w:p>
    <w:p>
      <w:pPr>
        <w:sectPr>
          <w:pgSz w:w="11900" w:h="16879" w:orient="portrait"/>
          <w:cols w:equalWidth="0" w:num="1">
            <w:col w:w="9019"/>
          </w:cols>
          <w:pgMar w:left="1440" w:top="97" w:right="1440" w:bottom="0" w:gutter="0" w:footer="0" w:header="0"/>
        </w:sectPr>
      </w:pPr>
    </w:p>
    <w:bookmarkStart w:id="24" w:name="page25"/>
    <w:bookmarkEnd w:id="24"/>
    <w:p>
      <w:pPr>
        <w:ind w:left="640"/>
        <w:spacing w:after="0"/>
        <w:rPr>
          <w:sz w:val="20"/>
          <w:szCs w:val="20"/>
          <w:color w:val="auto"/>
        </w:rPr>
      </w:pPr>
      <w:r>
        <w:rPr>
          <w:rFonts w:ascii="Arial" w:cs="Arial" w:eastAsia="Arial" w:hAnsi="Arial"/>
          <w:sz w:val="13"/>
          <w:szCs w:val="13"/>
          <w:b w:val="1"/>
          <w:bCs w:val="1"/>
          <w:color w:val="00497F"/>
        </w:rPr>
        <w:drawing>
          <wp:anchor simplePos="0" relativeHeight="251657728" behindDoc="1" locked="0" layoutInCell="0" allowOverlap="1">
            <wp:simplePos x="0" y="0"/>
            <wp:positionH relativeFrom="page">
              <wp:posOffset>982345</wp:posOffset>
            </wp:positionH>
            <wp:positionV relativeFrom="page">
              <wp:posOffset>88900</wp:posOffset>
            </wp:positionV>
            <wp:extent cx="5584190" cy="311277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584190" cy="3112770"/>
                    </a:xfrm>
                    <a:prstGeom prst="rect">
                      <a:avLst/>
                    </a:prstGeom>
                    <a:noFill/>
                  </pic:spPr>
                </pic:pic>
              </a:graphicData>
            </a:graphic>
          </wp:anchor>
        </w:drawing>
        <w:t>Assets and liabilities measured at fair value on a recurring basis</w:t>
      </w:r>
    </w:p>
    <w:p>
      <w:pPr>
        <w:spacing w:after="0" w:line="162" w:lineRule="exact"/>
        <w:rPr>
          <w:sz w:val="20"/>
          <w:szCs w:val="20"/>
          <w:color w:val="auto"/>
        </w:rPr>
      </w:pPr>
    </w:p>
    <w:p>
      <w:pPr>
        <w:ind w:left="640" w:right="679" w:firstLine="516"/>
        <w:spacing w:after="0" w:line="257" w:lineRule="auto"/>
        <w:rPr>
          <w:sz w:val="20"/>
          <w:szCs w:val="20"/>
          <w:color w:val="auto"/>
        </w:rPr>
      </w:pPr>
      <w:r>
        <w:rPr>
          <w:rFonts w:ascii="Arial" w:cs="Arial" w:eastAsia="Arial" w:hAnsi="Arial"/>
          <w:sz w:val="13"/>
          <w:szCs w:val="13"/>
          <w:color w:val="auto"/>
        </w:rPr>
        <w:t>The following table sets forth the assets that we measure at fair value on a recurring basis by level in the fair value hierarchy (in thousands). There were no liabilities measured at fair value on a recurring basis as of June 30, 2024 and December 31, 2023. There were no transfers of assets measured at fair value on a recurring basis to or from Level 3 in the fair value hierarchy during the six months ended June 30, 2024.</w:t>
      </w:r>
    </w:p>
    <w:p>
      <w:pPr>
        <w:spacing w:after="0" w:line="101" w:lineRule="exact"/>
        <w:rPr>
          <w:sz w:val="20"/>
          <w:szCs w:val="20"/>
          <w:color w:val="auto"/>
        </w:rPr>
      </w:pPr>
    </w:p>
    <w:tbl>
      <w:tblPr>
        <w:tblLayout w:type="fixed"/>
        <w:tblInd w:w="640" w:type="dxa"/>
        <w:tblCellMar>
          <w:top w:w="0" w:type="dxa"/>
          <w:left w:w="0" w:type="dxa"/>
          <w:bottom w:w="0" w:type="dxa"/>
          <w:right w:w="0" w:type="dxa"/>
        </w:tblCellMar>
      </w:tblPr>
      <w:tr>
        <w:trPr>
          <w:trHeight w:val="170"/>
        </w:trPr>
        <w:tc>
          <w:tcPr>
            <w:tcW w:w="2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580" w:type="dxa"/>
            <w:vAlign w:val="bottom"/>
            <w:tcBorders>
              <w:bottom w:val="single" w:sz="8" w:color="auto"/>
            </w:tcBorders>
            <w:gridSpan w:val="7"/>
          </w:tcPr>
          <w:p>
            <w:pPr>
              <w:jc w:val="center"/>
              <w:ind w:right="56"/>
              <w:spacing w:after="0"/>
              <w:rPr>
                <w:sz w:val="20"/>
                <w:szCs w:val="20"/>
                <w:color w:val="auto"/>
              </w:rPr>
            </w:pPr>
            <w:r>
              <w:rPr>
                <w:rFonts w:ascii="Arial" w:cs="Arial" w:eastAsia="Arial" w:hAnsi="Arial"/>
                <w:sz w:val="13"/>
                <w:szCs w:val="13"/>
                <w:color w:val="auto"/>
                <w:w w:val="99"/>
              </w:rPr>
              <w:t>Fair Value Measurement Using</w:t>
            </w:r>
          </w:p>
        </w:tc>
        <w:tc>
          <w:tcPr>
            <w:tcW w:w="0" w:type="dxa"/>
            <w:vAlign w:val="bottom"/>
          </w:tcPr>
          <w:p>
            <w:pPr>
              <w:spacing w:after="0"/>
              <w:rPr>
                <w:sz w:val="1"/>
                <w:szCs w:val="1"/>
                <w:color w:val="auto"/>
              </w:rPr>
            </w:pPr>
          </w:p>
        </w:tc>
      </w:tr>
      <w:tr>
        <w:trPr>
          <w:trHeight w:val="143"/>
        </w:trPr>
        <w:tc>
          <w:tcPr>
            <w:tcW w:w="2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160"/>
              <w:spacing w:after="0" w:line="143" w:lineRule="exact"/>
              <w:rPr>
                <w:sz w:val="20"/>
                <w:szCs w:val="20"/>
                <w:color w:val="auto"/>
              </w:rPr>
            </w:pPr>
            <w:r>
              <w:rPr>
                <w:rFonts w:ascii="Arial" w:cs="Arial" w:eastAsia="Arial" w:hAnsi="Arial"/>
                <w:sz w:val="13"/>
                <w:szCs w:val="13"/>
                <w:color w:val="auto"/>
                <w:w w:val="99"/>
              </w:rPr>
              <w:t>Quoted Prices in</w:t>
            </w:r>
          </w:p>
        </w:tc>
        <w:tc>
          <w:tcPr>
            <w:tcW w:w="220" w:type="dxa"/>
            <w:vAlign w:val="bottom"/>
          </w:tcPr>
          <w:p>
            <w:pPr>
              <w:spacing w:after="0"/>
              <w:rPr>
                <w:sz w:val="12"/>
                <w:szCs w:val="12"/>
                <w:color w:val="auto"/>
              </w:rPr>
            </w:pPr>
          </w:p>
        </w:tc>
        <w:tc>
          <w:tcPr>
            <w:tcW w:w="1040" w:type="dxa"/>
            <w:vAlign w:val="bottom"/>
            <w:gridSpan w:val="2"/>
          </w:tcPr>
          <w:p>
            <w:pPr>
              <w:jc w:val="center"/>
              <w:ind w:right="260"/>
              <w:spacing w:after="0" w:line="143" w:lineRule="exact"/>
              <w:rPr>
                <w:sz w:val="20"/>
                <w:szCs w:val="20"/>
                <w:color w:val="auto"/>
              </w:rPr>
            </w:pPr>
            <w:r>
              <w:rPr>
                <w:rFonts w:ascii="Arial" w:cs="Arial" w:eastAsia="Arial" w:hAnsi="Arial"/>
                <w:sz w:val="13"/>
                <w:szCs w:val="13"/>
                <w:color w:val="auto"/>
                <w:w w:val="96"/>
              </w:rPr>
              <w:t>Significant</w:t>
            </w:r>
          </w:p>
        </w:tc>
        <w:tc>
          <w:tcPr>
            <w:tcW w:w="160" w:type="dxa"/>
            <w:vAlign w:val="bottom"/>
          </w:tcPr>
          <w:p>
            <w:pPr>
              <w:spacing w:after="0"/>
              <w:rPr>
                <w:sz w:val="12"/>
                <w:szCs w:val="12"/>
                <w:color w:val="auto"/>
              </w:rPr>
            </w:pPr>
          </w:p>
        </w:tc>
        <w:tc>
          <w:tcPr>
            <w:tcW w:w="1040" w:type="dxa"/>
            <w:vAlign w:val="bottom"/>
          </w:tcPr>
          <w:p>
            <w:pPr>
              <w:jc w:val="center"/>
              <w:ind w:right="76"/>
              <w:spacing w:after="0" w:line="143" w:lineRule="exact"/>
              <w:rPr>
                <w:sz w:val="20"/>
                <w:szCs w:val="20"/>
                <w:color w:val="auto"/>
              </w:rPr>
            </w:pPr>
            <w:r>
              <w:rPr>
                <w:rFonts w:ascii="Arial" w:cs="Arial" w:eastAsia="Arial" w:hAnsi="Arial"/>
                <w:sz w:val="13"/>
                <w:szCs w:val="13"/>
                <w:color w:val="auto"/>
                <w:w w:val="96"/>
              </w:rPr>
              <w:t>Significant</w:t>
            </w:r>
          </w:p>
        </w:tc>
        <w:tc>
          <w:tcPr>
            <w:tcW w:w="0" w:type="dxa"/>
            <w:vAlign w:val="bottom"/>
          </w:tcPr>
          <w:p>
            <w:pPr>
              <w:spacing w:after="0"/>
              <w:rPr>
                <w:sz w:val="1"/>
                <w:szCs w:val="1"/>
                <w:color w:val="auto"/>
              </w:rPr>
            </w:pPr>
          </w:p>
        </w:tc>
      </w:tr>
      <w:tr>
        <w:trPr>
          <w:trHeight w:val="129"/>
        </w:trPr>
        <w:tc>
          <w:tcPr>
            <w:tcW w:w="2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160"/>
              <w:spacing w:after="0" w:line="129" w:lineRule="exact"/>
              <w:rPr>
                <w:sz w:val="20"/>
                <w:szCs w:val="20"/>
                <w:color w:val="auto"/>
              </w:rPr>
            </w:pPr>
            <w:r>
              <w:rPr>
                <w:rFonts w:ascii="Arial" w:cs="Arial" w:eastAsia="Arial" w:hAnsi="Arial"/>
                <w:sz w:val="13"/>
                <w:szCs w:val="13"/>
                <w:color w:val="auto"/>
                <w:w w:val="98"/>
              </w:rPr>
              <w:t>Active Markets</w:t>
            </w:r>
          </w:p>
        </w:tc>
        <w:tc>
          <w:tcPr>
            <w:tcW w:w="220" w:type="dxa"/>
            <w:vAlign w:val="bottom"/>
          </w:tcPr>
          <w:p>
            <w:pPr>
              <w:spacing w:after="0"/>
              <w:rPr>
                <w:sz w:val="11"/>
                <w:szCs w:val="11"/>
                <w:color w:val="auto"/>
              </w:rPr>
            </w:pPr>
          </w:p>
        </w:tc>
        <w:tc>
          <w:tcPr>
            <w:tcW w:w="1040" w:type="dxa"/>
            <w:vAlign w:val="bottom"/>
            <w:gridSpan w:val="2"/>
          </w:tcPr>
          <w:p>
            <w:pPr>
              <w:jc w:val="center"/>
              <w:ind w:right="260"/>
              <w:spacing w:after="0" w:line="129" w:lineRule="exact"/>
              <w:rPr>
                <w:sz w:val="20"/>
                <w:szCs w:val="20"/>
                <w:color w:val="auto"/>
              </w:rPr>
            </w:pPr>
            <w:r>
              <w:rPr>
                <w:rFonts w:ascii="Arial" w:cs="Arial" w:eastAsia="Arial" w:hAnsi="Arial"/>
                <w:sz w:val="13"/>
                <w:szCs w:val="13"/>
                <w:color w:val="auto"/>
              </w:rPr>
              <w:t>Other</w:t>
            </w:r>
          </w:p>
        </w:tc>
        <w:tc>
          <w:tcPr>
            <w:tcW w:w="160" w:type="dxa"/>
            <w:vAlign w:val="bottom"/>
          </w:tcPr>
          <w:p>
            <w:pPr>
              <w:spacing w:after="0"/>
              <w:rPr>
                <w:sz w:val="11"/>
                <w:szCs w:val="11"/>
                <w:color w:val="auto"/>
              </w:rPr>
            </w:pPr>
          </w:p>
        </w:tc>
        <w:tc>
          <w:tcPr>
            <w:tcW w:w="1040" w:type="dxa"/>
            <w:vAlign w:val="bottom"/>
          </w:tcPr>
          <w:p>
            <w:pPr>
              <w:jc w:val="center"/>
              <w:ind w:right="96"/>
              <w:spacing w:after="0" w:line="129" w:lineRule="exact"/>
              <w:rPr>
                <w:sz w:val="20"/>
                <w:szCs w:val="20"/>
                <w:color w:val="auto"/>
              </w:rPr>
            </w:pPr>
            <w:r>
              <w:rPr>
                <w:rFonts w:ascii="Arial" w:cs="Arial" w:eastAsia="Arial" w:hAnsi="Arial"/>
                <w:sz w:val="13"/>
                <w:szCs w:val="13"/>
                <w:color w:val="auto"/>
                <w:w w:val="99"/>
              </w:rPr>
              <w:t>Unobservable</w:t>
            </w:r>
          </w:p>
        </w:tc>
        <w:tc>
          <w:tcPr>
            <w:tcW w:w="0" w:type="dxa"/>
            <w:vAlign w:val="bottom"/>
          </w:tcPr>
          <w:p>
            <w:pPr>
              <w:spacing w:after="0"/>
              <w:rPr>
                <w:sz w:val="1"/>
                <w:szCs w:val="1"/>
                <w:color w:val="auto"/>
              </w:rPr>
            </w:pPr>
          </w:p>
        </w:tc>
      </w:tr>
      <w:tr>
        <w:trPr>
          <w:trHeight w:val="129"/>
        </w:trPr>
        <w:tc>
          <w:tcPr>
            <w:tcW w:w="2780" w:type="dxa"/>
            <w:vAlign w:val="bottom"/>
            <w:vMerge w:val="restart"/>
          </w:tcPr>
          <w:p>
            <w:pPr>
              <w:ind w:left="40"/>
              <w:spacing w:after="0"/>
              <w:rPr>
                <w:sz w:val="20"/>
                <w:szCs w:val="20"/>
                <w:color w:val="auto"/>
              </w:rPr>
            </w:pPr>
            <w:r>
              <w:rPr>
                <w:rFonts w:ascii="Arial" w:cs="Arial" w:eastAsia="Arial" w:hAnsi="Arial"/>
                <w:sz w:val="13"/>
                <w:szCs w:val="13"/>
                <w:color w:val="auto"/>
              </w:rPr>
              <w:t>Description</w:t>
            </w:r>
          </w:p>
        </w:tc>
        <w:tc>
          <w:tcPr>
            <w:tcW w:w="60" w:type="dxa"/>
            <w:vAlign w:val="bottom"/>
            <w:vMerge w:val="restart"/>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vMerge w:val="restart"/>
          </w:tcPr>
          <w:p>
            <w:pPr>
              <w:jc w:val="right"/>
              <w:ind w:right="356"/>
              <w:spacing w:after="0"/>
              <w:rPr>
                <w:sz w:val="20"/>
                <w:szCs w:val="20"/>
                <w:color w:val="auto"/>
              </w:rPr>
            </w:pPr>
            <w:r>
              <w:rPr>
                <w:rFonts w:ascii="Arial" w:cs="Arial" w:eastAsia="Arial" w:hAnsi="Arial"/>
                <w:sz w:val="13"/>
                <w:szCs w:val="13"/>
                <w:color w:val="auto"/>
              </w:rPr>
              <w:t>Total</w:t>
            </w:r>
          </w:p>
        </w:tc>
        <w:tc>
          <w:tcPr>
            <w:tcW w:w="60" w:type="dxa"/>
            <w:vAlign w:val="bottom"/>
            <w:vMerge w:val="restart"/>
          </w:tcPr>
          <w:p>
            <w:pPr>
              <w:spacing w:after="0"/>
              <w:rPr>
                <w:sz w:val="11"/>
                <w:szCs w:val="11"/>
                <w:color w:val="auto"/>
              </w:rPr>
            </w:pPr>
          </w:p>
        </w:tc>
        <w:tc>
          <w:tcPr>
            <w:tcW w:w="1240" w:type="dxa"/>
            <w:vAlign w:val="bottom"/>
            <w:gridSpan w:val="3"/>
          </w:tcPr>
          <w:p>
            <w:pPr>
              <w:jc w:val="center"/>
              <w:ind w:right="40"/>
              <w:spacing w:after="0" w:line="129" w:lineRule="exact"/>
              <w:rPr>
                <w:sz w:val="20"/>
                <w:szCs w:val="20"/>
                <w:color w:val="auto"/>
              </w:rPr>
            </w:pPr>
            <w:r>
              <w:rPr>
                <w:rFonts w:ascii="Arial" w:cs="Arial" w:eastAsia="Arial" w:hAnsi="Arial"/>
                <w:sz w:val="13"/>
                <w:szCs w:val="13"/>
                <w:color w:val="auto"/>
                <w:w w:val="98"/>
              </w:rPr>
              <w:t>for Identical Assets</w:t>
            </w:r>
          </w:p>
        </w:tc>
        <w:tc>
          <w:tcPr>
            <w:tcW w:w="1260" w:type="dxa"/>
            <w:vAlign w:val="bottom"/>
            <w:gridSpan w:val="3"/>
          </w:tcPr>
          <w:p>
            <w:pPr>
              <w:jc w:val="center"/>
              <w:ind w:right="40"/>
              <w:spacing w:after="0" w:line="129" w:lineRule="exact"/>
              <w:rPr>
                <w:sz w:val="20"/>
                <w:szCs w:val="20"/>
                <w:color w:val="auto"/>
              </w:rPr>
            </w:pPr>
            <w:r>
              <w:rPr>
                <w:rFonts w:ascii="Arial" w:cs="Arial" w:eastAsia="Arial" w:hAnsi="Arial"/>
                <w:sz w:val="13"/>
                <w:szCs w:val="13"/>
                <w:color w:val="auto"/>
              </w:rPr>
              <w:t>Observable Inputs</w:t>
            </w:r>
          </w:p>
        </w:tc>
        <w:tc>
          <w:tcPr>
            <w:tcW w:w="160" w:type="dxa"/>
            <w:vAlign w:val="bottom"/>
          </w:tcPr>
          <w:p>
            <w:pPr>
              <w:spacing w:after="0"/>
              <w:rPr>
                <w:sz w:val="11"/>
                <w:szCs w:val="11"/>
                <w:color w:val="auto"/>
              </w:rPr>
            </w:pPr>
          </w:p>
        </w:tc>
        <w:tc>
          <w:tcPr>
            <w:tcW w:w="1040" w:type="dxa"/>
            <w:vAlign w:val="bottom"/>
          </w:tcPr>
          <w:p>
            <w:pPr>
              <w:jc w:val="center"/>
              <w:ind w:right="76"/>
              <w:spacing w:after="0" w:line="129" w:lineRule="exact"/>
              <w:rPr>
                <w:sz w:val="20"/>
                <w:szCs w:val="20"/>
                <w:color w:val="auto"/>
              </w:rPr>
            </w:pPr>
            <w:r>
              <w:rPr>
                <w:rFonts w:ascii="Arial" w:cs="Arial" w:eastAsia="Arial" w:hAnsi="Arial"/>
                <w:sz w:val="13"/>
                <w:szCs w:val="13"/>
                <w:color w:val="auto"/>
                <w:w w:val="95"/>
              </w:rPr>
              <w:t>Inputs</w:t>
            </w:r>
          </w:p>
        </w:tc>
        <w:tc>
          <w:tcPr>
            <w:tcW w:w="0" w:type="dxa"/>
            <w:vAlign w:val="bottom"/>
          </w:tcPr>
          <w:p>
            <w:pPr>
              <w:spacing w:after="0"/>
              <w:rPr>
                <w:sz w:val="1"/>
                <w:szCs w:val="1"/>
                <w:color w:val="auto"/>
              </w:rPr>
            </w:pPr>
          </w:p>
        </w:tc>
      </w:tr>
      <w:tr>
        <w:trPr>
          <w:trHeight w:val="170"/>
        </w:trPr>
        <w:tc>
          <w:tcPr>
            <w:tcW w:w="2780" w:type="dxa"/>
            <w:vAlign w:val="bottom"/>
            <w:tcBorders>
              <w:bottom w:val="single" w:sz="8" w:color="auto"/>
            </w:tcBorders>
            <w:vMerge w:val="continue"/>
          </w:tcPr>
          <w:p>
            <w:pPr>
              <w:spacing w:after="0"/>
              <w:rPr>
                <w:sz w:val="14"/>
                <w:szCs w:val="14"/>
                <w:color w:val="auto"/>
              </w:rPr>
            </w:pPr>
          </w:p>
        </w:tc>
        <w:tc>
          <w:tcPr>
            <w:tcW w:w="60" w:type="dxa"/>
            <w:vAlign w:val="bottom"/>
            <w:tcBorders>
              <w:bottom w:val="single" w:sz="8" w:color="CCEEFF"/>
            </w:tcBorders>
            <w:vMerge w:val="continue"/>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60" w:type="dxa"/>
            <w:vAlign w:val="bottom"/>
            <w:tcBorders>
              <w:bottom w:val="single" w:sz="8" w:color="CCEEFF"/>
            </w:tcBorders>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76"/>
              <w:spacing w:after="0"/>
              <w:rPr>
                <w:sz w:val="20"/>
                <w:szCs w:val="20"/>
                <w:color w:val="auto"/>
              </w:rPr>
            </w:pPr>
            <w:r>
              <w:rPr>
                <w:rFonts w:ascii="Arial" w:cs="Arial" w:eastAsia="Arial" w:hAnsi="Arial"/>
                <w:sz w:val="13"/>
                <w:szCs w:val="13"/>
                <w:color w:val="auto"/>
                <w:w w:val="98"/>
              </w:rPr>
              <w:t>(Level 1)</w:t>
            </w:r>
          </w:p>
        </w:tc>
        <w:tc>
          <w:tcPr>
            <w:tcW w:w="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156"/>
              <w:spacing w:after="0"/>
              <w:rPr>
                <w:sz w:val="20"/>
                <w:szCs w:val="20"/>
                <w:color w:val="auto"/>
              </w:rPr>
            </w:pPr>
            <w:r>
              <w:rPr>
                <w:rFonts w:ascii="Arial" w:cs="Arial" w:eastAsia="Arial" w:hAnsi="Arial"/>
                <w:sz w:val="13"/>
                <w:szCs w:val="13"/>
                <w:color w:val="auto"/>
                <w:w w:val="98"/>
              </w:rPr>
              <w:t>(Level 2)</w:t>
            </w:r>
          </w:p>
        </w:tc>
        <w:tc>
          <w:tcPr>
            <w:tcW w:w="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76"/>
              <w:spacing w:after="0"/>
              <w:rPr>
                <w:sz w:val="20"/>
                <w:szCs w:val="20"/>
                <w:color w:val="auto"/>
              </w:rPr>
            </w:pPr>
            <w:r>
              <w:rPr>
                <w:rFonts w:ascii="Arial" w:cs="Arial" w:eastAsia="Arial" w:hAnsi="Arial"/>
                <w:sz w:val="13"/>
                <w:szCs w:val="13"/>
                <w:color w:val="auto"/>
                <w:w w:val="98"/>
              </w:rPr>
              <w:t>(Level 3)</w:t>
            </w:r>
          </w:p>
        </w:tc>
        <w:tc>
          <w:tcPr>
            <w:tcW w:w="0" w:type="dxa"/>
            <w:vAlign w:val="bottom"/>
          </w:tcPr>
          <w:p>
            <w:pPr>
              <w:spacing w:after="0"/>
              <w:rPr>
                <w:sz w:val="1"/>
                <w:szCs w:val="1"/>
                <w:color w:val="auto"/>
              </w:rPr>
            </w:pPr>
          </w:p>
        </w:tc>
      </w:tr>
      <w:tr>
        <w:trPr>
          <w:trHeight w:val="164"/>
        </w:trPr>
        <w:tc>
          <w:tcPr>
            <w:tcW w:w="28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Investments in publicly traded companies:</w:t>
            </w: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840" w:type="dxa"/>
            <w:vAlign w:val="bottom"/>
            <w:gridSpan w:val="2"/>
          </w:tcPr>
          <w:p>
            <w:pPr>
              <w:ind w:left="160"/>
              <w:spacing w:after="0"/>
              <w:rPr>
                <w:sz w:val="20"/>
                <w:szCs w:val="20"/>
                <w:color w:val="auto"/>
              </w:rPr>
            </w:pPr>
            <w:r>
              <w:rPr>
                <w:rFonts w:ascii="Arial" w:cs="Arial" w:eastAsia="Arial" w:hAnsi="Arial"/>
                <w:sz w:val="13"/>
                <w:szCs w:val="13"/>
                <w:color w:val="auto"/>
              </w:rPr>
              <w:t>As of June 30, 2024</w:t>
            </w:r>
          </w:p>
        </w:tc>
        <w:tc>
          <w:tcPr>
            <w:tcW w:w="26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153,191</w:t>
            </w:r>
          </w:p>
        </w:tc>
        <w:tc>
          <w:tcPr>
            <w:tcW w:w="6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153,191</w:t>
            </w:r>
          </w:p>
        </w:tc>
        <w:tc>
          <w:tcPr>
            <w:tcW w:w="40" w:type="dxa"/>
            <w:vAlign w:val="bottom"/>
          </w:tcPr>
          <w:p>
            <w:pPr>
              <w:spacing w:after="0"/>
              <w:rPr>
                <w:sz w:val="15"/>
                <w:szCs w:val="15"/>
                <w:color w:val="auto"/>
              </w:rPr>
            </w:pPr>
          </w:p>
        </w:tc>
        <w:tc>
          <w:tcPr>
            <w:tcW w:w="22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040" w:type="dxa"/>
            <w:vAlign w:val="bottom"/>
            <w:gridSpan w:val="2"/>
          </w:tcPr>
          <w:p>
            <w:pPr>
              <w:ind w:left="800"/>
              <w:spacing w:after="0"/>
              <w:rPr>
                <w:sz w:val="20"/>
                <w:szCs w:val="20"/>
                <w:color w:val="auto"/>
              </w:rPr>
            </w:pPr>
            <w:r>
              <w:rPr>
                <w:rFonts w:ascii="Arial" w:cs="Arial" w:eastAsia="Arial" w:hAnsi="Arial"/>
                <w:sz w:val="13"/>
                <w:szCs w:val="13"/>
                <w:color w:val="auto"/>
              </w:rPr>
              <w:t>—</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040" w:type="dxa"/>
            <w:vAlign w:val="bottom"/>
          </w:tcPr>
          <w:p>
            <w:pPr>
              <w:ind w:left="8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284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As of December 31, 2023</w:t>
            </w:r>
          </w:p>
        </w:tc>
        <w:tc>
          <w:tcPr>
            <w:tcW w:w="2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159,566</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159,566</w:t>
            </w: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ind w:left="8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ind w:left="8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365" w:lineRule="exact"/>
        <w:rPr>
          <w:sz w:val="20"/>
          <w:szCs w:val="20"/>
          <w:color w:val="auto"/>
        </w:rPr>
      </w:pPr>
    </w:p>
    <w:p>
      <w:pPr>
        <w:ind w:left="640" w:right="699" w:firstLine="516"/>
        <w:spacing w:after="0" w:line="263" w:lineRule="auto"/>
        <w:rPr>
          <w:sz w:val="20"/>
          <w:szCs w:val="20"/>
          <w:color w:val="auto"/>
        </w:rPr>
      </w:pPr>
      <w:r>
        <w:rPr>
          <w:rFonts w:ascii="Arial" w:cs="Arial" w:eastAsia="Arial" w:hAnsi="Arial"/>
          <w:sz w:val="13"/>
          <w:szCs w:val="13"/>
          <w:color w:val="auto"/>
        </w:rPr>
        <w:t>Our investments in publicly traded companies represent investments with readily determinable fair values, and are carried at fair value, with changes in fair value classified in investment income in our consolidated financial statements. We also hold investments in privately held entities, which consist of (i) investments that report NAV and (ii) investments that do not report NAV, as further described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188595</wp:posOffset>
            </wp:positionV>
            <wp:extent cx="5584190" cy="72205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900" w:hanging="262"/>
        <w:spacing w:after="0"/>
        <w:tabs>
          <w:tab w:leader="none" w:pos="900" w:val="left"/>
        </w:tabs>
        <w:numPr>
          <w:ilvl w:val="0"/>
          <w:numId w:val="53"/>
        </w:numPr>
        <w:rPr>
          <w:rFonts w:ascii="Arial" w:cs="Arial" w:eastAsia="Arial" w:hAnsi="Arial"/>
          <w:sz w:val="13"/>
          <w:szCs w:val="13"/>
          <w:b w:val="1"/>
          <w:bCs w:val="1"/>
          <w:color w:val="00497F"/>
        </w:rPr>
      </w:pPr>
      <w:r>
        <w:rPr>
          <w:rFonts w:ascii="Arial" w:cs="Arial" w:eastAsia="Arial" w:hAnsi="Arial"/>
          <w:sz w:val="13"/>
          <w:szCs w:val="13"/>
          <w:b w:val="1"/>
          <w:bCs w:val="1"/>
          <w:color w:val="00497F"/>
        </w:rPr>
        <w:t>FAIR VALUE MEASUREMENTS (continued)</w:t>
      </w:r>
    </w:p>
    <w:p>
      <w:pPr>
        <w:spacing w:after="0" w:line="119" w:lineRule="exact"/>
        <w:rPr>
          <w:sz w:val="20"/>
          <w:szCs w:val="20"/>
          <w:color w:val="auto"/>
        </w:rPr>
      </w:pPr>
    </w:p>
    <w:p>
      <w:pPr>
        <w:ind w:left="640" w:right="719" w:firstLine="516"/>
        <w:spacing w:after="0" w:line="252" w:lineRule="auto"/>
        <w:rPr>
          <w:sz w:val="20"/>
          <w:szCs w:val="20"/>
          <w:color w:val="auto"/>
        </w:rPr>
      </w:pPr>
      <w:r>
        <w:rPr>
          <w:rFonts w:ascii="Arial" w:cs="Arial" w:eastAsia="Arial" w:hAnsi="Arial"/>
          <w:sz w:val="13"/>
          <w:szCs w:val="13"/>
          <w:color w:val="auto"/>
        </w:rPr>
        <w:t>Our investments in privately held entities that report NAV, such as our privately held investments in limited partnerships, are carried at fair value using NAV as a practical expedient, with changes in fair value classified in net income. As of June 30, 2024 and December 31, 2023, the carrying values of investments in privately held entities that report NAV aggregated $639.6 million and $671.5 million, respectively. These investments are excluded from the fair value hierarchy above as required by the fair value accounting standards. We estimate the fair value of each of our investments in limited partnerships based on the most recent NAV reported by each limited partnership. As a result, the determination of fair values of our investments in privately held entities that report NAV generally does not involve significant estimates, assumptions, or judgments.</w:t>
      </w:r>
    </w:p>
    <w:p>
      <w:pPr>
        <w:spacing w:after="0" w:line="136"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00497F"/>
        </w:rPr>
        <w:t>Assets and liabilities measured at fair value on a nonrecurring basis</w:t>
      </w:r>
    </w:p>
    <w:p>
      <w:pPr>
        <w:spacing w:after="0" w:line="162" w:lineRule="exact"/>
        <w:rPr>
          <w:sz w:val="20"/>
          <w:szCs w:val="20"/>
          <w:color w:val="auto"/>
        </w:rPr>
      </w:pPr>
    </w:p>
    <w:p>
      <w:pPr>
        <w:ind w:left="640" w:right="739" w:firstLine="516"/>
        <w:spacing w:after="0" w:line="272" w:lineRule="auto"/>
        <w:rPr>
          <w:sz w:val="20"/>
          <w:szCs w:val="20"/>
          <w:color w:val="auto"/>
        </w:rPr>
      </w:pPr>
      <w:r>
        <w:rPr>
          <w:rFonts w:ascii="Arial" w:cs="Arial" w:eastAsia="Arial" w:hAnsi="Arial"/>
          <w:sz w:val="13"/>
          <w:szCs w:val="13"/>
          <w:color w:val="auto"/>
        </w:rPr>
        <w:t>The following table sets forth the assets measured at fair value on a nonrecurring basis by level within the fair value hierarchy as of June 30, 2024 and December 31, 2023 (in thousands).</w:t>
      </w:r>
    </w:p>
    <w:p>
      <w:pPr>
        <w:spacing w:after="0" w:line="123"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360" w:type="dxa"/>
            <w:vAlign w:val="bottom"/>
            <w:tcBorders>
              <w:bottom w:val="single" w:sz="8" w:color="auto"/>
            </w:tcBorders>
            <w:gridSpan w:val="8"/>
          </w:tcPr>
          <w:p>
            <w:pPr>
              <w:ind w:left="840"/>
              <w:spacing w:after="0"/>
              <w:rPr>
                <w:sz w:val="20"/>
                <w:szCs w:val="20"/>
                <w:color w:val="auto"/>
              </w:rPr>
            </w:pPr>
            <w:r>
              <w:rPr>
                <w:rFonts w:ascii="Arial" w:cs="Arial" w:eastAsia="Arial" w:hAnsi="Arial"/>
                <w:sz w:val="13"/>
                <w:szCs w:val="13"/>
                <w:color w:val="auto"/>
              </w:rPr>
              <w:t>Fair Value Measurement Using</w:t>
            </w:r>
          </w:p>
        </w:tc>
        <w:tc>
          <w:tcPr>
            <w:tcW w:w="2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3"/>
          </w:tcPr>
          <w:p>
            <w:pPr>
              <w:jc w:val="center"/>
              <w:ind w:right="40"/>
              <w:spacing w:after="0"/>
              <w:rPr>
                <w:sz w:val="20"/>
                <w:szCs w:val="20"/>
                <w:color w:val="auto"/>
              </w:rPr>
            </w:pPr>
            <w:r>
              <w:rPr>
                <w:rFonts w:ascii="Arial" w:cs="Arial" w:eastAsia="Arial" w:hAnsi="Arial"/>
                <w:sz w:val="13"/>
                <w:szCs w:val="13"/>
                <w:color w:val="auto"/>
                <w:w w:val="99"/>
              </w:rPr>
              <w:t>Quoted Prices in</w:t>
            </w:r>
          </w:p>
        </w:tc>
        <w:tc>
          <w:tcPr>
            <w:tcW w:w="200" w:type="dxa"/>
            <w:vAlign w:val="bottom"/>
          </w:tcPr>
          <w:p>
            <w:pPr>
              <w:spacing w:after="0"/>
              <w:rPr>
                <w:sz w:val="13"/>
                <w:szCs w:val="13"/>
                <w:color w:val="auto"/>
              </w:rPr>
            </w:pPr>
          </w:p>
        </w:tc>
        <w:tc>
          <w:tcPr>
            <w:tcW w:w="820" w:type="dxa"/>
            <w:vAlign w:val="bottom"/>
          </w:tcPr>
          <w:p>
            <w:pPr>
              <w:jc w:val="center"/>
              <w:spacing w:after="0"/>
              <w:rPr>
                <w:sz w:val="20"/>
                <w:szCs w:val="20"/>
                <w:color w:val="auto"/>
              </w:rPr>
            </w:pPr>
            <w:r>
              <w:rPr>
                <w:rFonts w:ascii="Arial" w:cs="Arial" w:eastAsia="Arial" w:hAnsi="Arial"/>
                <w:sz w:val="13"/>
                <w:szCs w:val="13"/>
                <w:color w:val="auto"/>
                <w:w w:val="99"/>
              </w:rPr>
              <w:t>Significant</w:t>
            </w: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jc w:val="center"/>
              <w:spacing w:after="0"/>
              <w:rPr>
                <w:sz w:val="20"/>
                <w:szCs w:val="20"/>
                <w:color w:val="auto"/>
              </w:rPr>
            </w:pPr>
            <w:r>
              <w:rPr>
                <w:rFonts w:ascii="Arial" w:cs="Arial" w:eastAsia="Arial" w:hAnsi="Arial"/>
                <w:sz w:val="13"/>
                <w:szCs w:val="13"/>
                <w:color w:val="auto"/>
                <w:w w:val="96"/>
              </w:rPr>
              <w:t>Significant</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vMerge w:val="restart"/>
          </w:tcPr>
          <w:p>
            <w:pPr>
              <w:jc w:val="right"/>
              <w:ind w:right="116"/>
              <w:spacing w:after="0"/>
              <w:rPr>
                <w:sz w:val="20"/>
                <w:szCs w:val="20"/>
                <w:color w:val="auto"/>
              </w:rPr>
            </w:pPr>
            <w:r>
              <w:rPr>
                <w:rFonts w:ascii="Arial" w:cs="Arial" w:eastAsia="Arial" w:hAnsi="Arial"/>
                <w:sz w:val="13"/>
                <w:szCs w:val="13"/>
                <w:color w:val="auto"/>
                <w:w w:val="97"/>
              </w:rPr>
              <w:t>Carrying</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center"/>
              <w:ind w:right="160"/>
              <w:spacing w:after="0" w:line="129" w:lineRule="exact"/>
              <w:rPr>
                <w:sz w:val="20"/>
                <w:szCs w:val="20"/>
                <w:color w:val="auto"/>
              </w:rPr>
            </w:pPr>
            <w:r>
              <w:rPr>
                <w:rFonts w:ascii="Arial" w:cs="Arial" w:eastAsia="Arial" w:hAnsi="Arial"/>
                <w:sz w:val="13"/>
                <w:szCs w:val="13"/>
                <w:color w:val="auto"/>
                <w:w w:val="98"/>
              </w:rPr>
              <w:t>Active Markets</w:t>
            </w:r>
          </w:p>
        </w:tc>
        <w:tc>
          <w:tcPr>
            <w:tcW w:w="200" w:type="dxa"/>
            <w:vAlign w:val="bottom"/>
          </w:tcPr>
          <w:p>
            <w:pPr>
              <w:spacing w:after="0"/>
              <w:rPr>
                <w:sz w:val="11"/>
                <w:szCs w:val="11"/>
                <w:color w:val="auto"/>
              </w:rPr>
            </w:pPr>
          </w:p>
        </w:tc>
        <w:tc>
          <w:tcPr>
            <w:tcW w:w="820" w:type="dxa"/>
            <w:vAlign w:val="bottom"/>
          </w:tcPr>
          <w:p>
            <w:pPr>
              <w:jc w:val="center"/>
              <w:spacing w:after="0" w:line="129" w:lineRule="exact"/>
              <w:rPr>
                <w:sz w:val="20"/>
                <w:szCs w:val="20"/>
                <w:color w:val="auto"/>
              </w:rPr>
            </w:pPr>
            <w:r>
              <w:rPr>
                <w:rFonts w:ascii="Arial" w:cs="Arial" w:eastAsia="Arial" w:hAnsi="Arial"/>
                <w:sz w:val="13"/>
                <w:szCs w:val="13"/>
                <w:color w:val="auto"/>
                <w:w w:val="98"/>
              </w:rPr>
              <w:t>Other</w:t>
            </w: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jc w:val="center"/>
              <w:spacing w:after="0" w:line="129" w:lineRule="exact"/>
              <w:rPr>
                <w:sz w:val="20"/>
                <w:szCs w:val="20"/>
                <w:color w:val="auto"/>
              </w:rPr>
            </w:pPr>
            <w:r>
              <w:rPr>
                <w:rFonts w:ascii="Arial" w:cs="Arial" w:eastAsia="Arial" w:hAnsi="Arial"/>
                <w:sz w:val="13"/>
                <w:szCs w:val="13"/>
                <w:color w:val="auto"/>
                <w:w w:val="99"/>
              </w:rPr>
              <w:t>Unobservable</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980" w:type="dxa"/>
            <w:vAlign w:val="bottom"/>
            <w:vMerge w:val="restart"/>
          </w:tcPr>
          <w:p>
            <w:pPr>
              <w:ind w:left="40"/>
              <w:spacing w:after="0"/>
              <w:rPr>
                <w:sz w:val="20"/>
                <w:szCs w:val="20"/>
                <w:color w:val="auto"/>
              </w:rPr>
            </w:pPr>
            <w:r>
              <w:rPr>
                <w:rFonts w:ascii="Arial" w:cs="Arial" w:eastAsia="Arial" w:hAnsi="Arial"/>
                <w:sz w:val="13"/>
                <w:szCs w:val="13"/>
                <w:color w:val="auto"/>
              </w:rPr>
              <w:t>Description</w:t>
            </w:r>
          </w:p>
        </w:tc>
        <w:tc>
          <w:tcPr>
            <w:tcW w:w="6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3"/>
          </w:tcPr>
          <w:p>
            <w:pPr>
              <w:ind w:left="40"/>
              <w:spacing w:after="0" w:line="129" w:lineRule="exact"/>
              <w:rPr>
                <w:sz w:val="20"/>
                <w:szCs w:val="20"/>
                <w:color w:val="auto"/>
              </w:rPr>
            </w:pPr>
            <w:r>
              <w:rPr>
                <w:rFonts w:ascii="Arial" w:cs="Arial" w:eastAsia="Arial" w:hAnsi="Arial"/>
                <w:sz w:val="13"/>
                <w:szCs w:val="13"/>
                <w:color w:val="auto"/>
              </w:rPr>
              <w:t>for Identical Assets</w:t>
            </w:r>
          </w:p>
        </w:tc>
        <w:tc>
          <w:tcPr>
            <w:tcW w:w="1240" w:type="dxa"/>
            <w:vAlign w:val="bottom"/>
            <w:gridSpan w:val="4"/>
          </w:tcPr>
          <w:p>
            <w:pPr>
              <w:jc w:val="center"/>
              <w:ind w:right="40"/>
              <w:spacing w:after="0" w:line="129" w:lineRule="exact"/>
              <w:rPr>
                <w:sz w:val="20"/>
                <w:szCs w:val="20"/>
                <w:color w:val="auto"/>
              </w:rPr>
            </w:pPr>
            <w:r>
              <w:rPr>
                <w:rFonts w:ascii="Arial" w:cs="Arial" w:eastAsia="Arial" w:hAnsi="Arial"/>
                <w:sz w:val="13"/>
                <w:szCs w:val="13"/>
                <w:color w:val="auto"/>
                <w:w w:val="98"/>
              </w:rPr>
              <w:t>Observable Inputs</w:t>
            </w:r>
          </w:p>
        </w:tc>
        <w:tc>
          <w:tcPr>
            <w:tcW w:w="180" w:type="dxa"/>
            <w:vAlign w:val="bottom"/>
          </w:tcPr>
          <w:p>
            <w:pPr>
              <w:spacing w:after="0"/>
              <w:rPr>
                <w:sz w:val="11"/>
                <w:szCs w:val="11"/>
                <w:color w:val="auto"/>
              </w:rPr>
            </w:pPr>
          </w:p>
        </w:tc>
        <w:tc>
          <w:tcPr>
            <w:tcW w:w="860" w:type="dxa"/>
            <w:vAlign w:val="bottom"/>
          </w:tcPr>
          <w:p>
            <w:pPr>
              <w:jc w:val="center"/>
              <w:spacing w:after="0" w:line="129" w:lineRule="exact"/>
              <w:rPr>
                <w:sz w:val="20"/>
                <w:szCs w:val="20"/>
                <w:color w:val="auto"/>
              </w:rPr>
            </w:pPr>
            <w:r>
              <w:rPr>
                <w:rFonts w:ascii="Arial" w:cs="Arial" w:eastAsia="Arial" w:hAnsi="Arial"/>
                <w:sz w:val="13"/>
                <w:szCs w:val="13"/>
                <w:color w:val="auto"/>
                <w:w w:val="95"/>
              </w:rPr>
              <w:t>Inputs</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980" w:type="dxa"/>
            <w:vAlign w:val="bottom"/>
            <w:tcBorders>
              <w:bottom w:val="single" w:sz="8" w:color="auto"/>
            </w:tcBorders>
            <w:vMerge w:val="continue"/>
          </w:tcPr>
          <w:p>
            <w:pPr>
              <w:spacing w:after="0"/>
              <w:rPr>
                <w:sz w:val="13"/>
                <w:szCs w:val="13"/>
                <w:color w:val="auto"/>
              </w:rPr>
            </w:pPr>
          </w:p>
        </w:tc>
        <w:tc>
          <w:tcPr>
            <w:tcW w:w="60" w:type="dxa"/>
            <w:vAlign w:val="bottom"/>
            <w:tcBorders>
              <w:bottom w:val="single" w:sz="8" w:color="CCEEFF"/>
            </w:tcBorders>
            <w:vMerge w:val="continue"/>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rPr>
              <w:t>Amount</w:t>
            </w:r>
          </w:p>
        </w:tc>
        <w:tc>
          <w:tcPr>
            <w:tcW w:w="1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center"/>
              <w:ind w:right="76"/>
              <w:spacing w:after="0"/>
              <w:rPr>
                <w:sz w:val="20"/>
                <w:szCs w:val="20"/>
                <w:color w:val="auto"/>
              </w:rPr>
            </w:pPr>
            <w:r>
              <w:rPr>
                <w:rFonts w:ascii="Arial" w:cs="Arial" w:eastAsia="Arial" w:hAnsi="Arial"/>
                <w:sz w:val="13"/>
                <w:szCs w:val="13"/>
                <w:color w:val="auto"/>
                <w:w w:val="98"/>
              </w:rPr>
              <w:t>(Level 1)</w:t>
            </w:r>
          </w:p>
        </w:tc>
        <w:tc>
          <w:tcPr>
            <w:tcW w:w="4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(Level 2)</w:t>
            </w:r>
          </w:p>
        </w:tc>
        <w:tc>
          <w:tcPr>
            <w:tcW w:w="180" w:type="dxa"/>
            <w:vAlign w:val="bottom"/>
            <w:tcBorders>
              <w:bottom w:val="single" w:sz="8" w:color="auto"/>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8"/>
              </w:rPr>
              <w:t>(Level 3)</w:t>
            </w:r>
          </w:p>
        </w:tc>
        <w:tc>
          <w:tcPr>
            <w:tcW w:w="2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3040" w:type="dxa"/>
            <w:vAlign w:val="bottom"/>
            <w:gridSpan w:val="2"/>
            <w:shd w:val="clear" w:color="auto" w:fill="CCEEFF"/>
          </w:tcPr>
          <w:p>
            <w:pPr>
              <w:ind w:left="40"/>
              <w:spacing w:after="0" w:line="141" w:lineRule="exact"/>
              <w:rPr>
                <w:sz w:val="20"/>
                <w:szCs w:val="20"/>
                <w:color w:val="auto"/>
              </w:rPr>
            </w:pPr>
            <w:r>
              <w:rPr>
                <w:rFonts w:ascii="Arial" w:cs="Arial" w:eastAsia="Arial" w:hAnsi="Arial"/>
                <w:sz w:val="13"/>
                <w:szCs w:val="13"/>
                <w:color w:val="auto"/>
              </w:rPr>
              <w:t>Real estate assets held for sale with carrying</w:t>
            </w: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304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values adjusted to fair value less costs to sell:</w:t>
            </w: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3040" w:type="dxa"/>
            <w:vAlign w:val="bottom"/>
            <w:gridSpan w:val="2"/>
          </w:tcPr>
          <w:p>
            <w:pPr>
              <w:ind w:left="160"/>
              <w:spacing w:after="0"/>
              <w:rPr>
                <w:sz w:val="20"/>
                <w:szCs w:val="20"/>
                <w:color w:val="auto"/>
              </w:rPr>
            </w:pPr>
            <w:r>
              <w:rPr>
                <w:rFonts w:ascii="Arial" w:cs="Arial" w:eastAsia="Arial" w:hAnsi="Arial"/>
                <w:sz w:val="13"/>
                <w:szCs w:val="13"/>
                <w:color w:val="auto"/>
              </w:rPr>
              <w:t>As of June 30, 2024</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104,765</w:t>
            </w:r>
          </w:p>
        </w:tc>
        <w:tc>
          <w:tcPr>
            <w:tcW w:w="180" w:type="dxa"/>
            <w:vAlign w:val="bottom"/>
          </w:tcPr>
          <w:p>
            <w:pPr>
              <w:jc w:val="right"/>
              <w:spacing w:after="0"/>
              <w:rPr>
                <w:sz w:val="20"/>
                <w:szCs w:val="20"/>
                <w:color w:val="auto"/>
              </w:rPr>
            </w:pPr>
            <w:r>
              <w:rPr>
                <w:rFonts w:ascii="Arial" w:cs="Arial" w:eastAsia="Arial" w:hAnsi="Arial"/>
                <w:sz w:val="9"/>
                <w:szCs w:val="9"/>
                <w:color w:val="auto"/>
              </w:rPr>
              <w:t>(1)</w:t>
            </w:r>
          </w:p>
        </w:tc>
        <w:tc>
          <w:tcPr>
            <w:tcW w:w="120" w:type="dxa"/>
            <w:vAlign w:val="bottom"/>
          </w:tcPr>
          <w:p>
            <w:pPr>
              <w:ind w:left="40"/>
              <w:spacing w:after="0"/>
              <w:rPr>
                <w:sz w:val="20"/>
                <w:szCs w:val="20"/>
                <w:color w:val="auto"/>
              </w:rPr>
            </w:pPr>
            <w:r>
              <w:rPr>
                <w:rFonts w:ascii="Arial" w:cs="Arial" w:eastAsia="Arial" w:hAnsi="Arial"/>
                <w:sz w:val="13"/>
                <w:szCs w:val="13"/>
                <w:color w:val="auto"/>
                <w:w w:val="82"/>
              </w:rPr>
              <w:t>$</w:t>
            </w:r>
          </w:p>
        </w:tc>
        <w:tc>
          <w:tcPr>
            <w:tcW w:w="1080" w:type="dxa"/>
            <w:vAlign w:val="bottom"/>
            <w:gridSpan w:val="2"/>
          </w:tcPr>
          <w:p>
            <w:pPr>
              <w:ind w:left="860"/>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104,765</w:t>
            </w:r>
          </w:p>
        </w:tc>
        <w:tc>
          <w:tcPr>
            <w:tcW w:w="220" w:type="dxa"/>
            <w:vAlign w:val="bottom"/>
          </w:tcPr>
          <w:p>
            <w:pPr>
              <w:jc w:val="right"/>
              <w:ind w:right="57"/>
              <w:spacing w:after="0"/>
              <w:rPr>
                <w:sz w:val="20"/>
                <w:szCs w:val="20"/>
                <w:color w:val="auto"/>
              </w:rPr>
            </w:pPr>
            <w:r>
              <w:rPr>
                <w:rFonts w:ascii="Arial" w:cs="Arial" w:eastAsia="Arial" w:hAnsi="Arial"/>
                <w:sz w:val="9"/>
                <w:szCs w:val="9"/>
                <w:color w:val="auto"/>
                <w:w w:val="90"/>
              </w:rPr>
              <w:t>(2)</w:t>
            </w:r>
          </w:p>
        </w:tc>
        <w:tc>
          <w:tcPr>
            <w:tcW w:w="0" w:type="dxa"/>
            <w:vAlign w:val="bottom"/>
          </w:tcPr>
          <w:p>
            <w:pPr>
              <w:spacing w:after="0"/>
              <w:rPr>
                <w:sz w:val="1"/>
                <w:szCs w:val="1"/>
                <w:color w:val="auto"/>
              </w:rPr>
            </w:pPr>
          </w:p>
        </w:tc>
      </w:tr>
      <w:tr>
        <w:trPr>
          <w:trHeight w:val="204"/>
        </w:trPr>
        <w:tc>
          <w:tcPr>
            <w:tcW w:w="304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As of December 31, 2023</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133,885</w:t>
            </w:r>
          </w:p>
        </w:tc>
        <w:tc>
          <w:tcPr>
            <w:tcW w:w="180" w:type="dxa"/>
            <w:vAlign w:val="bottom"/>
            <w:shd w:val="clear" w:color="auto" w:fill="CCEEFF"/>
          </w:tcPr>
          <w:p>
            <w:pPr>
              <w:jc w:val="right"/>
              <w:spacing w:after="0"/>
              <w:rPr>
                <w:sz w:val="20"/>
                <w:szCs w:val="20"/>
                <w:color w:val="auto"/>
              </w:rPr>
            </w:pPr>
            <w:r>
              <w:rPr>
                <w:rFonts w:ascii="Arial" w:cs="Arial" w:eastAsia="Arial" w:hAnsi="Arial"/>
                <w:sz w:val="9"/>
                <w:szCs w:val="9"/>
                <w:color w:val="auto"/>
              </w:rPr>
              <w:t>(1)</w:t>
            </w:r>
          </w:p>
        </w:tc>
        <w:tc>
          <w:tcPr>
            <w:tcW w:w="120" w:type="dxa"/>
            <w:vAlign w:val="bottom"/>
            <w:shd w:val="clear" w:color="auto" w:fill="CCEEFF"/>
          </w:tcPr>
          <w:p>
            <w:pPr>
              <w:ind w:left="40"/>
              <w:spacing w:after="0"/>
              <w:rPr>
                <w:sz w:val="20"/>
                <w:szCs w:val="20"/>
                <w:color w:val="auto"/>
              </w:rPr>
            </w:pPr>
            <w:r>
              <w:rPr>
                <w:rFonts w:ascii="Arial" w:cs="Arial" w:eastAsia="Arial" w:hAnsi="Arial"/>
                <w:sz w:val="13"/>
                <w:szCs w:val="13"/>
                <w:color w:val="auto"/>
                <w:w w:val="82"/>
              </w:rPr>
              <w:t>$</w:t>
            </w:r>
          </w:p>
        </w:tc>
        <w:tc>
          <w:tcPr>
            <w:tcW w:w="1080" w:type="dxa"/>
            <w:vAlign w:val="bottom"/>
            <w:gridSpan w:val="2"/>
            <w:shd w:val="clear" w:color="auto" w:fill="CCEEFF"/>
          </w:tcPr>
          <w:p>
            <w:pPr>
              <w:ind w:left="8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133,885</w:t>
            </w:r>
          </w:p>
        </w:tc>
        <w:tc>
          <w:tcPr>
            <w:tcW w:w="220" w:type="dxa"/>
            <w:vAlign w:val="bottom"/>
            <w:shd w:val="clear" w:color="auto" w:fill="CCEEFF"/>
          </w:tcPr>
          <w:p>
            <w:pPr>
              <w:jc w:val="right"/>
              <w:ind w:right="57"/>
              <w:spacing w:after="0"/>
              <w:rPr>
                <w:sz w:val="20"/>
                <w:szCs w:val="20"/>
                <w:color w:val="auto"/>
              </w:rPr>
            </w:pPr>
            <w:r>
              <w:rPr>
                <w:rFonts w:ascii="Arial" w:cs="Arial" w:eastAsia="Arial" w:hAnsi="Arial"/>
                <w:sz w:val="9"/>
                <w:szCs w:val="9"/>
                <w:color w:val="auto"/>
                <w:w w:val="90"/>
              </w:rPr>
              <w:t>(2)</w:t>
            </w:r>
          </w:p>
        </w:tc>
        <w:tc>
          <w:tcPr>
            <w:tcW w:w="0" w:type="dxa"/>
            <w:vAlign w:val="bottom"/>
          </w:tcPr>
          <w:p>
            <w:pPr>
              <w:spacing w:after="0"/>
              <w:rPr>
                <w:sz w:val="1"/>
                <w:szCs w:val="1"/>
                <w:color w:val="auto"/>
              </w:rPr>
            </w:pPr>
          </w:p>
        </w:tc>
      </w:tr>
      <w:tr>
        <w:trPr>
          <w:trHeight w:val="161"/>
        </w:trPr>
        <w:tc>
          <w:tcPr>
            <w:tcW w:w="3040" w:type="dxa"/>
            <w:vAlign w:val="bottom"/>
            <w:gridSpan w:val="2"/>
          </w:tcPr>
          <w:p>
            <w:pPr>
              <w:ind w:left="40"/>
              <w:spacing w:after="0"/>
              <w:rPr>
                <w:sz w:val="20"/>
                <w:szCs w:val="20"/>
                <w:color w:val="auto"/>
              </w:rPr>
            </w:pPr>
            <w:r>
              <w:rPr>
                <w:rFonts w:ascii="Arial" w:cs="Arial" w:eastAsia="Arial" w:hAnsi="Arial"/>
                <w:sz w:val="13"/>
                <w:szCs w:val="13"/>
                <w:color w:val="auto"/>
              </w:rPr>
              <w:t>Investments in privately held entities that do not</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3040" w:type="dxa"/>
            <w:vAlign w:val="bottom"/>
            <w:gridSpan w:val="2"/>
          </w:tcPr>
          <w:p>
            <w:pPr>
              <w:ind w:left="160"/>
              <w:spacing w:after="0"/>
              <w:rPr>
                <w:sz w:val="20"/>
                <w:szCs w:val="20"/>
                <w:color w:val="auto"/>
              </w:rPr>
            </w:pPr>
            <w:r>
              <w:rPr>
                <w:rFonts w:ascii="Arial" w:cs="Arial" w:eastAsia="Arial" w:hAnsi="Arial"/>
                <w:sz w:val="13"/>
                <w:szCs w:val="13"/>
                <w:color w:val="auto"/>
              </w:rPr>
              <w:t>report NAV:</w:t>
            </w: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304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As of June 30, 2024</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194,165</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ind w:left="40"/>
              <w:spacing w:after="0"/>
              <w:rPr>
                <w:sz w:val="20"/>
                <w:szCs w:val="20"/>
                <w:color w:val="auto"/>
              </w:rPr>
            </w:pPr>
            <w:r>
              <w:rPr>
                <w:rFonts w:ascii="Arial" w:cs="Arial" w:eastAsia="Arial" w:hAnsi="Arial"/>
                <w:sz w:val="13"/>
                <w:szCs w:val="13"/>
                <w:color w:val="auto"/>
                <w:w w:val="82"/>
              </w:rPr>
              <w:t>$</w:t>
            </w:r>
          </w:p>
        </w:tc>
        <w:tc>
          <w:tcPr>
            <w:tcW w:w="1080" w:type="dxa"/>
            <w:vAlign w:val="bottom"/>
            <w:gridSpan w:val="2"/>
            <w:shd w:val="clear" w:color="auto" w:fill="CCEEFF"/>
          </w:tcPr>
          <w:p>
            <w:pPr>
              <w:ind w:left="8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173,111</w:t>
            </w:r>
          </w:p>
        </w:tc>
        <w:tc>
          <w:tcPr>
            <w:tcW w:w="180" w:type="dxa"/>
            <w:vAlign w:val="bottom"/>
            <w:shd w:val="clear" w:color="auto" w:fill="CCEEFF"/>
          </w:tcPr>
          <w:p>
            <w:pPr>
              <w:jc w:val="right"/>
              <w:spacing w:after="0"/>
              <w:rPr>
                <w:sz w:val="20"/>
                <w:szCs w:val="20"/>
                <w:color w:val="auto"/>
              </w:rPr>
            </w:pPr>
            <w:r>
              <w:rPr>
                <w:rFonts w:ascii="Arial" w:cs="Arial" w:eastAsia="Arial" w:hAnsi="Arial"/>
                <w:sz w:val="9"/>
                <w:szCs w:val="9"/>
                <w:color w:val="auto"/>
              </w:rPr>
              <w:t>(3)</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21,054</w:t>
            </w:r>
          </w:p>
        </w:tc>
        <w:tc>
          <w:tcPr>
            <w:tcW w:w="220" w:type="dxa"/>
            <w:vAlign w:val="bottom"/>
            <w:shd w:val="clear" w:color="auto" w:fill="CCEEFF"/>
          </w:tcPr>
          <w:p>
            <w:pPr>
              <w:jc w:val="right"/>
              <w:ind w:right="57"/>
              <w:spacing w:after="0"/>
              <w:rPr>
                <w:sz w:val="20"/>
                <w:szCs w:val="20"/>
                <w:color w:val="auto"/>
              </w:rPr>
            </w:pPr>
            <w:r>
              <w:rPr>
                <w:rFonts w:ascii="Arial" w:cs="Arial" w:eastAsia="Arial" w:hAnsi="Arial"/>
                <w:sz w:val="9"/>
                <w:szCs w:val="9"/>
                <w:color w:val="auto"/>
                <w:w w:val="90"/>
              </w:rPr>
              <w:t>(4)</w:t>
            </w:r>
          </w:p>
        </w:tc>
        <w:tc>
          <w:tcPr>
            <w:tcW w:w="0" w:type="dxa"/>
            <w:vAlign w:val="bottom"/>
          </w:tcPr>
          <w:p>
            <w:pPr>
              <w:spacing w:after="0"/>
              <w:rPr>
                <w:sz w:val="1"/>
                <w:szCs w:val="1"/>
                <w:color w:val="auto"/>
              </w:rPr>
            </w:pPr>
          </w:p>
        </w:tc>
      </w:tr>
      <w:tr>
        <w:trPr>
          <w:trHeight w:val="212"/>
        </w:trPr>
        <w:tc>
          <w:tcPr>
            <w:tcW w:w="3040" w:type="dxa"/>
            <w:vAlign w:val="bottom"/>
            <w:gridSpan w:val="2"/>
          </w:tcPr>
          <w:p>
            <w:pPr>
              <w:ind w:left="160"/>
              <w:spacing w:after="0"/>
              <w:rPr>
                <w:sz w:val="20"/>
                <w:szCs w:val="20"/>
                <w:color w:val="auto"/>
              </w:rPr>
            </w:pPr>
            <w:r>
              <w:rPr>
                <w:rFonts w:ascii="Arial" w:cs="Arial" w:eastAsia="Arial" w:hAnsi="Arial"/>
                <w:sz w:val="13"/>
                <w:szCs w:val="13"/>
                <w:color w:val="auto"/>
              </w:rPr>
              <w:t>As of December 31, 2023</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188,689</w:t>
            </w:r>
          </w:p>
        </w:tc>
        <w:tc>
          <w:tcPr>
            <w:tcW w:w="180" w:type="dxa"/>
            <w:vAlign w:val="bottom"/>
          </w:tcPr>
          <w:p>
            <w:pPr>
              <w:spacing w:after="0"/>
              <w:rPr>
                <w:sz w:val="18"/>
                <w:szCs w:val="18"/>
                <w:color w:val="auto"/>
              </w:rPr>
            </w:pPr>
          </w:p>
        </w:tc>
        <w:tc>
          <w:tcPr>
            <w:tcW w:w="120" w:type="dxa"/>
            <w:vAlign w:val="bottom"/>
          </w:tcPr>
          <w:p>
            <w:pPr>
              <w:ind w:left="40"/>
              <w:spacing w:after="0"/>
              <w:rPr>
                <w:sz w:val="20"/>
                <w:szCs w:val="20"/>
                <w:color w:val="auto"/>
              </w:rPr>
            </w:pPr>
            <w:r>
              <w:rPr>
                <w:rFonts w:ascii="Arial" w:cs="Arial" w:eastAsia="Arial" w:hAnsi="Arial"/>
                <w:sz w:val="13"/>
                <w:szCs w:val="13"/>
                <w:color w:val="auto"/>
                <w:w w:val="82"/>
              </w:rPr>
              <w:t>$</w:t>
            </w:r>
          </w:p>
        </w:tc>
        <w:tc>
          <w:tcPr>
            <w:tcW w:w="1080" w:type="dxa"/>
            <w:vAlign w:val="bottom"/>
            <w:gridSpan w:val="2"/>
          </w:tcPr>
          <w:p>
            <w:pPr>
              <w:ind w:left="860"/>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174,268</w:t>
            </w:r>
          </w:p>
        </w:tc>
        <w:tc>
          <w:tcPr>
            <w:tcW w:w="180" w:type="dxa"/>
            <w:vAlign w:val="bottom"/>
          </w:tcPr>
          <w:p>
            <w:pPr>
              <w:jc w:val="right"/>
              <w:spacing w:after="0"/>
              <w:rPr>
                <w:sz w:val="20"/>
                <w:szCs w:val="20"/>
                <w:color w:val="auto"/>
              </w:rPr>
            </w:pPr>
            <w:r>
              <w:rPr>
                <w:rFonts w:ascii="Arial" w:cs="Arial" w:eastAsia="Arial" w:hAnsi="Arial"/>
                <w:sz w:val="9"/>
                <w:szCs w:val="9"/>
                <w:color w:val="auto"/>
              </w:rPr>
              <w:t>(3)</w:t>
            </w:r>
          </w:p>
        </w:tc>
        <w:tc>
          <w:tcPr>
            <w:tcW w:w="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14,421</w:t>
            </w:r>
          </w:p>
        </w:tc>
        <w:tc>
          <w:tcPr>
            <w:tcW w:w="220" w:type="dxa"/>
            <w:vAlign w:val="bottom"/>
          </w:tcPr>
          <w:p>
            <w:pPr>
              <w:jc w:val="right"/>
              <w:ind w:right="57"/>
              <w:spacing w:after="0"/>
              <w:rPr>
                <w:sz w:val="20"/>
                <w:szCs w:val="20"/>
                <w:color w:val="auto"/>
              </w:rPr>
            </w:pPr>
            <w:r>
              <w:rPr>
                <w:rFonts w:ascii="Arial" w:cs="Arial" w:eastAsia="Arial" w:hAnsi="Arial"/>
                <w:sz w:val="9"/>
                <w:szCs w:val="9"/>
                <w:color w:val="auto"/>
                <w:w w:val="90"/>
              </w:rPr>
              <w:t>(4)</w:t>
            </w: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900" w:right="759" w:hanging="262"/>
        <w:spacing w:after="0" w:line="254" w:lineRule="auto"/>
        <w:tabs>
          <w:tab w:leader="none" w:pos="900" w:val="left"/>
        </w:tabs>
        <w:numPr>
          <w:ilvl w:val="0"/>
          <w:numId w:val="54"/>
        </w:numPr>
        <w:rPr>
          <w:rFonts w:ascii="Arial" w:cs="Arial" w:eastAsia="Arial" w:hAnsi="Arial"/>
          <w:sz w:val="10"/>
          <w:szCs w:val="10"/>
          <w:color w:val="auto"/>
        </w:rPr>
      </w:pPr>
      <w:r>
        <w:rPr>
          <w:rFonts w:ascii="Arial" w:cs="Arial" w:eastAsia="Arial" w:hAnsi="Arial"/>
          <w:sz w:val="10"/>
          <w:szCs w:val="10"/>
          <w:color w:val="auto"/>
        </w:rPr>
        <w:t>These amounts are included in the total balances of our net assets classified as held for sale aggregating $136.3 million and $191.4 million as of June 30, 2024 and December 31, 2023, respectively, disclosed in Note 15 – “Assets classified as held for sale,” and represent assets held for sale as of June 30, 2024 and December 31, 2023, respectively, for which impairments were recognized. Refer to Note 3 – “Investments in real estate” and Note 15 – “Assets classified as held for sale” to our unaudited consolidated financial statements for additional information.</w:t>
      </w:r>
    </w:p>
    <w:p>
      <w:pPr>
        <w:ind w:left="900" w:right="819" w:hanging="262"/>
        <w:spacing w:after="0" w:line="253" w:lineRule="auto"/>
        <w:tabs>
          <w:tab w:leader="none" w:pos="900" w:val="left"/>
        </w:tabs>
        <w:numPr>
          <w:ilvl w:val="0"/>
          <w:numId w:val="54"/>
        </w:numPr>
        <w:rPr>
          <w:rFonts w:ascii="Arial" w:cs="Arial" w:eastAsia="Arial" w:hAnsi="Arial"/>
          <w:sz w:val="10"/>
          <w:szCs w:val="10"/>
          <w:color w:val="auto"/>
        </w:rPr>
      </w:pPr>
      <w:r>
        <w:rPr>
          <w:rFonts w:ascii="Arial" w:cs="Arial" w:eastAsia="Arial" w:hAnsi="Arial"/>
          <w:sz w:val="10"/>
          <w:szCs w:val="10"/>
          <w:color w:val="auto"/>
        </w:rPr>
        <w:t>Represent aggregate carrying amounts of assets held for sale after adjustments to their respective fair values less costs to sell based on executed purchase and sale agreements, letters of intent, or valuations provided by third-party real estate brokers.</w:t>
      </w:r>
    </w:p>
    <w:p>
      <w:pPr>
        <w:ind w:left="900" w:right="1059" w:hanging="262"/>
        <w:spacing w:after="0" w:line="249" w:lineRule="auto"/>
        <w:tabs>
          <w:tab w:leader="none" w:pos="900" w:val="left"/>
        </w:tabs>
        <w:numPr>
          <w:ilvl w:val="0"/>
          <w:numId w:val="54"/>
        </w:numPr>
        <w:rPr>
          <w:rFonts w:ascii="Arial" w:cs="Arial" w:eastAsia="Arial" w:hAnsi="Arial"/>
          <w:sz w:val="10"/>
          <w:szCs w:val="10"/>
          <w:color w:val="auto"/>
        </w:rPr>
      </w:pPr>
      <w:r>
        <w:rPr>
          <w:rFonts w:ascii="Arial" w:cs="Arial" w:eastAsia="Arial" w:hAnsi="Arial"/>
          <w:sz w:val="10"/>
          <w:szCs w:val="10"/>
          <w:color w:val="auto"/>
        </w:rPr>
        <w:t>These amounts represent the total carrying amounts of our equity investments in privately held entities with observable price changes, which are included in the investments balances of $1.5 billion and $1.4 billion, respectively, in our unaudited consolidated balance sheets as of June 30, 2024 and December 31, 2023, respectively, disclosed in Note 7 – “Investments” to our unaudited consolidated financial statements.</w:t>
      </w:r>
    </w:p>
    <w:p>
      <w:pPr>
        <w:spacing w:after="0" w:line="1" w:lineRule="exact"/>
        <w:rPr>
          <w:rFonts w:ascii="Arial" w:cs="Arial" w:eastAsia="Arial" w:hAnsi="Arial"/>
          <w:sz w:val="10"/>
          <w:szCs w:val="10"/>
          <w:color w:val="auto"/>
        </w:rPr>
      </w:pPr>
    </w:p>
    <w:p>
      <w:pPr>
        <w:ind w:left="900" w:right="679" w:hanging="262"/>
        <w:spacing w:after="0" w:line="253" w:lineRule="auto"/>
        <w:tabs>
          <w:tab w:leader="none" w:pos="900" w:val="left"/>
        </w:tabs>
        <w:numPr>
          <w:ilvl w:val="0"/>
          <w:numId w:val="54"/>
        </w:numPr>
        <w:rPr>
          <w:rFonts w:ascii="Arial" w:cs="Arial" w:eastAsia="Arial" w:hAnsi="Arial"/>
          <w:sz w:val="10"/>
          <w:szCs w:val="10"/>
          <w:color w:val="auto"/>
        </w:rPr>
      </w:pPr>
      <w:r>
        <w:rPr>
          <w:rFonts w:ascii="Arial" w:cs="Arial" w:eastAsia="Arial" w:hAnsi="Arial"/>
          <w:sz w:val="10"/>
          <w:szCs w:val="10"/>
          <w:color w:val="auto"/>
        </w:rPr>
        <w:t>These amounts are included in the investments in privately held entities without observable price changes balances aggregating $389.1 million and $368.7 million as of June 30, 2024 and December 31, 2023, respectively, disclosed in Note 7 – “Investments” to our unaudited consolidated financial statements. The aforementioned balances represent the carrying amounts of investments in privately held entities that do not report NAV for which impairments have been recognized in accordance with the measurement alternative guidance described in “Investments” in Note 2 – “Summary of significant accounting policies” to our unaudited consolidated financial statements.</w:t>
      </w:r>
    </w:p>
    <w:p>
      <w:pPr>
        <w:spacing w:after="0" w:line="148" w:lineRule="exact"/>
        <w:rPr>
          <w:sz w:val="20"/>
          <w:szCs w:val="20"/>
          <w:color w:val="auto"/>
        </w:rPr>
      </w:pPr>
    </w:p>
    <w:p>
      <w:pPr>
        <w:ind w:left="1160"/>
        <w:spacing w:after="0"/>
        <w:rPr>
          <w:sz w:val="20"/>
          <w:szCs w:val="20"/>
          <w:color w:val="auto"/>
        </w:rPr>
      </w:pPr>
      <w:r>
        <w:rPr>
          <w:rFonts w:ascii="Arial" w:cs="Arial" w:eastAsia="Arial" w:hAnsi="Arial"/>
          <w:sz w:val="13"/>
          <w:szCs w:val="13"/>
          <w:i w:val="1"/>
          <w:iCs w:val="1"/>
          <w:u w:val="single" w:color="auto"/>
          <w:color w:val="auto"/>
        </w:rPr>
        <w:t>Real estate assets classified as held for sale measured at fair value less costs to sell</w:t>
      </w:r>
    </w:p>
    <w:p>
      <w:pPr>
        <w:spacing w:after="0" w:line="160" w:lineRule="exact"/>
        <w:rPr>
          <w:sz w:val="20"/>
          <w:szCs w:val="20"/>
          <w:color w:val="auto"/>
        </w:rPr>
      </w:pPr>
    </w:p>
    <w:p>
      <w:pPr>
        <w:ind w:left="640" w:right="679" w:firstLine="516"/>
        <w:spacing w:after="0" w:line="254" w:lineRule="auto"/>
        <w:rPr>
          <w:sz w:val="20"/>
          <w:szCs w:val="20"/>
          <w:color w:val="auto"/>
        </w:rPr>
      </w:pPr>
      <w:r>
        <w:rPr>
          <w:rFonts w:ascii="Arial" w:cs="Arial" w:eastAsia="Arial" w:hAnsi="Arial"/>
          <w:sz w:val="13"/>
          <w:szCs w:val="13"/>
          <w:color w:val="auto"/>
        </w:rPr>
        <w:t>Our real estate assets classified as held for sale and measured at fair value less costs to sell are presented in the table above. These properties are subsets of our total real estate assets classified as held for sale as of June 30, 2024 and December 31, 2023, respectively. The fair values for these real estate assets were estimated based on executed purchase and sale agreements, letters of intent, or valuations provided by third-party real estate brokers. Refer to “Investments in real estate” in Note 2 – “Summary of significant accounting policies” and Note 15 – “Assets classified as held for sale” to our unaudited consolidated financial statements for additional information.</w:t>
      </w:r>
    </w:p>
    <w:p>
      <w:pPr>
        <w:spacing w:after="0" w:line="137" w:lineRule="exact"/>
        <w:rPr>
          <w:sz w:val="20"/>
          <w:szCs w:val="20"/>
          <w:color w:val="auto"/>
        </w:rPr>
      </w:pPr>
    </w:p>
    <w:p>
      <w:pPr>
        <w:ind w:left="1160"/>
        <w:spacing w:after="0"/>
        <w:rPr>
          <w:sz w:val="20"/>
          <w:szCs w:val="20"/>
          <w:color w:val="auto"/>
        </w:rPr>
      </w:pPr>
      <w:r>
        <w:rPr>
          <w:rFonts w:ascii="Arial" w:cs="Arial" w:eastAsia="Arial" w:hAnsi="Arial"/>
          <w:sz w:val="13"/>
          <w:szCs w:val="13"/>
          <w:i w:val="1"/>
          <w:iCs w:val="1"/>
          <w:u w:val="single" w:color="auto"/>
          <w:color w:val="auto"/>
        </w:rPr>
        <w:t>Investments in privately held entities that do not report NAV</w:t>
      </w:r>
    </w:p>
    <w:p>
      <w:pPr>
        <w:spacing w:after="0" w:line="149" w:lineRule="exact"/>
        <w:rPr>
          <w:sz w:val="20"/>
          <w:szCs w:val="20"/>
          <w:color w:val="auto"/>
        </w:rPr>
      </w:pPr>
    </w:p>
    <w:p>
      <w:pPr>
        <w:ind w:left="640" w:right="719" w:firstLine="516"/>
        <w:spacing w:after="0" w:line="257" w:lineRule="auto"/>
        <w:rPr>
          <w:sz w:val="20"/>
          <w:szCs w:val="20"/>
          <w:color w:val="auto"/>
        </w:rPr>
      </w:pPr>
      <w:r>
        <w:rPr>
          <w:rFonts w:ascii="Arial" w:cs="Arial" w:eastAsia="Arial" w:hAnsi="Arial"/>
          <w:sz w:val="13"/>
          <w:szCs w:val="13"/>
          <w:color w:val="auto"/>
        </w:rPr>
        <w:t>Our investments in privately held entities that do not report NAV are measured at cost, adjusted for observable price changes and impairments, with changes recognized in net income. These investments are adjusted based on the observable price changes in orderly transactions for the identical or similar investment of the same issuer. Further adjustments are not made until another observable transaction occurs. Therefore, the determination of fair values of our investments in privately held entities that do not report NAV does not involve significant estimates and assumptions or subjective and complex judgments.</w:t>
      </w:r>
    </w:p>
    <w:p>
      <w:pPr>
        <w:spacing w:after="0" w:line="134" w:lineRule="exact"/>
        <w:rPr>
          <w:sz w:val="20"/>
          <w:szCs w:val="20"/>
          <w:color w:val="auto"/>
        </w:rPr>
      </w:pPr>
    </w:p>
    <w:p>
      <w:pPr>
        <w:jc w:val="both"/>
        <w:ind w:left="640" w:right="779" w:firstLine="516"/>
        <w:spacing w:after="0" w:line="265" w:lineRule="auto"/>
        <w:rPr>
          <w:sz w:val="20"/>
          <w:szCs w:val="20"/>
          <w:color w:val="auto"/>
        </w:rPr>
      </w:pPr>
      <w:r>
        <w:rPr>
          <w:rFonts w:ascii="Arial" w:cs="Arial" w:eastAsia="Arial" w:hAnsi="Arial"/>
          <w:sz w:val="13"/>
          <w:szCs w:val="13"/>
          <w:color w:val="auto"/>
        </w:rPr>
        <w:t>We also subject our investments in privately held entities that do not report NAV to a qualitative assessment for indicators of impairment. If indicators of impairment are present, we are required to estimate the investment’s fair value and immediately recognize an impairment charge in an amount equal to the investment’s carrying value in excess of its estimated fair value.</w:t>
      </w:r>
    </w:p>
    <w:p>
      <w:pPr>
        <w:sectPr>
          <w:pgSz w:w="11900" w:h="16838" w:orient="portrait"/>
          <w:cols w:equalWidth="0" w:num="1">
            <w:col w:w="9019"/>
          </w:cols>
          <w:pgMar w:left="1440" w:top="24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195580</wp:posOffset>
            </wp:positionV>
            <wp:extent cx="5584190" cy="577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584190" cy="57785"/>
                    </a:xfrm>
                    <a:prstGeom prst="rect">
                      <a:avLst/>
                    </a:prstGeom>
                    <a:noFill/>
                  </pic:spPr>
                </pic:pic>
              </a:graphicData>
            </a:graphic>
          </wp:anchor>
        </w:drawing>
      </w:r>
    </w:p>
    <w:p>
      <w:pPr>
        <w:sectPr>
          <w:pgSz w:w="11900" w:h="16838" w:orient="portrait"/>
          <w:cols w:equalWidth="0" w:num="1">
            <w:col w:w="9019"/>
          </w:cols>
          <w:pgMar w:left="1440" w:top="247" w:right="1440" w:bottom="0" w:gutter="0" w:footer="0" w:header="0"/>
          <w:type w:val="continuous"/>
        </w:sectPr>
      </w:pPr>
    </w:p>
    <w:bookmarkStart w:id="25" w:name="page26"/>
    <w:bookmarkEnd w:id="25"/>
    <w:p>
      <w:pPr>
        <w:ind w:left="1760" w:hanging="262"/>
        <w:spacing w:after="0"/>
        <w:tabs>
          <w:tab w:leader="none" w:pos="1760" w:val="left"/>
        </w:tabs>
        <w:numPr>
          <w:ilvl w:val="0"/>
          <w:numId w:val="55"/>
        </w:numPr>
        <w:rPr>
          <w:rFonts w:ascii="Arial" w:cs="Arial" w:eastAsia="Arial" w:hAnsi="Arial"/>
          <w:sz w:val="13"/>
          <w:szCs w:val="13"/>
          <w:b w:val="1"/>
          <w:bCs w:val="1"/>
          <w:color w:val="00497F"/>
        </w:rPr>
      </w:pPr>
      <w:r>
        <w:rPr>
          <w:rFonts w:ascii="Arial" w:cs="Arial" w:eastAsia="Arial" w:hAnsi="Arial"/>
          <w:sz w:val="13"/>
          <w:szCs w:val="13"/>
          <w:b w:val="1"/>
          <w:bCs w:val="1"/>
          <w:color w:val="00497F"/>
        </w:rPr>
        <w:drawing>
          <wp:anchor simplePos="0" relativeHeight="251657728" behindDoc="1" locked="0" layoutInCell="0" allowOverlap="1">
            <wp:simplePos x="0" y="0"/>
            <wp:positionH relativeFrom="page">
              <wp:posOffset>982345</wp:posOffset>
            </wp:positionH>
            <wp:positionV relativeFrom="page">
              <wp:posOffset>88900</wp:posOffset>
            </wp:positionV>
            <wp:extent cx="5584190" cy="71564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584190" cy="7156450"/>
                    </a:xfrm>
                    <a:prstGeom prst="rect">
                      <a:avLst/>
                    </a:prstGeom>
                    <a:noFill/>
                  </pic:spPr>
                </pic:pic>
              </a:graphicData>
            </a:graphic>
          </wp:anchor>
        </w:drawing>
        <w:t>FAIR VALUE MEASUREMENTS (continued)</w:t>
      </w:r>
    </w:p>
    <w:p>
      <w:pPr>
        <w:spacing w:after="0" w:line="119" w:lineRule="exact"/>
        <w:rPr>
          <w:sz w:val="20"/>
          <w:szCs w:val="20"/>
          <w:color w:val="auto"/>
        </w:rPr>
      </w:pPr>
    </w:p>
    <w:p>
      <w:pPr>
        <w:ind w:left="1500" w:right="1560" w:firstLine="516"/>
        <w:spacing w:after="0" w:line="257" w:lineRule="auto"/>
        <w:rPr>
          <w:sz w:val="20"/>
          <w:szCs w:val="20"/>
          <w:color w:val="auto"/>
        </w:rPr>
      </w:pPr>
      <w:r>
        <w:rPr>
          <w:rFonts w:ascii="Arial" w:cs="Arial" w:eastAsia="Arial" w:hAnsi="Arial"/>
          <w:sz w:val="13"/>
          <w:szCs w:val="13"/>
          <w:color w:val="auto"/>
        </w:rPr>
        <w:t>The estimates of fair value typically incorporate valuation techniques that include an income approach reflecting a discounted cash flow analysis, and a market approach that includes a comparative analysis of acquisition multiples and pricing multiples generated by market participants. In certain instances, we may use multiple valuation techniques for a particular investment and estimate its fair value based on an average of multiple valuation results.</w:t>
      </w:r>
    </w:p>
    <w:p>
      <w:pPr>
        <w:spacing w:after="0" w:line="133" w:lineRule="exact"/>
        <w:rPr>
          <w:sz w:val="20"/>
          <w:szCs w:val="20"/>
          <w:color w:val="auto"/>
        </w:rPr>
      </w:pPr>
    </w:p>
    <w:p>
      <w:pPr>
        <w:ind w:left="2020"/>
        <w:spacing w:after="0"/>
        <w:rPr>
          <w:sz w:val="20"/>
          <w:szCs w:val="20"/>
          <w:color w:val="auto"/>
        </w:rPr>
      </w:pPr>
      <w:r>
        <w:rPr>
          <w:rFonts w:ascii="Arial" w:cs="Arial" w:eastAsia="Arial" w:hAnsi="Arial"/>
          <w:sz w:val="13"/>
          <w:szCs w:val="13"/>
          <w:color w:val="auto"/>
        </w:rPr>
        <w:t>Refer to Note 7 – “Investments” to our unaudited consolidated financial statements for additional information.</w:t>
      </w:r>
    </w:p>
    <w:p>
      <w:pPr>
        <w:spacing w:after="0" w:line="162" w:lineRule="exact"/>
        <w:rPr>
          <w:sz w:val="20"/>
          <w:szCs w:val="20"/>
          <w:color w:val="auto"/>
        </w:rPr>
      </w:pPr>
    </w:p>
    <w:p>
      <w:pPr>
        <w:jc w:val="center"/>
        <w:ind w:right="40"/>
        <w:spacing w:after="0"/>
        <w:rPr>
          <w:sz w:val="20"/>
          <w:szCs w:val="20"/>
          <w:color w:val="auto"/>
        </w:rPr>
      </w:pPr>
      <w:r>
        <w:rPr>
          <w:rFonts w:ascii="Arial" w:cs="Arial" w:eastAsia="Arial" w:hAnsi="Arial"/>
          <w:sz w:val="13"/>
          <w:szCs w:val="13"/>
          <w:b w:val="1"/>
          <w:bCs w:val="1"/>
          <w:color w:val="00497F"/>
        </w:rPr>
        <w:t>Assets and liabilities not measured at fair value in the statement of financial position but for which the fair value is disclosed</w:t>
      </w:r>
    </w:p>
    <w:p>
      <w:pPr>
        <w:spacing w:after="0" w:line="162" w:lineRule="exact"/>
        <w:rPr>
          <w:sz w:val="20"/>
          <w:szCs w:val="20"/>
          <w:color w:val="auto"/>
        </w:rPr>
      </w:pPr>
    </w:p>
    <w:p>
      <w:pPr>
        <w:ind w:left="1500" w:right="1540" w:firstLine="516"/>
        <w:spacing w:after="0" w:line="252" w:lineRule="auto"/>
        <w:rPr>
          <w:sz w:val="20"/>
          <w:szCs w:val="20"/>
          <w:color w:val="auto"/>
        </w:rPr>
      </w:pPr>
      <w:r>
        <w:rPr>
          <w:rFonts w:ascii="Arial" w:cs="Arial" w:eastAsia="Arial" w:hAnsi="Arial"/>
          <w:sz w:val="13"/>
          <w:szCs w:val="13"/>
          <w:color w:val="auto"/>
        </w:rPr>
        <w:t>The fair values of our secured notes payable and unsecured senior notes payable, and the amounts outstanding on our unsecured senior line of credit and commercial paper program, were estimated using widely accepted valuation techniques, including discounted cash flow analyses using significant other observable inputs such as available market information on discount and borrowing rates with similar terms, maturities, and credit ratings. Because the valuations of our financial instruments are based on these types of estimates, the actual fair value of our financial instruments may differ materially if our estimates do not prove to be accurate. Additionally, the use of different market assumptions or estimation methods may have a material effect on the estimated fair value amounts.</w:t>
      </w:r>
    </w:p>
    <w:p>
      <w:pPr>
        <w:spacing w:after="0" w:line="136" w:lineRule="exact"/>
        <w:rPr>
          <w:sz w:val="20"/>
          <w:szCs w:val="20"/>
          <w:color w:val="auto"/>
        </w:rPr>
      </w:pPr>
    </w:p>
    <w:p>
      <w:pPr>
        <w:jc w:val="both"/>
        <w:ind w:left="1500" w:right="1560" w:firstLine="516"/>
        <w:spacing w:after="0" w:line="265" w:lineRule="auto"/>
        <w:rPr>
          <w:sz w:val="20"/>
          <w:szCs w:val="20"/>
          <w:color w:val="auto"/>
        </w:rPr>
      </w:pPr>
      <w:r>
        <w:rPr>
          <w:rFonts w:ascii="Arial" w:cs="Arial" w:eastAsia="Arial" w:hAnsi="Arial"/>
          <w:sz w:val="13"/>
          <w:szCs w:val="13"/>
          <w:color w:val="auto"/>
        </w:rPr>
        <w:t>As of June 30, 2024 and December 31, 2023, the book and estimated fair values of our secured notes payable and unsecured senior notes payable and the amounts outstanding under our unsecured senior line of credit and commercial paper program, including the level within the fair value hierarchy for which the estimates were derived, were as follows (in thousands):</w:t>
      </w:r>
    </w:p>
    <w:p>
      <w:pPr>
        <w:spacing w:after="0" w:line="117" w:lineRule="exact"/>
        <w:rPr>
          <w:sz w:val="20"/>
          <w:szCs w:val="20"/>
          <w:color w:val="auto"/>
        </w:rPr>
      </w:pPr>
    </w:p>
    <w:tbl>
      <w:tblPr>
        <w:tblLayout w:type="fixed"/>
        <w:tblInd w:w="1500" w:type="dxa"/>
        <w:tblCellMar>
          <w:top w:w="0" w:type="dxa"/>
          <w:left w:w="0" w:type="dxa"/>
          <w:bottom w:w="0" w:type="dxa"/>
          <w:right w:w="0" w:type="dxa"/>
        </w:tblCellMar>
      </w:tblPr>
      <w:tr>
        <w:trPr>
          <w:trHeight w:val="161"/>
        </w:trPr>
        <w:tc>
          <w:tcPr>
            <w:tcW w:w="2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3"/>
                <w:szCs w:val="13"/>
                <w:color w:val="auto"/>
                <w:w w:val="99"/>
              </w:rPr>
              <w:t>June 30, 2024</w:t>
            </w:r>
          </w:p>
        </w:tc>
        <w:tc>
          <w:tcPr>
            <w:tcW w:w="1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5"/>
          </w:tcPr>
          <w:p>
            <w:pPr>
              <w:ind w:left="980"/>
              <w:spacing w:after="0"/>
              <w:rPr>
                <w:sz w:val="20"/>
                <w:szCs w:val="20"/>
                <w:color w:val="auto"/>
              </w:rPr>
            </w:pPr>
            <w:r>
              <w:rPr>
                <w:rFonts w:ascii="Arial" w:cs="Arial" w:eastAsia="Arial" w:hAnsi="Arial"/>
                <w:sz w:val="13"/>
                <w:szCs w:val="13"/>
                <w:color w:val="auto"/>
              </w:rPr>
              <w:t>Fair Value Hierarchy</w:t>
            </w: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2"/>
          </w:tcPr>
          <w:p>
            <w:pPr>
              <w:jc w:val="center"/>
              <w:spacing w:after="0"/>
              <w:rPr>
                <w:sz w:val="20"/>
                <w:szCs w:val="20"/>
                <w:color w:val="auto"/>
              </w:rPr>
            </w:pPr>
            <w:r>
              <w:rPr>
                <w:rFonts w:ascii="Arial" w:cs="Arial" w:eastAsia="Arial" w:hAnsi="Arial"/>
                <w:sz w:val="13"/>
                <w:szCs w:val="13"/>
                <w:color w:val="auto"/>
                <w:w w:val="99"/>
              </w:rPr>
              <w:t>Quoted Prices in</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3"/>
                <w:szCs w:val="13"/>
                <w:color w:val="auto"/>
                <w:w w:val="96"/>
              </w:rPr>
              <w:t>Significant</w:t>
            </w:r>
          </w:p>
        </w:tc>
        <w:tc>
          <w:tcPr>
            <w:tcW w:w="140" w:type="dxa"/>
            <w:vAlign w:val="bottom"/>
          </w:tcPr>
          <w:p>
            <w:pPr>
              <w:spacing w:after="0"/>
              <w:rPr>
                <w:sz w:val="13"/>
                <w:szCs w:val="13"/>
                <w:color w:val="auto"/>
              </w:rPr>
            </w:pPr>
          </w:p>
        </w:tc>
        <w:tc>
          <w:tcPr>
            <w:tcW w:w="820" w:type="dxa"/>
            <w:vAlign w:val="bottom"/>
          </w:tcPr>
          <w:p>
            <w:pPr>
              <w:jc w:val="center"/>
              <w:ind w:right="76"/>
              <w:spacing w:after="0"/>
              <w:rPr>
                <w:sz w:val="20"/>
                <w:szCs w:val="20"/>
                <w:color w:val="auto"/>
              </w:rPr>
            </w:pPr>
            <w:r>
              <w:rPr>
                <w:rFonts w:ascii="Arial" w:cs="Arial" w:eastAsia="Arial" w:hAnsi="Arial"/>
                <w:sz w:val="13"/>
                <w:szCs w:val="13"/>
                <w:color w:val="auto"/>
                <w:w w:val="99"/>
              </w:rPr>
              <w:t>Significant</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jc w:val="center"/>
              <w:ind w:right="36"/>
              <w:spacing w:after="0" w:line="129" w:lineRule="exact"/>
              <w:rPr>
                <w:sz w:val="20"/>
                <w:szCs w:val="20"/>
                <w:color w:val="auto"/>
              </w:rPr>
            </w:pPr>
            <w:r>
              <w:rPr>
                <w:rFonts w:ascii="Arial" w:cs="Arial" w:eastAsia="Arial" w:hAnsi="Arial"/>
                <w:sz w:val="13"/>
                <w:szCs w:val="13"/>
                <w:color w:val="auto"/>
                <w:w w:val="98"/>
              </w:rPr>
              <w:t>Active Markets</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tcPr>
          <w:p>
            <w:pPr>
              <w:jc w:val="center"/>
              <w:ind w:right="200"/>
              <w:spacing w:after="0" w:line="129" w:lineRule="exact"/>
              <w:rPr>
                <w:sz w:val="20"/>
                <w:szCs w:val="20"/>
                <w:color w:val="auto"/>
              </w:rPr>
            </w:pPr>
            <w:r>
              <w:rPr>
                <w:rFonts w:ascii="Arial" w:cs="Arial" w:eastAsia="Arial" w:hAnsi="Arial"/>
                <w:sz w:val="13"/>
                <w:szCs w:val="13"/>
                <w:color w:val="auto"/>
                <w:w w:val="98"/>
              </w:rPr>
              <w:t>Other</w:t>
            </w:r>
          </w:p>
        </w:tc>
        <w:tc>
          <w:tcPr>
            <w:tcW w:w="960" w:type="dxa"/>
            <w:vAlign w:val="bottom"/>
            <w:gridSpan w:val="2"/>
          </w:tcPr>
          <w:p>
            <w:pPr>
              <w:jc w:val="center"/>
              <w:spacing w:after="0" w:line="129" w:lineRule="exact"/>
              <w:rPr>
                <w:sz w:val="20"/>
                <w:szCs w:val="20"/>
                <w:color w:val="auto"/>
              </w:rPr>
            </w:pPr>
            <w:r>
              <w:rPr>
                <w:rFonts w:ascii="Arial" w:cs="Arial" w:eastAsia="Arial" w:hAnsi="Arial"/>
                <w:sz w:val="13"/>
                <w:szCs w:val="13"/>
                <w:color w:val="auto"/>
                <w:w w:val="99"/>
              </w:rPr>
              <w:t>Unobservable</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vMerge w:val="restart"/>
          </w:tcPr>
          <w:p>
            <w:pPr>
              <w:jc w:val="right"/>
              <w:ind w:right="156"/>
              <w:spacing w:after="0"/>
              <w:rPr>
                <w:sz w:val="20"/>
                <w:szCs w:val="20"/>
                <w:color w:val="auto"/>
              </w:rPr>
            </w:pPr>
            <w:r>
              <w:rPr>
                <w:rFonts w:ascii="Arial" w:cs="Arial" w:eastAsia="Arial" w:hAnsi="Arial"/>
                <w:sz w:val="13"/>
                <w:szCs w:val="13"/>
                <w:color w:val="auto"/>
              </w:rPr>
              <w:t>Estimated</w:t>
            </w:r>
          </w:p>
        </w:tc>
        <w:tc>
          <w:tcPr>
            <w:tcW w:w="0" w:type="dxa"/>
            <w:vAlign w:val="bottom"/>
          </w:tcPr>
          <w:p>
            <w:pPr>
              <w:spacing w:after="0"/>
              <w:rPr>
                <w:sz w:val="1"/>
                <w:szCs w:val="1"/>
                <w:color w:val="auto"/>
              </w:rPr>
            </w:pPr>
          </w:p>
        </w:tc>
      </w:tr>
      <w:tr>
        <w:trPr>
          <w:trHeight w:val="129"/>
        </w:trPr>
        <w:tc>
          <w:tcPr>
            <w:tcW w:w="2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3"/>
                <w:szCs w:val="13"/>
                <w:color w:val="auto"/>
              </w:rPr>
              <w:t>Book Value</w:t>
            </w:r>
          </w:p>
        </w:tc>
        <w:tc>
          <w:tcPr>
            <w:tcW w:w="1160" w:type="dxa"/>
            <w:vAlign w:val="bottom"/>
            <w:gridSpan w:val="2"/>
          </w:tcPr>
          <w:p>
            <w:pPr>
              <w:ind w:left="60"/>
              <w:spacing w:after="0" w:line="129" w:lineRule="exact"/>
              <w:rPr>
                <w:sz w:val="20"/>
                <w:szCs w:val="20"/>
                <w:color w:val="auto"/>
              </w:rPr>
            </w:pPr>
            <w:r>
              <w:rPr>
                <w:rFonts w:ascii="Arial" w:cs="Arial" w:eastAsia="Arial" w:hAnsi="Arial"/>
                <w:sz w:val="13"/>
                <w:szCs w:val="13"/>
                <w:color w:val="auto"/>
                <w:w w:val="98"/>
              </w:rPr>
              <w:t>for Identical Assets</w:t>
            </w:r>
          </w:p>
        </w:tc>
        <w:tc>
          <w:tcPr>
            <w:tcW w:w="60" w:type="dxa"/>
            <w:vAlign w:val="bottom"/>
          </w:tcPr>
          <w:p>
            <w:pPr>
              <w:spacing w:after="0"/>
              <w:rPr>
                <w:sz w:val="11"/>
                <w:szCs w:val="11"/>
                <w:color w:val="auto"/>
              </w:rPr>
            </w:pPr>
          </w:p>
        </w:tc>
        <w:tc>
          <w:tcPr>
            <w:tcW w:w="1220" w:type="dxa"/>
            <w:vAlign w:val="bottom"/>
            <w:gridSpan w:val="3"/>
          </w:tcPr>
          <w:p>
            <w:pPr>
              <w:jc w:val="center"/>
              <w:ind w:right="40"/>
              <w:spacing w:after="0" w:line="129" w:lineRule="exact"/>
              <w:rPr>
                <w:sz w:val="20"/>
                <w:szCs w:val="20"/>
                <w:color w:val="auto"/>
              </w:rPr>
            </w:pPr>
            <w:r>
              <w:rPr>
                <w:rFonts w:ascii="Arial" w:cs="Arial" w:eastAsia="Arial" w:hAnsi="Arial"/>
                <w:sz w:val="13"/>
                <w:szCs w:val="13"/>
                <w:color w:val="auto"/>
              </w:rPr>
              <w:t>Observable Inputs</w:t>
            </w:r>
          </w:p>
        </w:tc>
        <w:tc>
          <w:tcPr>
            <w:tcW w:w="140" w:type="dxa"/>
            <w:vAlign w:val="bottom"/>
          </w:tcPr>
          <w:p>
            <w:pPr>
              <w:spacing w:after="0"/>
              <w:rPr>
                <w:sz w:val="11"/>
                <w:szCs w:val="11"/>
                <w:color w:val="auto"/>
              </w:rPr>
            </w:pPr>
          </w:p>
        </w:tc>
        <w:tc>
          <w:tcPr>
            <w:tcW w:w="820" w:type="dxa"/>
            <w:vAlign w:val="bottom"/>
          </w:tcPr>
          <w:p>
            <w:pPr>
              <w:jc w:val="center"/>
              <w:ind w:right="76"/>
              <w:spacing w:after="0" w:line="129" w:lineRule="exact"/>
              <w:rPr>
                <w:sz w:val="20"/>
                <w:szCs w:val="20"/>
                <w:color w:val="auto"/>
              </w:rPr>
            </w:pPr>
            <w:r>
              <w:rPr>
                <w:rFonts w:ascii="Arial" w:cs="Arial" w:eastAsia="Arial" w:hAnsi="Arial"/>
                <w:sz w:val="13"/>
                <w:szCs w:val="13"/>
                <w:color w:val="auto"/>
              </w:rPr>
              <w:t>Inputs</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jc w:val="center"/>
              <w:ind w:right="56"/>
              <w:spacing w:after="0"/>
              <w:rPr>
                <w:sz w:val="20"/>
                <w:szCs w:val="20"/>
                <w:color w:val="auto"/>
              </w:rPr>
            </w:pPr>
            <w:r>
              <w:rPr>
                <w:rFonts w:ascii="Arial" w:cs="Arial" w:eastAsia="Arial" w:hAnsi="Arial"/>
                <w:sz w:val="13"/>
                <w:szCs w:val="13"/>
                <w:color w:val="auto"/>
                <w:w w:val="98"/>
              </w:rPr>
              <w:t>(Level 1)</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3"/>
                <w:szCs w:val="13"/>
                <w:color w:val="auto"/>
                <w:w w:val="98"/>
              </w:rPr>
              <w:t>(Level 2)</w:t>
            </w:r>
          </w:p>
        </w:tc>
        <w:tc>
          <w:tcPr>
            <w:tcW w:w="140" w:type="dxa"/>
            <w:vAlign w:val="bottom"/>
          </w:tcPr>
          <w:p>
            <w:pPr>
              <w:spacing w:after="0"/>
              <w:rPr>
                <w:sz w:val="13"/>
                <w:szCs w:val="13"/>
                <w:color w:val="auto"/>
              </w:rPr>
            </w:pPr>
          </w:p>
        </w:tc>
        <w:tc>
          <w:tcPr>
            <w:tcW w:w="820" w:type="dxa"/>
            <w:vAlign w:val="bottom"/>
          </w:tcPr>
          <w:p>
            <w:pPr>
              <w:jc w:val="center"/>
              <w:ind w:right="96"/>
              <w:spacing w:after="0"/>
              <w:rPr>
                <w:sz w:val="20"/>
                <w:szCs w:val="20"/>
                <w:color w:val="auto"/>
              </w:rPr>
            </w:pPr>
            <w:r>
              <w:rPr>
                <w:rFonts w:ascii="Arial" w:cs="Arial" w:eastAsia="Arial" w:hAnsi="Arial"/>
                <w:sz w:val="13"/>
                <w:szCs w:val="13"/>
                <w:color w:val="auto"/>
                <w:w w:val="98"/>
              </w:rPr>
              <w:t>(Level 3)</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jc w:val="right"/>
              <w:ind w:right="156"/>
              <w:spacing w:after="0"/>
              <w:rPr>
                <w:sz w:val="20"/>
                <w:szCs w:val="20"/>
                <w:color w:val="auto"/>
              </w:rPr>
            </w:pPr>
            <w:r>
              <w:rPr>
                <w:rFonts w:ascii="Arial" w:cs="Arial" w:eastAsia="Arial" w:hAnsi="Arial"/>
                <w:sz w:val="13"/>
                <w:szCs w:val="13"/>
                <w:color w:val="auto"/>
              </w:rPr>
              <w:t>Fair Value</w:t>
            </w:r>
          </w:p>
        </w:tc>
        <w:tc>
          <w:tcPr>
            <w:tcW w:w="0" w:type="dxa"/>
            <w:vAlign w:val="bottom"/>
          </w:tcPr>
          <w:p>
            <w:pPr>
              <w:spacing w:after="0"/>
              <w:rPr>
                <w:sz w:val="1"/>
                <w:szCs w:val="1"/>
                <w:color w:val="auto"/>
              </w:rPr>
            </w:pPr>
          </w:p>
        </w:tc>
      </w:tr>
      <w:tr>
        <w:trPr>
          <w:trHeight w:val="184"/>
        </w:trPr>
        <w:tc>
          <w:tcPr>
            <w:tcW w:w="22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Liabilities:</w:t>
            </w:r>
          </w:p>
        </w:tc>
        <w:tc>
          <w:tcPr>
            <w:tcW w:w="12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220" w:type="dxa"/>
            <w:vAlign w:val="bottom"/>
          </w:tcPr>
          <w:p>
            <w:pPr>
              <w:ind w:left="140"/>
              <w:spacing w:after="0"/>
              <w:rPr>
                <w:sz w:val="20"/>
                <w:szCs w:val="20"/>
                <w:color w:val="auto"/>
              </w:rPr>
            </w:pPr>
            <w:r>
              <w:rPr>
                <w:rFonts w:ascii="Arial" w:cs="Arial" w:eastAsia="Arial" w:hAnsi="Arial"/>
                <w:sz w:val="13"/>
                <w:szCs w:val="13"/>
                <w:color w:val="auto"/>
              </w:rPr>
              <w:t>Secured notes payable</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134,942</w:t>
            </w:r>
          </w:p>
        </w:tc>
        <w:tc>
          <w:tcPr>
            <w:tcW w:w="80" w:type="dxa"/>
            <w:vAlign w:val="bottom"/>
          </w:tcPr>
          <w:p>
            <w:pPr>
              <w:spacing w:after="0"/>
              <w:rPr>
                <w:sz w:val="17"/>
                <w:szCs w:val="17"/>
                <w:color w:val="auto"/>
              </w:rPr>
            </w:pPr>
          </w:p>
        </w:tc>
        <w:tc>
          <w:tcPr>
            <w:tcW w:w="140" w:type="dxa"/>
            <w:vAlign w:val="bottom"/>
          </w:tcPr>
          <w:p>
            <w:pPr>
              <w:ind w:left="60"/>
              <w:spacing w:after="0"/>
              <w:rPr>
                <w:sz w:val="20"/>
                <w:szCs w:val="20"/>
                <w:color w:val="auto"/>
              </w:rPr>
            </w:pPr>
            <w:r>
              <w:rPr>
                <w:rFonts w:ascii="Arial" w:cs="Arial" w:eastAsia="Arial" w:hAnsi="Arial"/>
                <w:sz w:val="13"/>
                <w:szCs w:val="13"/>
                <w:color w:val="auto"/>
                <w:w w:val="82"/>
              </w:rPr>
              <w:t>$</w:t>
            </w:r>
          </w:p>
        </w:tc>
        <w:tc>
          <w:tcPr>
            <w:tcW w:w="1020" w:type="dxa"/>
            <w:vAlign w:val="bottom"/>
          </w:tcPr>
          <w:p>
            <w:pPr>
              <w:ind w:left="860"/>
              <w:spacing w:after="0"/>
              <w:rPr>
                <w:sz w:val="20"/>
                <w:szCs w:val="20"/>
                <w:color w:val="auto"/>
              </w:rPr>
            </w:pPr>
            <w:r>
              <w:rPr>
                <w:rFonts w:ascii="Arial" w:cs="Arial" w:eastAsia="Arial" w:hAnsi="Arial"/>
                <w:sz w:val="13"/>
                <w:szCs w:val="13"/>
                <w:color w:val="auto"/>
              </w:rPr>
              <w:t>—</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134,422</w:t>
            </w:r>
          </w:p>
        </w:tc>
        <w:tc>
          <w:tcPr>
            <w:tcW w:w="6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ind w:left="640"/>
              <w:spacing w:after="0"/>
              <w:rPr>
                <w:sz w:val="20"/>
                <w:szCs w:val="20"/>
                <w:color w:val="auto"/>
              </w:rPr>
            </w:pPr>
            <w:r>
              <w:rPr>
                <w:rFonts w:ascii="Arial" w:cs="Arial" w:eastAsia="Arial" w:hAnsi="Arial"/>
                <w:sz w:val="13"/>
                <w:szCs w:val="13"/>
                <w:color w:val="auto"/>
              </w:rPr>
              <w:t>—</w:t>
            </w:r>
          </w:p>
        </w:tc>
        <w:tc>
          <w:tcPr>
            <w:tcW w:w="2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134,422</w:t>
            </w:r>
          </w:p>
        </w:tc>
        <w:tc>
          <w:tcPr>
            <w:tcW w:w="0" w:type="dxa"/>
            <w:vAlign w:val="bottom"/>
          </w:tcPr>
          <w:p>
            <w:pPr>
              <w:spacing w:after="0"/>
              <w:rPr>
                <w:sz w:val="1"/>
                <w:szCs w:val="1"/>
                <w:color w:val="auto"/>
              </w:rPr>
            </w:pPr>
          </w:p>
        </w:tc>
      </w:tr>
      <w:tr>
        <w:trPr>
          <w:trHeight w:val="204"/>
        </w:trPr>
        <w:tc>
          <w:tcPr>
            <w:tcW w:w="22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Unsecured senior notes payable</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12,089,561</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ind w:left="60"/>
              <w:spacing w:after="0"/>
              <w:rPr>
                <w:sz w:val="20"/>
                <w:szCs w:val="20"/>
                <w:color w:val="auto"/>
              </w:rPr>
            </w:pPr>
            <w:r>
              <w:rPr>
                <w:rFonts w:ascii="Arial" w:cs="Arial" w:eastAsia="Arial" w:hAnsi="Arial"/>
                <w:sz w:val="13"/>
                <w:szCs w:val="13"/>
                <w:color w:val="auto"/>
                <w:w w:val="82"/>
              </w:rPr>
              <w:t>$</w:t>
            </w:r>
          </w:p>
        </w:tc>
        <w:tc>
          <w:tcPr>
            <w:tcW w:w="1020" w:type="dxa"/>
            <w:vAlign w:val="bottom"/>
            <w:shd w:val="clear" w:color="auto" w:fill="CCEEFF"/>
          </w:tcPr>
          <w:p>
            <w:pPr>
              <w:ind w:left="860"/>
              <w:spacing w:after="0"/>
              <w:rPr>
                <w:sz w:val="20"/>
                <w:szCs w:val="20"/>
                <w:color w:val="auto"/>
              </w:rPr>
            </w:pPr>
            <w:r>
              <w:rPr>
                <w:rFonts w:ascii="Arial" w:cs="Arial" w:eastAsia="Arial" w:hAnsi="Arial"/>
                <w:sz w:val="13"/>
                <w:szCs w:val="13"/>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10,344,795</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ind w:left="640"/>
              <w:spacing w:after="0"/>
              <w:rPr>
                <w:sz w:val="20"/>
                <w:szCs w:val="20"/>
                <w:color w:val="auto"/>
              </w:rPr>
            </w:pPr>
            <w:r>
              <w:rPr>
                <w:rFonts w:ascii="Arial" w:cs="Arial" w:eastAsia="Arial" w:hAnsi="Arial"/>
                <w:sz w:val="13"/>
                <w:szCs w:val="13"/>
                <w:color w:val="auto"/>
              </w:rPr>
              <w:t>—</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10,344,795</w:t>
            </w:r>
          </w:p>
        </w:tc>
        <w:tc>
          <w:tcPr>
            <w:tcW w:w="0" w:type="dxa"/>
            <w:vAlign w:val="bottom"/>
          </w:tcPr>
          <w:p>
            <w:pPr>
              <w:spacing w:after="0"/>
              <w:rPr>
                <w:sz w:val="1"/>
                <w:szCs w:val="1"/>
                <w:color w:val="auto"/>
              </w:rPr>
            </w:pPr>
          </w:p>
        </w:tc>
      </w:tr>
      <w:tr>
        <w:trPr>
          <w:trHeight w:val="204"/>
        </w:trPr>
        <w:tc>
          <w:tcPr>
            <w:tcW w:w="2220" w:type="dxa"/>
            <w:vAlign w:val="bottom"/>
          </w:tcPr>
          <w:p>
            <w:pPr>
              <w:ind w:left="140"/>
              <w:spacing w:after="0"/>
              <w:rPr>
                <w:sz w:val="20"/>
                <w:szCs w:val="20"/>
                <w:color w:val="auto"/>
              </w:rPr>
            </w:pPr>
            <w:r>
              <w:rPr>
                <w:rFonts w:ascii="Arial" w:cs="Arial" w:eastAsia="Arial" w:hAnsi="Arial"/>
                <w:sz w:val="13"/>
                <w:szCs w:val="13"/>
                <w:color w:val="auto"/>
              </w:rPr>
              <w:t>Unsecured senior line of credit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ind w:left="60"/>
              <w:spacing w:after="0"/>
              <w:rPr>
                <w:sz w:val="20"/>
                <w:szCs w:val="20"/>
                <w:color w:val="auto"/>
              </w:rPr>
            </w:pPr>
            <w:r>
              <w:rPr>
                <w:rFonts w:ascii="Arial" w:cs="Arial" w:eastAsia="Arial" w:hAnsi="Arial"/>
                <w:sz w:val="13"/>
                <w:szCs w:val="13"/>
                <w:color w:val="auto"/>
                <w:w w:val="82"/>
              </w:rPr>
              <w:t>$</w:t>
            </w:r>
          </w:p>
        </w:tc>
        <w:tc>
          <w:tcPr>
            <w:tcW w:w="1020" w:type="dxa"/>
            <w:vAlign w:val="bottom"/>
          </w:tcPr>
          <w:p>
            <w:pPr>
              <w:ind w:left="860"/>
              <w:spacing w:after="0"/>
              <w:rPr>
                <w:sz w:val="20"/>
                <w:szCs w:val="20"/>
                <w:color w:val="auto"/>
              </w:rPr>
            </w:pPr>
            <w:r>
              <w:rPr>
                <w:rFonts w:ascii="Arial" w:cs="Arial" w:eastAsia="Arial" w:hAnsi="Arial"/>
                <w:sz w:val="13"/>
                <w:szCs w:val="13"/>
                <w:color w:val="auto"/>
              </w:rPr>
              <w:t>—</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ind w:left="640"/>
              <w:spacing w:after="0"/>
              <w:rPr>
                <w:sz w:val="20"/>
                <w:szCs w:val="20"/>
                <w:color w:val="auto"/>
              </w:rPr>
            </w:pPr>
            <w:r>
              <w:rPr>
                <w:rFonts w:ascii="Arial" w:cs="Arial" w:eastAsia="Arial" w:hAnsi="Arial"/>
                <w:sz w:val="13"/>
                <w:szCs w:val="13"/>
                <w:color w:val="auto"/>
              </w:rPr>
              <w:t>—</w:t>
            </w:r>
          </w:p>
        </w:tc>
        <w:tc>
          <w:tcPr>
            <w:tcW w:w="2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4"/>
        </w:trPr>
        <w:tc>
          <w:tcPr>
            <w:tcW w:w="22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Commercial paper program</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199,552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ind w:left="60"/>
              <w:spacing w:after="0"/>
              <w:rPr>
                <w:sz w:val="20"/>
                <w:szCs w:val="20"/>
                <w:color w:val="auto"/>
              </w:rPr>
            </w:pPr>
            <w:r>
              <w:rPr>
                <w:rFonts w:ascii="Arial" w:cs="Arial" w:eastAsia="Arial" w:hAnsi="Arial"/>
                <w:sz w:val="13"/>
                <w:szCs w:val="13"/>
                <w:color w:val="auto"/>
                <w:w w:val="82"/>
              </w:rPr>
              <w:t>$</w:t>
            </w:r>
          </w:p>
        </w:tc>
        <w:tc>
          <w:tcPr>
            <w:tcW w:w="1020" w:type="dxa"/>
            <w:vAlign w:val="bottom"/>
            <w:shd w:val="clear" w:color="auto" w:fill="CCEEFF"/>
          </w:tcPr>
          <w:p>
            <w:pPr>
              <w:ind w:left="860"/>
              <w:spacing w:after="0"/>
              <w:rPr>
                <w:sz w:val="20"/>
                <w:szCs w:val="20"/>
                <w:color w:val="auto"/>
              </w:rPr>
            </w:pPr>
            <w:r>
              <w:rPr>
                <w:rFonts w:ascii="Arial" w:cs="Arial" w:eastAsia="Arial" w:hAnsi="Arial"/>
                <w:sz w:val="13"/>
                <w:szCs w:val="13"/>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199,926</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ind w:left="640"/>
              <w:spacing w:after="0"/>
              <w:rPr>
                <w:sz w:val="20"/>
                <w:szCs w:val="20"/>
                <w:color w:val="auto"/>
              </w:rPr>
            </w:pPr>
            <w:r>
              <w:rPr>
                <w:rFonts w:ascii="Arial" w:cs="Arial" w:eastAsia="Arial" w:hAnsi="Arial"/>
                <w:sz w:val="13"/>
                <w:szCs w:val="13"/>
                <w:color w:val="auto"/>
              </w:rPr>
              <w:t>—</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199,926</w:t>
            </w:r>
          </w:p>
        </w:tc>
        <w:tc>
          <w:tcPr>
            <w:tcW w:w="0" w:type="dxa"/>
            <w:vAlign w:val="bottom"/>
          </w:tcPr>
          <w:p>
            <w:pPr>
              <w:spacing w:after="0"/>
              <w:rPr>
                <w:sz w:val="1"/>
                <w:szCs w:val="1"/>
                <w:color w:val="auto"/>
              </w:rPr>
            </w:pPr>
          </w:p>
        </w:tc>
      </w:tr>
      <w:tr>
        <w:trPr>
          <w:trHeight w:val="440"/>
        </w:trPr>
        <w:tc>
          <w:tcPr>
            <w:tcW w:w="22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3"/>
                <w:szCs w:val="13"/>
                <w:color w:val="auto"/>
                <w:w w:val="99"/>
              </w:rPr>
              <w:t>December 31, 2023</w:t>
            </w: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5"/>
          </w:tcPr>
          <w:p>
            <w:pPr>
              <w:ind w:left="980"/>
              <w:spacing w:after="0"/>
              <w:rPr>
                <w:sz w:val="20"/>
                <w:szCs w:val="20"/>
                <w:color w:val="auto"/>
              </w:rPr>
            </w:pPr>
            <w:r>
              <w:rPr>
                <w:rFonts w:ascii="Arial" w:cs="Arial" w:eastAsia="Arial" w:hAnsi="Arial"/>
                <w:sz w:val="13"/>
                <w:szCs w:val="13"/>
                <w:color w:val="auto"/>
              </w:rPr>
              <w:t>Fair Value Hierarchy</w:t>
            </w: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2"/>
          </w:tcPr>
          <w:p>
            <w:pPr>
              <w:jc w:val="center"/>
              <w:spacing w:after="0"/>
              <w:rPr>
                <w:sz w:val="20"/>
                <w:szCs w:val="20"/>
                <w:color w:val="auto"/>
              </w:rPr>
            </w:pPr>
            <w:r>
              <w:rPr>
                <w:rFonts w:ascii="Arial" w:cs="Arial" w:eastAsia="Arial" w:hAnsi="Arial"/>
                <w:sz w:val="13"/>
                <w:szCs w:val="13"/>
                <w:color w:val="auto"/>
                <w:w w:val="99"/>
              </w:rPr>
              <w:t>Quoted Prices in</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3"/>
                <w:szCs w:val="13"/>
                <w:color w:val="auto"/>
                <w:w w:val="96"/>
              </w:rPr>
              <w:t>Significant</w:t>
            </w:r>
          </w:p>
        </w:tc>
        <w:tc>
          <w:tcPr>
            <w:tcW w:w="140" w:type="dxa"/>
            <w:vAlign w:val="bottom"/>
          </w:tcPr>
          <w:p>
            <w:pPr>
              <w:spacing w:after="0"/>
              <w:rPr>
                <w:sz w:val="13"/>
                <w:szCs w:val="13"/>
                <w:color w:val="auto"/>
              </w:rPr>
            </w:pPr>
          </w:p>
        </w:tc>
        <w:tc>
          <w:tcPr>
            <w:tcW w:w="820" w:type="dxa"/>
            <w:vAlign w:val="bottom"/>
          </w:tcPr>
          <w:p>
            <w:pPr>
              <w:jc w:val="center"/>
              <w:ind w:right="76"/>
              <w:spacing w:after="0"/>
              <w:rPr>
                <w:sz w:val="20"/>
                <w:szCs w:val="20"/>
                <w:color w:val="auto"/>
              </w:rPr>
            </w:pPr>
            <w:r>
              <w:rPr>
                <w:rFonts w:ascii="Arial" w:cs="Arial" w:eastAsia="Arial" w:hAnsi="Arial"/>
                <w:sz w:val="13"/>
                <w:szCs w:val="13"/>
                <w:color w:val="auto"/>
                <w:w w:val="99"/>
              </w:rPr>
              <w:t>Significant</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jc w:val="center"/>
              <w:ind w:right="36"/>
              <w:spacing w:after="0" w:line="129" w:lineRule="exact"/>
              <w:rPr>
                <w:sz w:val="20"/>
                <w:szCs w:val="20"/>
                <w:color w:val="auto"/>
              </w:rPr>
            </w:pPr>
            <w:r>
              <w:rPr>
                <w:rFonts w:ascii="Arial" w:cs="Arial" w:eastAsia="Arial" w:hAnsi="Arial"/>
                <w:sz w:val="13"/>
                <w:szCs w:val="13"/>
                <w:color w:val="auto"/>
                <w:w w:val="98"/>
              </w:rPr>
              <w:t>Active Markets</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tcPr>
          <w:p>
            <w:pPr>
              <w:jc w:val="center"/>
              <w:ind w:right="200"/>
              <w:spacing w:after="0" w:line="129" w:lineRule="exact"/>
              <w:rPr>
                <w:sz w:val="20"/>
                <w:szCs w:val="20"/>
                <w:color w:val="auto"/>
              </w:rPr>
            </w:pPr>
            <w:r>
              <w:rPr>
                <w:rFonts w:ascii="Arial" w:cs="Arial" w:eastAsia="Arial" w:hAnsi="Arial"/>
                <w:sz w:val="13"/>
                <w:szCs w:val="13"/>
                <w:color w:val="auto"/>
                <w:w w:val="98"/>
              </w:rPr>
              <w:t>Other</w:t>
            </w:r>
          </w:p>
        </w:tc>
        <w:tc>
          <w:tcPr>
            <w:tcW w:w="960" w:type="dxa"/>
            <w:vAlign w:val="bottom"/>
            <w:gridSpan w:val="2"/>
          </w:tcPr>
          <w:p>
            <w:pPr>
              <w:jc w:val="center"/>
              <w:spacing w:after="0" w:line="129" w:lineRule="exact"/>
              <w:rPr>
                <w:sz w:val="20"/>
                <w:szCs w:val="20"/>
                <w:color w:val="auto"/>
              </w:rPr>
            </w:pPr>
            <w:r>
              <w:rPr>
                <w:rFonts w:ascii="Arial" w:cs="Arial" w:eastAsia="Arial" w:hAnsi="Arial"/>
                <w:sz w:val="13"/>
                <w:szCs w:val="13"/>
                <w:color w:val="auto"/>
                <w:w w:val="99"/>
              </w:rPr>
              <w:t>Unobservable</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vMerge w:val="restart"/>
          </w:tcPr>
          <w:p>
            <w:pPr>
              <w:jc w:val="right"/>
              <w:ind w:right="156"/>
              <w:spacing w:after="0"/>
              <w:rPr>
                <w:sz w:val="20"/>
                <w:szCs w:val="20"/>
                <w:color w:val="auto"/>
              </w:rPr>
            </w:pPr>
            <w:r>
              <w:rPr>
                <w:rFonts w:ascii="Arial" w:cs="Arial" w:eastAsia="Arial" w:hAnsi="Arial"/>
                <w:sz w:val="13"/>
                <w:szCs w:val="13"/>
                <w:color w:val="auto"/>
              </w:rPr>
              <w:t>Estimated</w:t>
            </w:r>
          </w:p>
        </w:tc>
        <w:tc>
          <w:tcPr>
            <w:tcW w:w="0" w:type="dxa"/>
            <w:vAlign w:val="bottom"/>
          </w:tcPr>
          <w:p>
            <w:pPr>
              <w:spacing w:after="0"/>
              <w:rPr>
                <w:sz w:val="1"/>
                <w:szCs w:val="1"/>
                <w:color w:val="auto"/>
              </w:rPr>
            </w:pPr>
          </w:p>
        </w:tc>
      </w:tr>
      <w:tr>
        <w:trPr>
          <w:trHeight w:val="129"/>
        </w:trPr>
        <w:tc>
          <w:tcPr>
            <w:tcW w:w="2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3"/>
                <w:szCs w:val="13"/>
                <w:color w:val="auto"/>
              </w:rPr>
              <w:t>Book Value</w:t>
            </w:r>
          </w:p>
        </w:tc>
        <w:tc>
          <w:tcPr>
            <w:tcW w:w="1160" w:type="dxa"/>
            <w:vAlign w:val="bottom"/>
            <w:gridSpan w:val="2"/>
          </w:tcPr>
          <w:p>
            <w:pPr>
              <w:ind w:left="60"/>
              <w:spacing w:after="0" w:line="129" w:lineRule="exact"/>
              <w:rPr>
                <w:sz w:val="20"/>
                <w:szCs w:val="20"/>
                <w:color w:val="auto"/>
              </w:rPr>
            </w:pPr>
            <w:r>
              <w:rPr>
                <w:rFonts w:ascii="Arial" w:cs="Arial" w:eastAsia="Arial" w:hAnsi="Arial"/>
                <w:sz w:val="13"/>
                <w:szCs w:val="13"/>
                <w:color w:val="auto"/>
                <w:w w:val="98"/>
              </w:rPr>
              <w:t>for Identical Assets</w:t>
            </w:r>
          </w:p>
        </w:tc>
        <w:tc>
          <w:tcPr>
            <w:tcW w:w="60" w:type="dxa"/>
            <w:vAlign w:val="bottom"/>
          </w:tcPr>
          <w:p>
            <w:pPr>
              <w:spacing w:after="0"/>
              <w:rPr>
                <w:sz w:val="11"/>
                <w:szCs w:val="11"/>
                <w:color w:val="auto"/>
              </w:rPr>
            </w:pPr>
          </w:p>
        </w:tc>
        <w:tc>
          <w:tcPr>
            <w:tcW w:w="1220" w:type="dxa"/>
            <w:vAlign w:val="bottom"/>
            <w:gridSpan w:val="3"/>
          </w:tcPr>
          <w:p>
            <w:pPr>
              <w:jc w:val="center"/>
              <w:ind w:right="40"/>
              <w:spacing w:after="0" w:line="129" w:lineRule="exact"/>
              <w:rPr>
                <w:sz w:val="20"/>
                <w:szCs w:val="20"/>
                <w:color w:val="auto"/>
              </w:rPr>
            </w:pPr>
            <w:r>
              <w:rPr>
                <w:rFonts w:ascii="Arial" w:cs="Arial" w:eastAsia="Arial" w:hAnsi="Arial"/>
                <w:sz w:val="13"/>
                <w:szCs w:val="13"/>
                <w:color w:val="auto"/>
              </w:rPr>
              <w:t>Observable Inputs</w:t>
            </w:r>
          </w:p>
        </w:tc>
        <w:tc>
          <w:tcPr>
            <w:tcW w:w="140" w:type="dxa"/>
            <w:vAlign w:val="bottom"/>
          </w:tcPr>
          <w:p>
            <w:pPr>
              <w:spacing w:after="0"/>
              <w:rPr>
                <w:sz w:val="11"/>
                <w:szCs w:val="11"/>
                <w:color w:val="auto"/>
              </w:rPr>
            </w:pPr>
          </w:p>
        </w:tc>
        <w:tc>
          <w:tcPr>
            <w:tcW w:w="820" w:type="dxa"/>
            <w:vAlign w:val="bottom"/>
          </w:tcPr>
          <w:p>
            <w:pPr>
              <w:jc w:val="center"/>
              <w:ind w:right="76"/>
              <w:spacing w:after="0" w:line="129" w:lineRule="exact"/>
              <w:rPr>
                <w:sz w:val="20"/>
                <w:szCs w:val="20"/>
                <w:color w:val="auto"/>
              </w:rPr>
            </w:pPr>
            <w:r>
              <w:rPr>
                <w:rFonts w:ascii="Arial" w:cs="Arial" w:eastAsia="Arial" w:hAnsi="Arial"/>
                <w:sz w:val="13"/>
                <w:szCs w:val="13"/>
                <w:color w:val="auto"/>
              </w:rPr>
              <w:t>Inputs</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jc w:val="center"/>
              <w:ind w:right="56"/>
              <w:spacing w:after="0"/>
              <w:rPr>
                <w:sz w:val="20"/>
                <w:szCs w:val="20"/>
                <w:color w:val="auto"/>
              </w:rPr>
            </w:pPr>
            <w:r>
              <w:rPr>
                <w:rFonts w:ascii="Arial" w:cs="Arial" w:eastAsia="Arial" w:hAnsi="Arial"/>
                <w:sz w:val="13"/>
                <w:szCs w:val="13"/>
                <w:color w:val="auto"/>
                <w:w w:val="98"/>
              </w:rPr>
              <w:t>(Level 1)</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3"/>
                <w:szCs w:val="13"/>
                <w:color w:val="auto"/>
                <w:w w:val="98"/>
              </w:rPr>
              <w:t>(Level 2)</w:t>
            </w:r>
          </w:p>
        </w:tc>
        <w:tc>
          <w:tcPr>
            <w:tcW w:w="140" w:type="dxa"/>
            <w:vAlign w:val="bottom"/>
          </w:tcPr>
          <w:p>
            <w:pPr>
              <w:spacing w:after="0"/>
              <w:rPr>
                <w:sz w:val="13"/>
                <w:szCs w:val="13"/>
                <w:color w:val="auto"/>
              </w:rPr>
            </w:pPr>
          </w:p>
        </w:tc>
        <w:tc>
          <w:tcPr>
            <w:tcW w:w="820" w:type="dxa"/>
            <w:vAlign w:val="bottom"/>
          </w:tcPr>
          <w:p>
            <w:pPr>
              <w:jc w:val="center"/>
              <w:ind w:right="96"/>
              <w:spacing w:after="0"/>
              <w:rPr>
                <w:sz w:val="20"/>
                <w:szCs w:val="20"/>
                <w:color w:val="auto"/>
              </w:rPr>
            </w:pPr>
            <w:r>
              <w:rPr>
                <w:rFonts w:ascii="Arial" w:cs="Arial" w:eastAsia="Arial" w:hAnsi="Arial"/>
                <w:sz w:val="13"/>
                <w:szCs w:val="13"/>
                <w:color w:val="auto"/>
                <w:w w:val="98"/>
              </w:rPr>
              <w:t>(Level 3)</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jc w:val="right"/>
              <w:ind w:right="156"/>
              <w:spacing w:after="0"/>
              <w:rPr>
                <w:sz w:val="20"/>
                <w:szCs w:val="20"/>
                <w:color w:val="auto"/>
              </w:rPr>
            </w:pPr>
            <w:r>
              <w:rPr>
                <w:rFonts w:ascii="Arial" w:cs="Arial" w:eastAsia="Arial" w:hAnsi="Arial"/>
                <w:sz w:val="13"/>
                <w:szCs w:val="13"/>
                <w:color w:val="auto"/>
              </w:rPr>
              <w:t>Fair Value</w:t>
            </w:r>
          </w:p>
        </w:tc>
        <w:tc>
          <w:tcPr>
            <w:tcW w:w="0" w:type="dxa"/>
            <w:vAlign w:val="bottom"/>
          </w:tcPr>
          <w:p>
            <w:pPr>
              <w:spacing w:after="0"/>
              <w:rPr>
                <w:sz w:val="1"/>
                <w:szCs w:val="1"/>
                <w:color w:val="auto"/>
              </w:rPr>
            </w:pPr>
          </w:p>
        </w:tc>
      </w:tr>
      <w:tr>
        <w:trPr>
          <w:trHeight w:val="184"/>
        </w:trPr>
        <w:tc>
          <w:tcPr>
            <w:tcW w:w="22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Liabilities:</w:t>
            </w:r>
          </w:p>
        </w:tc>
        <w:tc>
          <w:tcPr>
            <w:tcW w:w="12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220" w:type="dxa"/>
            <w:vAlign w:val="bottom"/>
          </w:tcPr>
          <w:p>
            <w:pPr>
              <w:ind w:left="140"/>
              <w:spacing w:after="0"/>
              <w:rPr>
                <w:sz w:val="20"/>
                <w:szCs w:val="20"/>
                <w:color w:val="auto"/>
              </w:rPr>
            </w:pPr>
            <w:r>
              <w:rPr>
                <w:rFonts w:ascii="Arial" w:cs="Arial" w:eastAsia="Arial" w:hAnsi="Arial"/>
                <w:sz w:val="13"/>
                <w:szCs w:val="13"/>
                <w:color w:val="auto"/>
              </w:rPr>
              <w:t>Secured notes payable</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119,662</w:t>
            </w:r>
          </w:p>
        </w:tc>
        <w:tc>
          <w:tcPr>
            <w:tcW w:w="80" w:type="dxa"/>
            <w:vAlign w:val="bottom"/>
          </w:tcPr>
          <w:p>
            <w:pPr>
              <w:spacing w:after="0"/>
              <w:rPr>
                <w:sz w:val="17"/>
                <w:szCs w:val="17"/>
                <w:color w:val="auto"/>
              </w:rPr>
            </w:pPr>
          </w:p>
        </w:tc>
        <w:tc>
          <w:tcPr>
            <w:tcW w:w="140" w:type="dxa"/>
            <w:vAlign w:val="bottom"/>
          </w:tcPr>
          <w:p>
            <w:pPr>
              <w:ind w:left="60"/>
              <w:spacing w:after="0"/>
              <w:rPr>
                <w:sz w:val="20"/>
                <w:szCs w:val="20"/>
                <w:color w:val="auto"/>
              </w:rPr>
            </w:pPr>
            <w:r>
              <w:rPr>
                <w:rFonts w:ascii="Arial" w:cs="Arial" w:eastAsia="Arial" w:hAnsi="Arial"/>
                <w:sz w:val="13"/>
                <w:szCs w:val="13"/>
                <w:color w:val="auto"/>
                <w:w w:val="82"/>
              </w:rPr>
              <w:t>$</w:t>
            </w:r>
          </w:p>
        </w:tc>
        <w:tc>
          <w:tcPr>
            <w:tcW w:w="1020" w:type="dxa"/>
            <w:vAlign w:val="bottom"/>
          </w:tcPr>
          <w:p>
            <w:pPr>
              <w:ind w:left="860"/>
              <w:spacing w:after="0"/>
              <w:rPr>
                <w:sz w:val="20"/>
                <w:szCs w:val="20"/>
                <w:color w:val="auto"/>
              </w:rPr>
            </w:pPr>
            <w:r>
              <w:rPr>
                <w:rFonts w:ascii="Arial" w:cs="Arial" w:eastAsia="Arial" w:hAnsi="Arial"/>
                <w:sz w:val="13"/>
                <w:szCs w:val="13"/>
                <w:color w:val="auto"/>
              </w:rPr>
              <w:t>—</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118,660</w:t>
            </w:r>
          </w:p>
        </w:tc>
        <w:tc>
          <w:tcPr>
            <w:tcW w:w="6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ind w:left="640"/>
              <w:spacing w:after="0"/>
              <w:rPr>
                <w:sz w:val="20"/>
                <w:szCs w:val="20"/>
                <w:color w:val="auto"/>
              </w:rPr>
            </w:pPr>
            <w:r>
              <w:rPr>
                <w:rFonts w:ascii="Arial" w:cs="Arial" w:eastAsia="Arial" w:hAnsi="Arial"/>
                <w:sz w:val="13"/>
                <w:szCs w:val="13"/>
                <w:color w:val="auto"/>
              </w:rPr>
              <w:t>—</w:t>
            </w:r>
          </w:p>
        </w:tc>
        <w:tc>
          <w:tcPr>
            <w:tcW w:w="2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118,660</w:t>
            </w:r>
          </w:p>
        </w:tc>
        <w:tc>
          <w:tcPr>
            <w:tcW w:w="0" w:type="dxa"/>
            <w:vAlign w:val="bottom"/>
          </w:tcPr>
          <w:p>
            <w:pPr>
              <w:spacing w:after="0"/>
              <w:rPr>
                <w:sz w:val="1"/>
                <w:szCs w:val="1"/>
                <w:color w:val="auto"/>
              </w:rPr>
            </w:pPr>
          </w:p>
        </w:tc>
      </w:tr>
      <w:tr>
        <w:trPr>
          <w:trHeight w:val="204"/>
        </w:trPr>
        <w:tc>
          <w:tcPr>
            <w:tcW w:w="22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Unsecured senior notes payable</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11,096,028</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ind w:left="60"/>
              <w:spacing w:after="0"/>
              <w:rPr>
                <w:sz w:val="20"/>
                <w:szCs w:val="20"/>
                <w:color w:val="auto"/>
              </w:rPr>
            </w:pPr>
            <w:r>
              <w:rPr>
                <w:rFonts w:ascii="Arial" w:cs="Arial" w:eastAsia="Arial" w:hAnsi="Arial"/>
                <w:sz w:val="13"/>
                <w:szCs w:val="13"/>
                <w:color w:val="auto"/>
                <w:w w:val="82"/>
              </w:rPr>
              <w:t>$</w:t>
            </w:r>
          </w:p>
        </w:tc>
        <w:tc>
          <w:tcPr>
            <w:tcW w:w="1020" w:type="dxa"/>
            <w:vAlign w:val="bottom"/>
            <w:shd w:val="clear" w:color="auto" w:fill="CCEEFF"/>
          </w:tcPr>
          <w:p>
            <w:pPr>
              <w:ind w:left="860"/>
              <w:spacing w:after="0"/>
              <w:rPr>
                <w:sz w:val="20"/>
                <w:szCs w:val="20"/>
                <w:color w:val="auto"/>
              </w:rPr>
            </w:pPr>
            <w:r>
              <w:rPr>
                <w:rFonts w:ascii="Arial" w:cs="Arial" w:eastAsia="Arial" w:hAnsi="Arial"/>
                <w:sz w:val="13"/>
                <w:szCs w:val="13"/>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9,708,930</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ind w:left="640"/>
              <w:spacing w:after="0"/>
              <w:rPr>
                <w:sz w:val="20"/>
                <w:szCs w:val="20"/>
                <w:color w:val="auto"/>
              </w:rPr>
            </w:pPr>
            <w:r>
              <w:rPr>
                <w:rFonts w:ascii="Arial" w:cs="Arial" w:eastAsia="Arial" w:hAnsi="Arial"/>
                <w:sz w:val="13"/>
                <w:szCs w:val="13"/>
                <w:color w:val="auto"/>
              </w:rPr>
              <w:t>—</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9,708,930</w:t>
            </w:r>
          </w:p>
        </w:tc>
        <w:tc>
          <w:tcPr>
            <w:tcW w:w="0" w:type="dxa"/>
            <w:vAlign w:val="bottom"/>
          </w:tcPr>
          <w:p>
            <w:pPr>
              <w:spacing w:after="0"/>
              <w:rPr>
                <w:sz w:val="1"/>
                <w:szCs w:val="1"/>
                <w:color w:val="auto"/>
              </w:rPr>
            </w:pPr>
          </w:p>
        </w:tc>
      </w:tr>
      <w:tr>
        <w:trPr>
          <w:trHeight w:val="204"/>
        </w:trPr>
        <w:tc>
          <w:tcPr>
            <w:tcW w:w="2220" w:type="dxa"/>
            <w:vAlign w:val="bottom"/>
          </w:tcPr>
          <w:p>
            <w:pPr>
              <w:ind w:left="140"/>
              <w:spacing w:after="0"/>
              <w:rPr>
                <w:sz w:val="20"/>
                <w:szCs w:val="20"/>
                <w:color w:val="auto"/>
              </w:rPr>
            </w:pPr>
            <w:r>
              <w:rPr>
                <w:rFonts w:ascii="Arial" w:cs="Arial" w:eastAsia="Arial" w:hAnsi="Arial"/>
                <w:sz w:val="13"/>
                <w:szCs w:val="13"/>
                <w:color w:val="auto"/>
              </w:rPr>
              <w:t>Unsecured senior line of credit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ind w:left="60"/>
              <w:spacing w:after="0"/>
              <w:rPr>
                <w:sz w:val="20"/>
                <w:szCs w:val="20"/>
                <w:color w:val="auto"/>
              </w:rPr>
            </w:pPr>
            <w:r>
              <w:rPr>
                <w:rFonts w:ascii="Arial" w:cs="Arial" w:eastAsia="Arial" w:hAnsi="Arial"/>
                <w:sz w:val="13"/>
                <w:szCs w:val="13"/>
                <w:color w:val="auto"/>
                <w:w w:val="82"/>
              </w:rPr>
              <w:t>$</w:t>
            </w:r>
          </w:p>
        </w:tc>
        <w:tc>
          <w:tcPr>
            <w:tcW w:w="1020" w:type="dxa"/>
            <w:vAlign w:val="bottom"/>
          </w:tcPr>
          <w:p>
            <w:pPr>
              <w:ind w:left="860"/>
              <w:spacing w:after="0"/>
              <w:rPr>
                <w:sz w:val="20"/>
                <w:szCs w:val="20"/>
                <w:color w:val="auto"/>
              </w:rPr>
            </w:pPr>
            <w:r>
              <w:rPr>
                <w:rFonts w:ascii="Arial" w:cs="Arial" w:eastAsia="Arial" w:hAnsi="Arial"/>
                <w:sz w:val="13"/>
                <w:szCs w:val="13"/>
                <w:color w:val="auto"/>
              </w:rPr>
              <w:t>—</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ind w:left="640"/>
              <w:spacing w:after="0"/>
              <w:rPr>
                <w:sz w:val="20"/>
                <w:szCs w:val="20"/>
                <w:color w:val="auto"/>
              </w:rPr>
            </w:pPr>
            <w:r>
              <w:rPr>
                <w:rFonts w:ascii="Arial" w:cs="Arial" w:eastAsia="Arial" w:hAnsi="Arial"/>
                <w:sz w:val="13"/>
                <w:szCs w:val="13"/>
                <w:color w:val="auto"/>
              </w:rPr>
              <w:t>—</w:t>
            </w:r>
          </w:p>
        </w:tc>
        <w:tc>
          <w:tcPr>
            <w:tcW w:w="2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4"/>
        </w:trPr>
        <w:tc>
          <w:tcPr>
            <w:tcW w:w="22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Commercial paper program</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99,952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ind w:left="60"/>
              <w:spacing w:after="0"/>
              <w:rPr>
                <w:sz w:val="20"/>
                <w:szCs w:val="20"/>
                <w:color w:val="auto"/>
              </w:rPr>
            </w:pPr>
            <w:r>
              <w:rPr>
                <w:rFonts w:ascii="Arial" w:cs="Arial" w:eastAsia="Arial" w:hAnsi="Arial"/>
                <w:sz w:val="13"/>
                <w:szCs w:val="13"/>
                <w:color w:val="auto"/>
                <w:w w:val="82"/>
              </w:rPr>
              <w:t>$</w:t>
            </w:r>
          </w:p>
        </w:tc>
        <w:tc>
          <w:tcPr>
            <w:tcW w:w="1020" w:type="dxa"/>
            <w:vAlign w:val="bottom"/>
            <w:shd w:val="clear" w:color="auto" w:fill="CCEEFF"/>
          </w:tcPr>
          <w:p>
            <w:pPr>
              <w:ind w:left="860"/>
              <w:spacing w:after="0"/>
              <w:rPr>
                <w:sz w:val="20"/>
                <w:szCs w:val="20"/>
                <w:color w:val="auto"/>
              </w:rPr>
            </w:pPr>
            <w:r>
              <w:rPr>
                <w:rFonts w:ascii="Arial" w:cs="Arial" w:eastAsia="Arial" w:hAnsi="Arial"/>
                <w:sz w:val="13"/>
                <w:szCs w:val="13"/>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99,915</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ind w:left="640"/>
              <w:spacing w:after="0"/>
              <w:rPr>
                <w:sz w:val="20"/>
                <w:szCs w:val="20"/>
                <w:color w:val="auto"/>
              </w:rPr>
            </w:pPr>
            <w:r>
              <w:rPr>
                <w:rFonts w:ascii="Arial" w:cs="Arial" w:eastAsia="Arial" w:hAnsi="Arial"/>
                <w:sz w:val="13"/>
                <w:szCs w:val="13"/>
                <w:color w:val="auto"/>
              </w:rPr>
              <w:t>—</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99,915</w:t>
            </w:r>
          </w:p>
        </w:tc>
        <w:tc>
          <w:tcPr>
            <w:tcW w:w="0" w:type="dxa"/>
            <w:vAlign w:val="bottom"/>
          </w:tcPr>
          <w:p>
            <w:pPr>
              <w:spacing w:after="0"/>
              <w:rPr>
                <w:sz w:val="1"/>
                <w:szCs w:val="1"/>
                <w:color w:val="auto"/>
              </w:rPr>
            </w:pPr>
          </w:p>
        </w:tc>
      </w:tr>
    </w:tbl>
    <w:p>
      <w:pPr>
        <w:spacing w:after="0" w:line="204" w:lineRule="exact"/>
        <w:rPr>
          <w:sz w:val="20"/>
          <w:szCs w:val="20"/>
          <w:color w:val="auto"/>
        </w:rPr>
      </w:pPr>
    </w:p>
    <w:p>
      <w:pPr>
        <w:ind w:left="1500" w:right="1740" w:firstLine="516"/>
        <w:spacing w:after="0" w:line="289" w:lineRule="auto"/>
        <w:rPr>
          <w:sz w:val="20"/>
          <w:szCs w:val="20"/>
          <w:color w:val="auto"/>
        </w:rPr>
      </w:pPr>
      <w:r>
        <w:rPr>
          <w:rFonts w:ascii="Arial" w:cs="Arial" w:eastAsia="Arial" w:hAnsi="Arial"/>
          <w:sz w:val="13"/>
          <w:szCs w:val="13"/>
          <w:color w:val="auto"/>
        </w:rPr>
        <w:t>The carrying values of cash and cash equivalents, restricted cash, tenant receivables, deposits, notes receivable, accounts payable, accrued expenses, and other short-term liabilities approximate their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188595</wp:posOffset>
            </wp:positionV>
            <wp:extent cx="7212965" cy="32969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12965" cy="3296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3"/>
          <w:szCs w:val="13"/>
          <w:b w:val="1"/>
          <w:bCs w:val="1"/>
          <w:color w:val="00497F"/>
        </w:rPr>
        <w:t>10. SECURED AND UNSECURED SENIOR DEBT</w:t>
      </w:r>
    </w:p>
    <w:p>
      <w:pPr>
        <w:spacing w:after="0" w:line="119" w:lineRule="exact"/>
        <w:rPr>
          <w:sz w:val="20"/>
          <w:szCs w:val="20"/>
          <w:color w:val="auto"/>
        </w:rPr>
      </w:pPr>
    </w:p>
    <w:p>
      <w:pPr>
        <w:ind w:left="500"/>
        <w:spacing w:after="0"/>
        <w:rPr>
          <w:sz w:val="20"/>
          <w:szCs w:val="20"/>
          <w:color w:val="auto"/>
        </w:rPr>
      </w:pPr>
      <w:r>
        <w:rPr>
          <w:rFonts w:ascii="Arial" w:cs="Arial" w:eastAsia="Arial" w:hAnsi="Arial"/>
          <w:sz w:val="13"/>
          <w:szCs w:val="13"/>
          <w:color w:val="auto"/>
        </w:rPr>
        <w:t>The following table summarizes our outstanding indebtedness and respective principal payments remaining as of June 30, 2024 (dollars in thousands):</w:t>
      </w:r>
    </w:p>
    <w:p>
      <w:pPr>
        <w:spacing w:after="0" w:line="63" w:lineRule="exact"/>
        <w:rPr>
          <w:sz w:val="20"/>
          <w:szCs w:val="20"/>
          <w:color w:val="auto"/>
        </w:rPr>
      </w:pPr>
    </w:p>
    <w:p>
      <w:pPr>
        <w:jc w:val="center"/>
        <w:ind w:left="8720"/>
        <w:spacing w:after="0"/>
        <w:rPr>
          <w:sz w:val="20"/>
          <w:szCs w:val="20"/>
          <w:color w:val="auto"/>
        </w:rPr>
      </w:pPr>
      <w:r>
        <w:rPr>
          <w:rFonts w:ascii="Arial" w:cs="Arial" w:eastAsia="Arial" w:hAnsi="Arial"/>
          <w:sz w:val="10"/>
          <w:szCs w:val="10"/>
          <w:color w:val="auto"/>
        </w:rPr>
        <w:t>Unamortized</w:t>
      </w:r>
    </w:p>
    <w:p>
      <w:pPr>
        <w:jc w:val="center"/>
        <w:ind w:left="8720"/>
        <w:spacing w:after="0" w:line="224" w:lineRule="auto"/>
        <w:rPr>
          <w:sz w:val="20"/>
          <w:szCs w:val="20"/>
          <w:color w:val="auto"/>
        </w:rPr>
      </w:pPr>
      <w:r>
        <w:rPr>
          <w:rFonts w:ascii="Arial" w:cs="Arial" w:eastAsia="Arial" w:hAnsi="Arial"/>
          <w:sz w:val="10"/>
          <w:szCs w:val="10"/>
          <w:color w:val="auto"/>
        </w:rPr>
        <w:t>(Deferred</w:t>
      </w:r>
    </w:p>
    <w:tbl>
      <w:tblPr>
        <w:tblLayout w:type="fixed"/>
        <w:tblInd w:w="40" w:type="dxa"/>
        <w:tblCellMar>
          <w:top w:w="0" w:type="dxa"/>
          <w:left w:w="0" w:type="dxa"/>
          <w:bottom w:w="0" w:type="dxa"/>
          <w:right w:w="0" w:type="dxa"/>
        </w:tblCellMar>
      </w:tblPr>
      <w:tr>
        <w:trPr>
          <w:trHeight w:val="91"/>
        </w:trPr>
        <w:tc>
          <w:tcPr>
            <w:tcW w:w="2520" w:type="dxa"/>
            <w:vAlign w:val="bottom"/>
          </w:tcPr>
          <w:p>
            <w:pPr>
              <w:spacing w:after="0"/>
              <w:rPr>
                <w:sz w:val="7"/>
                <w:szCs w:val="7"/>
                <w:color w:val="auto"/>
              </w:rPr>
            </w:pPr>
          </w:p>
        </w:tc>
        <w:tc>
          <w:tcPr>
            <w:tcW w:w="920" w:type="dxa"/>
            <w:vAlign w:val="bottom"/>
          </w:tcPr>
          <w:p>
            <w:pPr>
              <w:spacing w:after="0"/>
              <w:rPr>
                <w:sz w:val="7"/>
                <w:szCs w:val="7"/>
                <w:color w:val="auto"/>
              </w:rPr>
            </w:pPr>
          </w:p>
        </w:tc>
        <w:tc>
          <w:tcPr>
            <w:tcW w:w="520" w:type="dxa"/>
            <w:vAlign w:val="bottom"/>
          </w:tcPr>
          <w:p>
            <w:pPr>
              <w:spacing w:after="0"/>
              <w:rPr>
                <w:sz w:val="7"/>
                <w:szCs w:val="7"/>
                <w:color w:val="auto"/>
              </w:rPr>
            </w:pPr>
          </w:p>
        </w:tc>
        <w:tc>
          <w:tcPr>
            <w:tcW w:w="8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660" w:type="dxa"/>
            <w:vAlign w:val="bottom"/>
            <w:gridSpan w:val="8"/>
            <w:vMerge w:val="restart"/>
          </w:tcPr>
          <w:p>
            <w:pPr>
              <w:jc w:val="right"/>
              <w:ind w:right="103"/>
              <w:spacing w:after="0"/>
              <w:rPr>
                <w:sz w:val="20"/>
                <w:szCs w:val="20"/>
                <w:color w:val="auto"/>
              </w:rPr>
            </w:pPr>
            <w:r>
              <w:rPr>
                <w:rFonts w:ascii="Arial" w:cs="Arial" w:eastAsia="Arial" w:hAnsi="Arial"/>
                <w:sz w:val="11"/>
                <w:szCs w:val="11"/>
                <w:color w:val="auto"/>
              </w:rPr>
              <w:t>Principal Payments Remaining for the Periods Ending December 31,</w:t>
            </w: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jc w:val="center"/>
              <w:ind w:right="84"/>
              <w:spacing w:after="0" w:line="91" w:lineRule="exact"/>
              <w:rPr>
                <w:sz w:val="20"/>
                <w:szCs w:val="20"/>
                <w:color w:val="auto"/>
              </w:rPr>
            </w:pPr>
            <w:r>
              <w:rPr>
                <w:rFonts w:ascii="Arial" w:cs="Arial" w:eastAsia="Arial" w:hAnsi="Arial"/>
                <w:sz w:val="10"/>
                <w:szCs w:val="10"/>
                <w:color w:val="auto"/>
                <w:w w:val="96"/>
              </w:rPr>
              <w:t>Financing</w:t>
            </w: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2520" w:type="dxa"/>
            <w:vAlign w:val="bottom"/>
          </w:tcPr>
          <w:p>
            <w:pPr>
              <w:spacing w:after="0"/>
              <w:rPr>
                <w:sz w:val="8"/>
                <w:szCs w:val="8"/>
                <w:color w:val="auto"/>
              </w:rPr>
            </w:pPr>
          </w:p>
        </w:tc>
        <w:tc>
          <w:tcPr>
            <w:tcW w:w="920" w:type="dxa"/>
            <w:vAlign w:val="bottom"/>
            <w:vMerge w:val="restart"/>
          </w:tcPr>
          <w:p>
            <w:pPr>
              <w:jc w:val="right"/>
              <w:ind w:right="244"/>
              <w:spacing w:after="0"/>
              <w:rPr>
                <w:sz w:val="20"/>
                <w:szCs w:val="20"/>
                <w:color w:val="auto"/>
              </w:rPr>
            </w:pPr>
            <w:r>
              <w:rPr>
                <w:rFonts w:ascii="Arial" w:cs="Arial" w:eastAsia="Arial" w:hAnsi="Arial"/>
                <w:sz w:val="11"/>
                <w:szCs w:val="11"/>
                <w:color w:val="auto"/>
              </w:rPr>
              <w:t>Stated</w:t>
            </w:r>
          </w:p>
        </w:tc>
        <w:tc>
          <w:tcPr>
            <w:tcW w:w="520" w:type="dxa"/>
            <w:vAlign w:val="bottom"/>
            <w:vMerge w:val="restart"/>
          </w:tcPr>
          <w:p>
            <w:pPr>
              <w:ind w:left="80"/>
              <w:spacing w:after="0"/>
              <w:rPr>
                <w:sz w:val="20"/>
                <w:szCs w:val="20"/>
                <w:color w:val="auto"/>
              </w:rPr>
            </w:pPr>
            <w:r>
              <w:rPr>
                <w:rFonts w:ascii="Arial" w:cs="Arial" w:eastAsia="Arial" w:hAnsi="Arial"/>
                <w:sz w:val="11"/>
                <w:szCs w:val="11"/>
                <w:color w:val="auto"/>
              </w:rPr>
              <w:t>Interest</w:t>
            </w:r>
          </w:p>
        </w:tc>
        <w:tc>
          <w:tcPr>
            <w:tcW w:w="840" w:type="dxa"/>
            <w:vAlign w:val="bottom"/>
            <w:vMerge w:val="restart"/>
          </w:tcPr>
          <w:p>
            <w:pPr>
              <w:jc w:val="center"/>
              <w:spacing w:after="0"/>
              <w:rPr>
                <w:sz w:val="20"/>
                <w:szCs w:val="20"/>
                <w:color w:val="auto"/>
              </w:rPr>
            </w:pPr>
            <w:r>
              <w:rPr>
                <w:rFonts w:ascii="Arial" w:cs="Arial" w:eastAsia="Arial" w:hAnsi="Arial"/>
                <w:sz w:val="11"/>
                <w:szCs w:val="11"/>
                <w:color w:val="auto"/>
              </w:rPr>
              <w:t>Maturity</w:t>
            </w:r>
          </w:p>
        </w:tc>
        <w:tc>
          <w:tcPr>
            <w:tcW w:w="120" w:type="dxa"/>
            <w:vAlign w:val="bottom"/>
          </w:tcPr>
          <w:p>
            <w:pPr>
              <w:spacing w:after="0"/>
              <w:rPr>
                <w:sz w:val="8"/>
                <w:szCs w:val="8"/>
                <w:color w:val="auto"/>
              </w:rPr>
            </w:pPr>
          </w:p>
        </w:tc>
        <w:tc>
          <w:tcPr>
            <w:tcW w:w="3660" w:type="dxa"/>
            <w:vAlign w:val="bottom"/>
            <w:gridSpan w:val="8"/>
            <w:vMerge w:val="continue"/>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jc w:val="center"/>
              <w:ind w:right="84"/>
              <w:spacing w:after="0" w:line="97" w:lineRule="exact"/>
              <w:rPr>
                <w:sz w:val="20"/>
                <w:szCs w:val="20"/>
                <w:color w:val="auto"/>
              </w:rPr>
            </w:pPr>
            <w:r>
              <w:rPr>
                <w:rFonts w:ascii="Arial" w:cs="Arial" w:eastAsia="Arial" w:hAnsi="Arial"/>
                <w:sz w:val="10"/>
                <w:szCs w:val="10"/>
                <w:color w:val="auto"/>
                <w:w w:val="97"/>
              </w:rPr>
              <w:t>Cost),</w:t>
            </w: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2520" w:type="dxa"/>
            <w:vAlign w:val="bottom"/>
            <w:vMerge w:val="restart"/>
          </w:tcPr>
          <w:p>
            <w:pPr>
              <w:ind w:left="1120"/>
              <w:spacing w:after="0"/>
              <w:rPr>
                <w:sz w:val="20"/>
                <w:szCs w:val="20"/>
                <w:color w:val="auto"/>
              </w:rPr>
            </w:pPr>
            <w:r>
              <w:rPr>
                <w:rFonts w:ascii="Arial" w:cs="Arial" w:eastAsia="Arial" w:hAnsi="Arial"/>
                <w:sz w:val="11"/>
                <w:szCs w:val="11"/>
                <w:color w:val="auto"/>
              </w:rPr>
              <w:t>Debt</w:t>
            </w:r>
          </w:p>
        </w:tc>
        <w:tc>
          <w:tcPr>
            <w:tcW w:w="92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vMerge w:val="restart"/>
          </w:tcPr>
          <w:p>
            <w:pPr>
              <w:jc w:val="right"/>
              <w:ind w:right="223"/>
              <w:spacing w:after="0"/>
              <w:rPr>
                <w:sz w:val="20"/>
                <w:szCs w:val="20"/>
                <w:color w:val="auto"/>
              </w:rPr>
            </w:pPr>
            <w:r>
              <w:rPr>
                <w:rFonts w:ascii="Arial" w:cs="Arial" w:eastAsia="Arial" w:hAnsi="Arial"/>
                <w:sz w:val="11"/>
                <w:szCs w:val="11"/>
                <w:color w:val="auto"/>
                <w:w w:val="97"/>
              </w:rPr>
              <w:t>2024</w:t>
            </w:r>
          </w:p>
        </w:tc>
        <w:tc>
          <w:tcPr>
            <w:tcW w:w="500" w:type="dxa"/>
            <w:vAlign w:val="bottom"/>
            <w:vMerge w:val="restart"/>
          </w:tcPr>
          <w:p>
            <w:pPr>
              <w:jc w:val="right"/>
              <w:ind w:right="143"/>
              <w:spacing w:after="0"/>
              <w:rPr>
                <w:sz w:val="20"/>
                <w:szCs w:val="20"/>
                <w:color w:val="auto"/>
              </w:rPr>
            </w:pPr>
            <w:r>
              <w:rPr>
                <w:rFonts w:ascii="Arial" w:cs="Arial" w:eastAsia="Arial" w:hAnsi="Arial"/>
                <w:sz w:val="11"/>
                <w:szCs w:val="11"/>
                <w:color w:val="auto"/>
              </w:rPr>
              <w:t>2025</w:t>
            </w:r>
          </w:p>
        </w:tc>
        <w:tc>
          <w:tcPr>
            <w:tcW w:w="620" w:type="dxa"/>
            <w:vAlign w:val="bottom"/>
            <w:vMerge w:val="restart"/>
          </w:tcPr>
          <w:p>
            <w:pPr>
              <w:jc w:val="right"/>
              <w:ind w:right="123"/>
              <w:spacing w:after="0"/>
              <w:rPr>
                <w:sz w:val="20"/>
                <w:szCs w:val="20"/>
                <w:color w:val="auto"/>
              </w:rPr>
            </w:pPr>
            <w:r>
              <w:rPr>
                <w:rFonts w:ascii="Arial" w:cs="Arial" w:eastAsia="Arial" w:hAnsi="Arial"/>
                <w:sz w:val="11"/>
                <w:szCs w:val="11"/>
                <w:color w:val="auto"/>
              </w:rPr>
              <w:t>2026</w:t>
            </w:r>
          </w:p>
        </w:tc>
        <w:tc>
          <w:tcPr>
            <w:tcW w:w="140" w:type="dxa"/>
            <w:vAlign w:val="bottom"/>
          </w:tcPr>
          <w:p>
            <w:pPr>
              <w:spacing w:after="0"/>
              <w:rPr>
                <w:sz w:val="8"/>
                <w:szCs w:val="8"/>
                <w:color w:val="auto"/>
              </w:rPr>
            </w:pPr>
          </w:p>
        </w:tc>
        <w:tc>
          <w:tcPr>
            <w:tcW w:w="620" w:type="dxa"/>
            <w:vAlign w:val="bottom"/>
            <w:vMerge w:val="restart"/>
          </w:tcPr>
          <w:p>
            <w:pPr>
              <w:jc w:val="right"/>
              <w:ind w:right="263"/>
              <w:spacing w:after="0"/>
              <w:rPr>
                <w:sz w:val="20"/>
                <w:szCs w:val="20"/>
                <w:color w:val="auto"/>
              </w:rPr>
            </w:pPr>
            <w:r>
              <w:rPr>
                <w:rFonts w:ascii="Arial" w:cs="Arial" w:eastAsia="Arial" w:hAnsi="Arial"/>
                <w:sz w:val="11"/>
                <w:szCs w:val="11"/>
                <w:color w:val="auto"/>
              </w:rPr>
              <w:t>2027</w:t>
            </w:r>
          </w:p>
        </w:tc>
        <w:tc>
          <w:tcPr>
            <w:tcW w:w="480" w:type="dxa"/>
            <w:vAlign w:val="bottom"/>
            <w:vMerge w:val="restart"/>
          </w:tcPr>
          <w:p>
            <w:pPr>
              <w:jc w:val="right"/>
              <w:ind w:right="123"/>
              <w:spacing w:after="0"/>
              <w:rPr>
                <w:sz w:val="20"/>
                <w:szCs w:val="20"/>
                <w:color w:val="auto"/>
              </w:rPr>
            </w:pPr>
            <w:r>
              <w:rPr>
                <w:rFonts w:ascii="Arial" w:cs="Arial" w:eastAsia="Arial" w:hAnsi="Arial"/>
                <w:sz w:val="11"/>
                <w:szCs w:val="11"/>
                <w:color w:val="auto"/>
              </w:rPr>
              <w:t>2028</w:t>
            </w:r>
          </w:p>
        </w:tc>
        <w:tc>
          <w:tcPr>
            <w:tcW w:w="760" w:type="dxa"/>
            <w:vAlign w:val="bottom"/>
            <w:gridSpan w:val="2"/>
            <w:vMerge w:val="restart"/>
          </w:tcPr>
          <w:p>
            <w:pPr>
              <w:jc w:val="right"/>
              <w:ind w:right="43"/>
              <w:spacing w:after="0"/>
              <w:rPr>
                <w:sz w:val="20"/>
                <w:szCs w:val="20"/>
                <w:color w:val="auto"/>
              </w:rPr>
            </w:pPr>
            <w:r>
              <w:rPr>
                <w:rFonts w:ascii="Arial" w:cs="Arial" w:eastAsia="Arial" w:hAnsi="Arial"/>
                <w:sz w:val="11"/>
                <w:szCs w:val="11"/>
                <w:color w:val="auto"/>
              </w:rPr>
              <w:t>Thereafter</w:t>
            </w:r>
          </w:p>
        </w:tc>
        <w:tc>
          <w:tcPr>
            <w:tcW w:w="760" w:type="dxa"/>
            <w:vAlign w:val="bottom"/>
            <w:vMerge w:val="restart"/>
          </w:tcPr>
          <w:p>
            <w:pPr>
              <w:jc w:val="right"/>
              <w:ind w:right="103"/>
              <w:spacing w:after="0"/>
              <w:rPr>
                <w:sz w:val="20"/>
                <w:szCs w:val="20"/>
                <w:color w:val="auto"/>
              </w:rPr>
            </w:pPr>
            <w:r>
              <w:rPr>
                <w:rFonts w:ascii="Arial" w:cs="Arial" w:eastAsia="Arial" w:hAnsi="Arial"/>
                <w:sz w:val="11"/>
                <w:szCs w:val="11"/>
                <w:color w:val="auto"/>
              </w:rPr>
              <w:t>Principal</w:t>
            </w:r>
          </w:p>
        </w:tc>
        <w:tc>
          <w:tcPr>
            <w:tcW w:w="720" w:type="dxa"/>
            <w:vAlign w:val="bottom"/>
            <w:gridSpan w:val="2"/>
          </w:tcPr>
          <w:p>
            <w:pPr>
              <w:jc w:val="center"/>
              <w:spacing w:after="0" w:line="97" w:lineRule="exact"/>
              <w:rPr>
                <w:sz w:val="20"/>
                <w:szCs w:val="20"/>
                <w:color w:val="auto"/>
              </w:rPr>
            </w:pPr>
            <w:r>
              <w:rPr>
                <w:rFonts w:ascii="Arial" w:cs="Arial" w:eastAsia="Arial" w:hAnsi="Arial"/>
                <w:sz w:val="10"/>
                <w:szCs w:val="10"/>
                <w:color w:val="auto"/>
              </w:rPr>
              <w:t>(Discount)/</w:t>
            </w:r>
          </w:p>
        </w:tc>
        <w:tc>
          <w:tcPr>
            <w:tcW w:w="160" w:type="dxa"/>
            <w:vAlign w:val="bottom"/>
          </w:tcPr>
          <w:p>
            <w:pPr>
              <w:spacing w:after="0"/>
              <w:rPr>
                <w:sz w:val="8"/>
                <w:szCs w:val="8"/>
                <w:color w:val="auto"/>
              </w:rPr>
            </w:pPr>
          </w:p>
        </w:tc>
        <w:tc>
          <w:tcPr>
            <w:tcW w:w="500" w:type="dxa"/>
            <w:vAlign w:val="bottom"/>
            <w:vMerge w:val="restart"/>
          </w:tcPr>
          <w:p>
            <w:pPr>
              <w:jc w:val="right"/>
              <w:ind w:right="123"/>
              <w:spacing w:after="0"/>
              <w:rPr>
                <w:sz w:val="20"/>
                <w:szCs w:val="20"/>
                <w:color w:val="auto"/>
              </w:rPr>
            </w:pPr>
            <w:r>
              <w:rPr>
                <w:rFonts w:ascii="Arial" w:cs="Arial" w:eastAsia="Arial" w:hAnsi="Arial"/>
                <w:sz w:val="11"/>
                <w:szCs w:val="11"/>
                <w:color w:val="auto"/>
              </w:rPr>
              <w:t>Total</w:t>
            </w:r>
          </w:p>
        </w:tc>
        <w:tc>
          <w:tcPr>
            <w:tcW w:w="0" w:type="dxa"/>
            <w:vAlign w:val="bottom"/>
          </w:tcPr>
          <w:p>
            <w:pPr>
              <w:spacing w:after="0"/>
              <w:rPr>
                <w:sz w:val="1"/>
                <w:szCs w:val="1"/>
                <w:color w:val="auto"/>
              </w:rPr>
            </w:pPr>
          </w:p>
        </w:tc>
      </w:tr>
      <w:tr>
        <w:trPr>
          <w:trHeight w:val="166"/>
        </w:trPr>
        <w:tc>
          <w:tcPr>
            <w:tcW w:w="2520" w:type="dxa"/>
            <w:vAlign w:val="bottom"/>
            <w:vMerge w:val="continue"/>
          </w:tcPr>
          <w:p>
            <w:pPr>
              <w:spacing w:after="0"/>
              <w:rPr>
                <w:sz w:val="14"/>
                <w:szCs w:val="14"/>
                <w:color w:val="auto"/>
              </w:rPr>
            </w:pPr>
          </w:p>
        </w:tc>
        <w:tc>
          <w:tcPr>
            <w:tcW w:w="920" w:type="dxa"/>
            <w:vAlign w:val="bottom"/>
          </w:tcPr>
          <w:p>
            <w:pPr>
              <w:jc w:val="right"/>
              <w:ind w:right="284"/>
              <w:spacing w:after="0"/>
              <w:rPr>
                <w:sz w:val="20"/>
                <w:szCs w:val="20"/>
                <w:color w:val="auto"/>
              </w:rPr>
            </w:pPr>
            <w:r>
              <w:rPr>
                <w:rFonts w:ascii="Arial" w:cs="Arial" w:eastAsia="Arial" w:hAnsi="Arial"/>
                <w:sz w:val="11"/>
                <w:szCs w:val="11"/>
                <w:color w:val="auto"/>
              </w:rPr>
              <w:t>Rate</w:t>
            </w:r>
          </w:p>
        </w:tc>
        <w:tc>
          <w:tcPr>
            <w:tcW w:w="520" w:type="dxa"/>
            <w:vAlign w:val="bottom"/>
          </w:tcPr>
          <w:p>
            <w:pPr>
              <w:ind w:left="100"/>
              <w:spacing w:after="0"/>
              <w:rPr>
                <w:sz w:val="20"/>
                <w:szCs w:val="20"/>
                <w:color w:val="auto"/>
              </w:rPr>
            </w:pPr>
            <w:r>
              <w:rPr>
                <w:rFonts w:ascii="Arial" w:cs="Arial" w:eastAsia="Arial" w:hAnsi="Arial"/>
                <w:sz w:val="11"/>
                <w:szCs w:val="11"/>
                <w:color w:val="auto"/>
              </w:rPr>
              <w:t>Rate</w:t>
            </w:r>
            <w:r>
              <w:rPr>
                <w:rFonts w:ascii="Arial" w:cs="Arial" w:eastAsia="Arial" w:hAnsi="Arial"/>
                <w:sz w:val="14"/>
                <w:szCs w:val="14"/>
                <w:color w:val="auto"/>
                <w:vertAlign w:val="superscript"/>
              </w:rPr>
              <w:t>(1)</w:t>
            </w:r>
          </w:p>
        </w:tc>
        <w:tc>
          <w:tcPr>
            <w:tcW w:w="840" w:type="dxa"/>
            <w:vAlign w:val="bottom"/>
          </w:tcPr>
          <w:p>
            <w:pPr>
              <w:jc w:val="center"/>
              <w:spacing w:after="0"/>
              <w:rPr>
                <w:sz w:val="20"/>
                <w:szCs w:val="20"/>
                <w:color w:val="auto"/>
              </w:rPr>
            </w:pPr>
            <w:r>
              <w:rPr>
                <w:rFonts w:ascii="Arial" w:cs="Arial" w:eastAsia="Arial" w:hAnsi="Arial"/>
                <w:sz w:val="11"/>
                <w:szCs w:val="11"/>
                <w:color w:val="auto"/>
                <w:w w:val="98"/>
              </w:rPr>
              <w:t>Date</w:t>
            </w:r>
            <w:r>
              <w:rPr>
                <w:rFonts w:ascii="Arial" w:cs="Arial" w:eastAsia="Arial" w:hAnsi="Arial"/>
                <w:sz w:val="14"/>
                <w:szCs w:val="14"/>
                <w:color w:val="auto"/>
                <w:w w:val="98"/>
                <w:vertAlign w:val="superscript"/>
              </w:rPr>
              <w:t>(2)</w:t>
            </w:r>
          </w:p>
        </w:tc>
        <w:tc>
          <w:tcPr>
            <w:tcW w:w="12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center"/>
              <w:ind w:right="104"/>
              <w:spacing w:after="0"/>
              <w:rPr>
                <w:sz w:val="20"/>
                <w:szCs w:val="20"/>
                <w:color w:val="auto"/>
              </w:rPr>
            </w:pPr>
            <w:r>
              <w:rPr>
                <w:rFonts w:ascii="Arial" w:cs="Arial" w:eastAsia="Arial" w:hAnsi="Arial"/>
                <w:sz w:val="10"/>
                <w:szCs w:val="10"/>
                <w:color w:val="auto"/>
                <w:w w:val="99"/>
              </w:rPr>
              <w:t>Premium</w:t>
            </w:r>
          </w:p>
        </w:tc>
        <w:tc>
          <w:tcPr>
            <w:tcW w:w="16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2520" w:type="dxa"/>
            <w:vAlign w:val="bottom"/>
          </w:tcPr>
          <w:p>
            <w:pPr>
              <w:spacing w:after="0"/>
              <w:rPr>
                <w:sz w:val="20"/>
                <w:szCs w:val="20"/>
                <w:color w:val="auto"/>
              </w:rPr>
            </w:pPr>
            <w:r>
              <w:rPr>
                <w:rFonts w:ascii="Arial" w:cs="Arial" w:eastAsia="Arial" w:hAnsi="Arial"/>
                <w:sz w:val="11"/>
                <w:szCs w:val="11"/>
                <w:color w:val="auto"/>
              </w:rPr>
              <w:t>Secured notes payable</w:t>
            </w:r>
          </w:p>
        </w:tc>
        <w:tc>
          <w:tcPr>
            <w:tcW w:w="9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2520" w:type="dxa"/>
            <w:vAlign w:val="bottom"/>
          </w:tcPr>
          <w:p>
            <w:pPr>
              <w:ind w:left="80"/>
              <w:spacing w:after="0"/>
              <w:rPr>
                <w:sz w:val="20"/>
                <w:szCs w:val="20"/>
                <w:color w:val="auto"/>
              </w:rPr>
            </w:pPr>
            <w:r>
              <w:rPr>
                <w:rFonts w:ascii="Arial" w:cs="Arial" w:eastAsia="Arial" w:hAnsi="Arial"/>
                <w:sz w:val="11"/>
                <w:szCs w:val="11"/>
                <w:color w:val="auto"/>
              </w:rPr>
              <w:t>Greater Boston</w:t>
            </w:r>
            <w:r>
              <w:rPr>
                <w:rFonts w:ascii="Arial" w:cs="Arial" w:eastAsia="Arial" w:hAnsi="Arial"/>
                <w:sz w:val="14"/>
                <w:szCs w:val="14"/>
                <w:color w:val="auto"/>
                <w:vertAlign w:val="superscript"/>
              </w:rPr>
              <w:t>(3)</w:t>
            </w:r>
          </w:p>
        </w:tc>
        <w:tc>
          <w:tcPr>
            <w:tcW w:w="920" w:type="dxa"/>
            <w:vAlign w:val="bottom"/>
          </w:tcPr>
          <w:p>
            <w:pPr>
              <w:jc w:val="right"/>
              <w:ind w:right="24"/>
              <w:spacing w:after="0"/>
              <w:rPr>
                <w:sz w:val="20"/>
                <w:szCs w:val="20"/>
                <w:color w:val="auto"/>
              </w:rPr>
            </w:pPr>
            <w:r>
              <w:rPr>
                <w:rFonts w:ascii="Arial" w:cs="Arial" w:eastAsia="Arial" w:hAnsi="Arial"/>
                <w:sz w:val="11"/>
                <w:szCs w:val="11"/>
                <w:color w:val="auto"/>
              </w:rPr>
              <w:t>SOFR+2.70%</w:t>
            </w:r>
          </w:p>
        </w:tc>
        <w:tc>
          <w:tcPr>
            <w:tcW w:w="520" w:type="dxa"/>
            <w:vAlign w:val="bottom"/>
          </w:tcPr>
          <w:p>
            <w:pPr>
              <w:ind w:left="140"/>
              <w:spacing w:after="0"/>
              <w:rPr>
                <w:sz w:val="20"/>
                <w:szCs w:val="20"/>
                <w:color w:val="auto"/>
              </w:rPr>
            </w:pPr>
            <w:r>
              <w:rPr>
                <w:rFonts w:ascii="Arial" w:cs="Arial" w:eastAsia="Arial" w:hAnsi="Arial"/>
                <w:sz w:val="11"/>
                <w:szCs w:val="11"/>
                <w:color w:val="auto"/>
              </w:rPr>
              <w:t>8.14%</w:t>
            </w:r>
          </w:p>
        </w:tc>
        <w:tc>
          <w:tcPr>
            <w:tcW w:w="840" w:type="dxa"/>
            <w:vAlign w:val="bottom"/>
          </w:tcPr>
          <w:p>
            <w:pPr>
              <w:jc w:val="right"/>
              <w:ind w:right="123"/>
              <w:spacing w:after="0"/>
              <w:rPr>
                <w:sz w:val="20"/>
                <w:szCs w:val="20"/>
                <w:color w:val="auto"/>
              </w:rPr>
            </w:pPr>
            <w:r>
              <w:rPr>
                <w:rFonts w:ascii="Arial" w:cs="Arial" w:eastAsia="Arial" w:hAnsi="Arial"/>
                <w:sz w:val="11"/>
                <w:szCs w:val="11"/>
                <w:color w:val="auto"/>
              </w:rPr>
              <w:t>11/19/26</w:t>
            </w: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  $</w:t>
            </w:r>
          </w:p>
        </w:tc>
        <w:tc>
          <w:tcPr>
            <w:tcW w:w="50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620" w:type="dxa"/>
            <w:vAlign w:val="bottom"/>
          </w:tcPr>
          <w:p>
            <w:pPr>
              <w:jc w:val="right"/>
              <w:ind w:right="3"/>
              <w:spacing w:after="0"/>
              <w:rPr>
                <w:sz w:val="20"/>
                <w:szCs w:val="20"/>
                <w:color w:val="auto"/>
              </w:rPr>
            </w:pPr>
            <w:r>
              <w:rPr>
                <w:rFonts w:ascii="Arial" w:cs="Arial" w:eastAsia="Arial" w:hAnsi="Arial"/>
                <w:sz w:val="11"/>
                <w:szCs w:val="11"/>
                <w:color w:val="auto"/>
              </w:rPr>
              <w:t>$ 134,648</w:t>
            </w: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  $</w:t>
            </w:r>
          </w:p>
        </w:tc>
        <w:tc>
          <w:tcPr>
            <w:tcW w:w="48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160" w:type="dxa"/>
            <w:vAlign w:val="bottom"/>
          </w:tcPr>
          <w:p>
            <w:pPr>
              <w:jc w:val="right"/>
              <w:spacing w:after="0"/>
              <w:rPr>
                <w:sz w:val="20"/>
                <w:szCs w:val="20"/>
                <w:color w:val="auto"/>
              </w:rPr>
            </w:pPr>
            <w:r>
              <w:rPr>
                <w:rFonts w:ascii="Arial" w:cs="Arial" w:eastAsia="Arial" w:hAnsi="Arial"/>
                <w:sz w:val="11"/>
                <w:szCs w:val="11"/>
                <w:color w:val="auto"/>
              </w:rPr>
              <w:t>$</w:t>
            </w:r>
          </w:p>
        </w:tc>
        <w:tc>
          <w:tcPr>
            <w:tcW w:w="60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   134,648</w:t>
            </w: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600" w:type="dxa"/>
            <w:vAlign w:val="bottom"/>
          </w:tcPr>
          <w:p>
            <w:pPr>
              <w:jc w:val="right"/>
              <w:ind w:right="4"/>
              <w:spacing w:after="0"/>
              <w:rPr>
                <w:sz w:val="20"/>
                <w:szCs w:val="20"/>
                <w:color w:val="auto"/>
              </w:rPr>
            </w:pPr>
            <w:r>
              <w:rPr>
                <w:rFonts w:ascii="Arial" w:cs="Arial" w:eastAsia="Arial" w:hAnsi="Arial"/>
                <w:sz w:val="11"/>
                <w:szCs w:val="11"/>
                <w:color w:val="auto"/>
              </w:rPr>
              <w:t>(325)</w:t>
            </w:r>
          </w:p>
        </w:tc>
        <w:tc>
          <w:tcPr>
            <w:tcW w:w="16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134,323</w:t>
            </w:r>
          </w:p>
        </w:tc>
        <w:tc>
          <w:tcPr>
            <w:tcW w:w="0" w:type="dxa"/>
            <w:vAlign w:val="bottom"/>
          </w:tcPr>
          <w:p>
            <w:pPr>
              <w:spacing w:after="0"/>
              <w:rPr>
                <w:sz w:val="1"/>
                <w:szCs w:val="1"/>
                <w:color w:val="auto"/>
              </w:rPr>
            </w:pPr>
          </w:p>
        </w:tc>
      </w:tr>
      <w:tr>
        <w:trPr>
          <w:trHeight w:val="150"/>
        </w:trPr>
        <w:tc>
          <w:tcPr>
            <w:tcW w:w="2520" w:type="dxa"/>
            <w:vAlign w:val="bottom"/>
          </w:tcPr>
          <w:p>
            <w:pPr>
              <w:ind w:left="80"/>
              <w:spacing w:after="0"/>
              <w:rPr>
                <w:sz w:val="20"/>
                <w:szCs w:val="20"/>
                <w:color w:val="auto"/>
              </w:rPr>
            </w:pPr>
            <w:r>
              <w:rPr>
                <w:rFonts w:ascii="Arial" w:cs="Arial" w:eastAsia="Arial" w:hAnsi="Arial"/>
                <w:sz w:val="11"/>
                <w:szCs w:val="11"/>
                <w:color w:val="auto"/>
              </w:rPr>
              <w:t>San Francisco Bay Area</w:t>
            </w:r>
          </w:p>
        </w:tc>
        <w:tc>
          <w:tcPr>
            <w:tcW w:w="920" w:type="dxa"/>
            <w:vAlign w:val="bottom"/>
          </w:tcPr>
          <w:p>
            <w:pPr>
              <w:jc w:val="right"/>
              <w:ind w:right="24"/>
              <w:spacing w:after="0"/>
              <w:rPr>
                <w:sz w:val="20"/>
                <w:szCs w:val="20"/>
                <w:color w:val="auto"/>
              </w:rPr>
            </w:pPr>
            <w:r>
              <w:rPr>
                <w:rFonts w:ascii="Arial" w:cs="Arial" w:eastAsia="Arial" w:hAnsi="Arial"/>
                <w:sz w:val="11"/>
                <w:szCs w:val="11"/>
                <w:color w:val="auto"/>
              </w:rPr>
              <w:t>6.50%</w:t>
            </w:r>
          </w:p>
        </w:tc>
        <w:tc>
          <w:tcPr>
            <w:tcW w:w="520" w:type="dxa"/>
            <w:vAlign w:val="bottom"/>
          </w:tcPr>
          <w:p>
            <w:pPr>
              <w:ind w:left="140"/>
              <w:spacing w:after="0"/>
              <w:rPr>
                <w:sz w:val="20"/>
                <w:szCs w:val="20"/>
                <w:color w:val="auto"/>
              </w:rPr>
            </w:pPr>
            <w:r>
              <w:rPr>
                <w:rFonts w:ascii="Arial" w:cs="Arial" w:eastAsia="Arial" w:hAnsi="Arial"/>
                <w:sz w:val="11"/>
                <w:szCs w:val="11"/>
                <w:color w:val="auto"/>
              </w:rPr>
              <w:t>6.50</w:t>
            </w:r>
          </w:p>
        </w:tc>
        <w:tc>
          <w:tcPr>
            <w:tcW w:w="840" w:type="dxa"/>
            <w:vAlign w:val="bottom"/>
          </w:tcPr>
          <w:p>
            <w:pPr>
              <w:jc w:val="right"/>
              <w:ind w:right="123"/>
              <w:spacing w:after="0"/>
              <w:rPr>
                <w:sz w:val="20"/>
                <w:szCs w:val="20"/>
                <w:color w:val="auto"/>
              </w:rPr>
            </w:pPr>
            <w:r>
              <w:rPr>
                <w:rFonts w:ascii="Arial" w:cs="Arial" w:eastAsia="Arial" w:hAnsi="Arial"/>
                <w:sz w:val="11"/>
                <w:szCs w:val="11"/>
                <w:color w:val="auto"/>
              </w:rPr>
              <w:t>7/1/36</w:t>
            </w:r>
          </w:p>
        </w:tc>
        <w:tc>
          <w:tcPr>
            <w:tcW w:w="120" w:type="dxa"/>
            <w:vAlign w:val="bottom"/>
          </w:tcPr>
          <w:p>
            <w:pPr>
              <w:spacing w:after="0"/>
              <w:rPr>
                <w:sz w:val="13"/>
                <w:szCs w:val="13"/>
                <w:color w:val="auto"/>
              </w:rPr>
            </w:pPr>
          </w:p>
        </w:tc>
        <w:tc>
          <w:tcPr>
            <w:tcW w:w="540" w:type="dxa"/>
            <w:vAlign w:val="bottom"/>
          </w:tcPr>
          <w:p>
            <w:pPr>
              <w:jc w:val="right"/>
              <w:ind w:right="143"/>
              <w:spacing w:after="0"/>
              <w:rPr>
                <w:sz w:val="20"/>
                <w:szCs w:val="20"/>
                <w:color w:val="auto"/>
              </w:rPr>
            </w:pPr>
            <w:r>
              <w:rPr>
                <w:rFonts w:ascii="Arial" w:cs="Arial" w:eastAsia="Arial" w:hAnsi="Arial"/>
                <w:sz w:val="11"/>
                <w:szCs w:val="11"/>
                <w:color w:val="auto"/>
              </w:rPr>
              <w:t>32</w:t>
            </w:r>
          </w:p>
        </w:tc>
        <w:tc>
          <w:tcPr>
            <w:tcW w:w="500" w:type="dxa"/>
            <w:vAlign w:val="bottom"/>
          </w:tcPr>
          <w:p>
            <w:pPr>
              <w:jc w:val="right"/>
              <w:ind w:right="23"/>
              <w:spacing w:after="0"/>
              <w:rPr>
                <w:sz w:val="20"/>
                <w:szCs w:val="20"/>
                <w:color w:val="auto"/>
              </w:rPr>
            </w:pPr>
            <w:r>
              <w:rPr>
                <w:rFonts w:ascii="Arial" w:cs="Arial" w:eastAsia="Arial" w:hAnsi="Arial"/>
                <w:sz w:val="11"/>
                <w:szCs w:val="11"/>
                <w:color w:val="auto"/>
              </w:rPr>
              <w:t>34</w:t>
            </w:r>
          </w:p>
        </w:tc>
        <w:tc>
          <w:tcPr>
            <w:tcW w:w="620" w:type="dxa"/>
            <w:vAlign w:val="bottom"/>
          </w:tcPr>
          <w:p>
            <w:pPr>
              <w:jc w:val="right"/>
              <w:ind w:right="3"/>
              <w:spacing w:after="0"/>
              <w:rPr>
                <w:sz w:val="20"/>
                <w:szCs w:val="20"/>
                <w:color w:val="auto"/>
              </w:rPr>
            </w:pPr>
            <w:r>
              <w:rPr>
                <w:rFonts w:ascii="Arial" w:cs="Arial" w:eastAsia="Arial" w:hAnsi="Arial"/>
                <w:sz w:val="11"/>
                <w:szCs w:val="11"/>
                <w:color w:val="auto"/>
              </w:rPr>
              <w:t>36</w:t>
            </w:r>
          </w:p>
        </w:tc>
        <w:tc>
          <w:tcPr>
            <w:tcW w:w="140" w:type="dxa"/>
            <w:vAlign w:val="bottom"/>
          </w:tcPr>
          <w:p>
            <w:pPr>
              <w:spacing w:after="0"/>
              <w:rPr>
                <w:sz w:val="13"/>
                <w:szCs w:val="13"/>
                <w:color w:val="auto"/>
              </w:rPr>
            </w:pPr>
          </w:p>
        </w:tc>
        <w:tc>
          <w:tcPr>
            <w:tcW w:w="620" w:type="dxa"/>
            <w:vAlign w:val="bottom"/>
          </w:tcPr>
          <w:p>
            <w:pPr>
              <w:jc w:val="right"/>
              <w:ind w:right="143"/>
              <w:spacing w:after="0"/>
              <w:rPr>
                <w:sz w:val="20"/>
                <w:szCs w:val="20"/>
                <w:color w:val="auto"/>
              </w:rPr>
            </w:pPr>
            <w:r>
              <w:rPr>
                <w:rFonts w:ascii="Arial" w:cs="Arial" w:eastAsia="Arial" w:hAnsi="Arial"/>
                <w:sz w:val="11"/>
                <w:szCs w:val="11"/>
                <w:color w:val="auto"/>
              </w:rPr>
              <w:t>38</w:t>
            </w:r>
          </w:p>
        </w:tc>
        <w:tc>
          <w:tcPr>
            <w:tcW w:w="480" w:type="dxa"/>
            <w:vAlign w:val="bottom"/>
          </w:tcPr>
          <w:p>
            <w:pPr>
              <w:jc w:val="right"/>
              <w:ind w:right="3"/>
              <w:spacing w:after="0"/>
              <w:rPr>
                <w:sz w:val="20"/>
                <w:szCs w:val="20"/>
                <w:color w:val="auto"/>
              </w:rPr>
            </w:pPr>
            <w:r>
              <w:rPr>
                <w:rFonts w:ascii="Arial" w:cs="Arial" w:eastAsia="Arial" w:hAnsi="Arial"/>
                <w:sz w:val="11"/>
                <w:szCs w:val="11"/>
                <w:color w:val="auto"/>
              </w:rPr>
              <w:t>41</w:t>
            </w:r>
          </w:p>
        </w:tc>
        <w:tc>
          <w:tcPr>
            <w:tcW w:w="160" w:type="dxa"/>
            <w:vAlign w:val="bottom"/>
          </w:tcPr>
          <w:p>
            <w:pPr>
              <w:spacing w:after="0"/>
              <w:rPr>
                <w:sz w:val="13"/>
                <w:szCs w:val="13"/>
                <w:color w:val="auto"/>
              </w:rPr>
            </w:pPr>
          </w:p>
        </w:tc>
        <w:tc>
          <w:tcPr>
            <w:tcW w:w="600" w:type="dxa"/>
            <w:vAlign w:val="bottom"/>
          </w:tcPr>
          <w:p>
            <w:pPr>
              <w:jc w:val="right"/>
              <w:ind w:right="3"/>
              <w:spacing w:after="0"/>
              <w:rPr>
                <w:sz w:val="20"/>
                <w:szCs w:val="20"/>
                <w:color w:val="auto"/>
              </w:rPr>
            </w:pPr>
            <w:r>
              <w:rPr>
                <w:rFonts w:ascii="Arial" w:cs="Arial" w:eastAsia="Arial" w:hAnsi="Arial"/>
                <w:sz w:val="11"/>
                <w:szCs w:val="11"/>
                <w:color w:val="auto"/>
              </w:rPr>
              <w:t>438</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619</w:t>
            </w:r>
          </w:p>
        </w:tc>
        <w:tc>
          <w:tcPr>
            <w:tcW w:w="120" w:type="dxa"/>
            <w:vAlign w:val="bottom"/>
          </w:tcPr>
          <w:p>
            <w:pPr>
              <w:spacing w:after="0"/>
              <w:rPr>
                <w:sz w:val="13"/>
                <w:szCs w:val="13"/>
                <w:color w:val="auto"/>
              </w:rPr>
            </w:pPr>
          </w:p>
        </w:tc>
        <w:tc>
          <w:tcPr>
            <w:tcW w:w="600" w:type="dxa"/>
            <w:vAlign w:val="bottom"/>
          </w:tcPr>
          <w:p>
            <w:pPr>
              <w:jc w:val="right"/>
              <w:ind w:right="44"/>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619</w:t>
            </w:r>
          </w:p>
        </w:tc>
        <w:tc>
          <w:tcPr>
            <w:tcW w:w="0" w:type="dxa"/>
            <w:vAlign w:val="bottom"/>
          </w:tcPr>
          <w:p>
            <w:pPr>
              <w:spacing w:after="0"/>
              <w:rPr>
                <w:sz w:val="1"/>
                <w:szCs w:val="1"/>
                <w:color w:val="auto"/>
              </w:rPr>
            </w:pPr>
          </w:p>
        </w:tc>
      </w:tr>
      <w:tr>
        <w:trPr>
          <w:trHeight w:val="147"/>
        </w:trPr>
        <w:tc>
          <w:tcPr>
            <w:tcW w:w="2520" w:type="dxa"/>
            <w:vAlign w:val="bottom"/>
          </w:tcPr>
          <w:p>
            <w:pPr>
              <w:spacing w:after="0"/>
              <w:rPr>
                <w:sz w:val="20"/>
                <w:szCs w:val="20"/>
                <w:color w:val="auto"/>
              </w:rPr>
            </w:pPr>
            <w:r>
              <w:rPr>
                <w:rFonts w:ascii="Arial" w:cs="Arial" w:eastAsia="Arial" w:hAnsi="Arial"/>
                <w:sz w:val="11"/>
                <w:szCs w:val="11"/>
                <w:color w:val="auto"/>
              </w:rPr>
              <w:t>Secured debt weighted-average interest rate/</w:t>
            </w:r>
          </w:p>
        </w:tc>
        <w:tc>
          <w:tcPr>
            <w:tcW w:w="920" w:type="dxa"/>
            <w:vAlign w:val="bottom"/>
          </w:tcPr>
          <w:p>
            <w:pPr>
              <w:spacing w:after="0"/>
              <w:rPr>
                <w:sz w:val="12"/>
                <w:szCs w:val="12"/>
                <w:color w:val="auto"/>
              </w:rPr>
            </w:pPr>
          </w:p>
        </w:tc>
        <w:tc>
          <w:tcPr>
            <w:tcW w:w="520" w:type="dxa"/>
            <w:vAlign w:val="bottom"/>
          </w:tcPr>
          <w:p>
            <w:pPr>
              <w:ind w:left="140"/>
              <w:spacing w:after="0"/>
              <w:rPr>
                <w:sz w:val="20"/>
                <w:szCs w:val="20"/>
                <w:color w:val="auto"/>
              </w:rPr>
            </w:pPr>
            <w:r>
              <w:rPr>
                <w:rFonts w:ascii="Arial" w:cs="Arial" w:eastAsia="Arial" w:hAnsi="Arial"/>
                <w:sz w:val="11"/>
                <w:szCs w:val="11"/>
                <w:color w:val="auto"/>
              </w:rPr>
              <w:t>8.13</w:t>
            </w: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ind w:right="143"/>
              <w:spacing w:after="0"/>
              <w:rPr>
                <w:sz w:val="20"/>
                <w:szCs w:val="20"/>
                <w:color w:val="auto"/>
              </w:rPr>
            </w:pPr>
            <w:r>
              <w:rPr>
                <w:rFonts w:ascii="Arial" w:cs="Arial" w:eastAsia="Arial" w:hAnsi="Arial"/>
                <w:sz w:val="11"/>
                <w:szCs w:val="11"/>
                <w:color w:val="auto"/>
              </w:rPr>
              <w:t>32</w:t>
            </w:r>
          </w:p>
        </w:tc>
        <w:tc>
          <w:tcPr>
            <w:tcW w:w="500" w:type="dxa"/>
            <w:vAlign w:val="bottom"/>
          </w:tcPr>
          <w:p>
            <w:pPr>
              <w:jc w:val="right"/>
              <w:ind w:right="23"/>
              <w:spacing w:after="0"/>
              <w:rPr>
                <w:sz w:val="20"/>
                <w:szCs w:val="20"/>
                <w:color w:val="auto"/>
              </w:rPr>
            </w:pPr>
            <w:r>
              <w:rPr>
                <w:rFonts w:ascii="Arial" w:cs="Arial" w:eastAsia="Arial" w:hAnsi="Arial"/>
                <w:sz w:val="11"/>
                <w:szCs w:val="11"/>
                <w:color w:val="auto"/>
              </w:rPr>
              <w:t>34</w:t>
            </w:r>
          </w:p>
        </w:tc>
        <w:tc>
          <w:tcPr>
            <w:tcW w:w="620" w:type="dxa"/>
            <w:vAlign w:val="bottom"/>
          </w:tcPr>
          <w:p>
            <w:pPr>
              <w:jc w:val="right"/>
              <w:ind w:right="3"/>
              <w:spacing w:after="0"/>
              <w:rPr>
                <w:sz w:val="20"/>
                <w:szCs w:val="20"/>
                <w:color w:val="auto"/>
              </w:rPr>
            </w:pPr>
            <w:r>
              <w:rPr>
                <w:rFonts w:ascii="Arial" w:cs="Arial" w:eastAsia="Arial" w:hAnsi="Arial"/>
                <w:sz w:val="11"/>
                <w:szCs w:val="11"/>
                <w:color w:val="auto"/>
              </w:rPr>
              <w:t>134,684</w:t>
            </w:r>
          </w:p>
        </w:tc>
        <w:tc>
          <w:tcPr>
            <w:tcW w:w="140" w:type="dxa"/>
            <w:vAlign w:val="bottom"/>
          </w:tcPr>
          <w:p>
            <w:pPr>
              <w:spacing w:after="0"/>
              <w:rPr>
                <w:sz w:val="12"/>
                <w:szCs w:val="12"/>
                <w:color w:val="auto"/>
              </w:rPr>
            </w:pPr>
          </w:p>
        </w:tc>
        <w:tc>
          <w:tcPr>
            <w:tcW w:w="620" w:type="dxa"/>
            <w:vAlign w:val="bottom"/>
          </w:tcPr>
          <w:p>
            <w:pPr>
              <w:jc w:val="right"/>
              <w:ind w:right="143"/>
              <w:spacing w:after="0"/>
              <w:rPr>
                <w:sz w:val="20"/>
                <w:szCs w:val="20"/>
                <w:color w:val="auto"/>
              </w:rPr>
            </w:pPr>
            <w:r>
              <w:rPr>
                <w:rFonts w:ascii="Arial" w:cs="Arial" w:eastAsia="Arial" w:hAnsi="Arial"/>
                <w:sz w:val="11"/>
                <w:szCs w:val="11"/>
                <w:color w:val="auto"/>
              </w:rPr>
              <w:t>38</w:t>
            </w:r>
          </w:p>
        </w:tc>
        <w:tc>
          <w:tcPr>
            <w:tcW w:w="480" w:type="dxa"/>
            <w:vAlign w:val="bottom"/>
          </w:tcPr>
          <w:p>
            <w:pPr>
              <w:jc w:val="right"/>
              <w:ind w:right="3"/>
              <w:spacing w:after="0"/>
              <w:rPr>
                <w:sz w:val="20"/>
                <w:szCs w:val="20"/>
                <w:color w:val="auto"/>
              </w:rPr>
            </w:pPr>
            <w:r>
              <w:rPr>
                <w:rFonts w:ascii="Arial" w:cs="Arial" w:eastAsia="Arial" w:hAnsi="Arial"/>
                <w:sz w:val="11"/>
                <w:szCs w:val="11"/>
                <w:color w:val="auto"/>
              </w:rPr>
              <w:t>41</w:t>
            </w:r>
          </w:p>
        </w:tc>
        <w:tc>
          <w:tcPr>
            <w:tcW w:w="160" w:type="dxa"/>
            <w:vAlign w:val="bottom"/>
          </w:tcPr>
          <w:p>
            <w:pPr>
              <w:spacing w:after="0"/>
              <w:rPr>
                <w:sz w:val="12"/>
                <w:szCs w:val="12"/>
                <w:color w:val="auto"/>
              </w:rPr>
            </w:pPr>
          </w:p>
        </w:tc>
        <w:tc>
          <w:tcPr>
            <w:tcW w:w="600" w:type="dxa"/>
            <w:vAlign w:val="bottom"/>
          </w:tcPr>
          <w:p>
            <w:pPr>
              <w:jc w:val="right"/>
              <w:ind w:right="3"/>
              <w:spacing w:after="0"/>
              <w:rPr>
                <w:sz w:val="20"/>
                <w:szCs w:val="20"/>
                <w:color w:val="auto"/>
              </w:rPr>
            </w:pPr>
            <w:r>
              <w:rPr>
                <w:rFonts w:ascii="Arial" w:cs="Arial" w:eastAsia="Arial" w:hAnsi="Arial"/>
                <w:sz w:val="11"/>
                <w:szCs w:val="11"/>
                <w:color w:val="auto"/>
              </w:rPr>
              <w:t>438</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135,267</w:t>
            </w:r>
          </w:p>
        </w:tc>
        <w:tc>
          <w:tcPr>
            <w:tcW w:w="120" w:type="dxa"/>
            <w:vAlign w:val="bottom"/>
          </w:tcPr>
          <w:p>
            <w:pPr>
              <w:spacing w:after="0"/>
              <w:rPr>
                <w:sz w:val="12"/>
                <w:szCs w:val="12"/>
                <w:color w:val="auto"/>
              </w:rPr>
            </w:pPr>
          </w:p>
        </w:tc>
        <w:tc>
          <w:tcPr>
            <w:tcW w:w="600" w:type="dxa"/>
            <w:vAlign w:val="bottom"/>
          </w:tcPr>
          <w:p>
            <w:pPr>
              <w:jc w:val="right"/>
              <w:ind w:right="4"/>
              <w:spacing w:after="0"/>
              <w:rPr>
                <w:sz w:val="20"/>
                <w:szCs w:val="20"/>
                <w:color w:val="auto"/>
              </w:rPr>
            </w:pPr>
            <w:r>
              <w:rPr>
                <w:rFonts w:ascii="Arial" w:cs="Arial" w:eastAsia="Arial" w:hAnsi="Arial"/>
                <w:sz w:val="11"/>
                <w:szCs w:val="11"/>
                <w:color w:val="auto"/>
              </w:rPr>
              <w:t>(325)</w:t>
            </w:r>
          </w:p>
        </w:tc>
        <w:tc>
          <w:tcPr>
            <w:tcW w:w="1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134,942</w:t>
            </w:r>
          </w:p>
        </w:tc>
        <w:tc>
          <w:tcPr>
            <w:tcW w:w="0" w:type="dxa"/>
            <w:vAlign w:val="bottom"/>
          </w:tcPr>
          <w:p>
            <w:pPr>
              <w:spacing w:after="0"/>
              <w:rPr>
                <w:sz w:val="1"/>
                <w:szCs w:val="1"/>
                <w:color w:val="auto"/>
              </w:rPr>
            </w:pPr>
          </w:p>
        </w:tc>
      </w:tr>
      <w:tr>
        <w:trPr>
          <w:trHeight w:val="150"/>
        </w:trPr>
        <w:tc>
          <w:tcPr>
            <w:tcW w:w="2520" w:type="dxa"/>
            <w:vAlign w:val="bottom"/>
          </w:tcPr>
          <w:p>
            <w:pPr>
              <w:ind w:left="120"/>
              <w:spacing w:after="0"/>
              <w:rPr>
                <w:sz w:val="20"/>
                <w:szCs w:val="20"/>
                <w:color w:val="auto"/>
              </w:rPr>
            </w:pPr>
            <w:r>
              <w:rPr>
                <w:rFonts w:ascii="Arial" w:cs="Arial" w:eastAsia="Arial" w:hAnsi="Arial"/>
                <w:sz w:val="11"/>
                <w:szCs w:val="11"/>
                <w:color w:val="auto"/>
              </w:rPr>
              <w:t>subtotal</w:t>
            </w:r>
          </w:p>
        </w:tc>
        <w:tc>
          <w:tcPr>
            <w:tcW w:w="9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520" w:type="dxa"/>
            <w:vAlign w:val="bottom"/>
          </w:tcPr>
          <w:p>
            <w:pPr>
              <w:spacing w:after="0"/>
              <w:rPr>
                <w:sz w:val="20"/>
                <w:szCs w:val="20"/>
                <w:color w:val="auto"/>
              </w:rPr>
            </w:pPr>
            <w:r>
              <w:rPr>
                <w:rFonts w:ascii="Arial" w:cs="Arial" w:eastAsia="Arial" w:hAnsi="Arial"/>
                <w:sz w:val="11"/>
                <w:szCs w:val="11"/>
                <w:color w:val="auto"/>
              </w:rPr>
              <w:t>Unsecured senior line of credit and commercial</w:t>
            </w:r>
          </w:p>
        </w:tc>
        <w:tc>
          <w:tcPr>
            <w:tcW w:w="920" w:type="dxa"/>
            <w:vAlign w:val="bottom"/>
          </w:tcPr>
          <w:p>
            <w:pPr>
              <w:jc w:val="right"/>
              <w:ind w:right="164"/>
              <w:spacing w:after="0"/>
              <w:rPr>
                <w:sz w:val="20"/>
                <w:szCs w:val="20"/>
                <w:color w:val="auto"/>
              </w:rPr>
            </w:pPr>
            <w:r>
              <w:rPr>
                <w:rFonts w:ascii="Arial" w:cs="Arial" w:eastAsia="Arial" w:hAnsi="Arial"/>
                <w:sz w:val="7"/>
                <w:szCs w:val="7"/>
                <w:color w:val="auto"/>
              </w:rPr>
              <w:t>(4)</w:t>
            </w:r>
          </w:p>
        </w:tc>
        <w:tc>
          <w:tcPr>
            <w:tcW w:w="520" w:type="dxa"/>
            <w:vAlign w:val="bottom"/>
          </w:tcPr>
          <w:p>
            <w:pPr>
              <w:ind w:left="140"/>
              <w:spacing w:after="0"/>
              <w:rPr>
                <w:sz w:val="20"/>
                <w:szCs w:val="20"/>
                <w:color w:val="auto"/>
              </w:rPr>
            </w:pPr>
            <w:r>
              <w:rPr>
                <w:rFonts w:ascii="Arial" w:cs="Arial" w:eastAsia="Arial" w:hAnsi="Arial"/>
                <w:sz w:val="11"/>
                <w:szCs w:val="11"/>
                <w:color w:val="auto"/>
              </w:rPr>
              <w:t>5.57</w:t>
            </w:r>
          </w:p>
        </w:tc>
        <w:tc>
          <w:tcPr>
            <w:tcW w:w="840" w:type="dxa"/>
            <w:vAlign w:val="bottom"/>
          </w:tcPr>
          <w:p>
            <w:pPr>
              <w:jc w:val="center"/>
              <w:spacing w:after="0"/>
              <w:rPr>
                <w:sz w:val="20"/>
                <w:szCs w:val="20"/>
                <w:color w:val="auto"/>
              </w:rPr>
            </w:pPr>
            <w:r>
              <w:rPr>
                <w:rFonts w:ascii="Arial" w:cs="Arial" w:eastAsia="Arial" w:hAnsi="Arial"/>
                <w:sz w:val="13"/>
                <w:szCs w:val="13"/>
                <w:color w:val="auto"/>
                <w:vertAlign w:val="superscript"/>
              </w:rPr>
              <w:t>(4)</w:t>
            </w:r>
            <w:r>
              <w:rPr>
                <w:rFonts w:ascii="Arial" w:cs="Arial" w:eastAsia="Arial" w:hAnsi="Arial"/>
                <w:sz w:val="11"/>
                <w:szCs w:val="11"/>
                <w:color w:val="auto"/>
              </w:rPr>
              <w:t xml:space="preserve">    1/22/28 </w:t>
            </w:r>
            <w:r>
              <w:rPr>
                <w:rFonts w:ascii="Arial" w:cs="Arial" w:eastAsia="Arial" w:hAnsi="Arial"/>
                <w:sz w:val="13"/>
                <w:szCs w:val="13"/>
                <w:color w:val="auto"/>
                <w:vertAlign w:val="superscript"/>
              </w:rPr>
              <w:t>(4)</w:t>
            </w:r>
          </w:p>
        </w:tc>
        <w:tc>
          <w:tcPr>
            <w:tcW w:w="120" w:type="dxa"/>
            <w:vAlign w:val="bottom"/>
          </w:tcPr>
          <w:p>
            <w:pPr>
              <w:spacing w:after="0"/>
              <w:rPr>
                <w:sz w:val="23"/>
                <w:szCs w:val="23"/>
                <w:color w:val="auto"/>
              </w:rPr>
            </w:pPr>
          </w:p>
        </w:tc>
        <w:tc>
          <w:tcPr>
            <w:tcW w:w="540" w:type="dxa"/>
            <w:vAlign w:val="bottom"/>
          </w:tcPr>
          <w:p>
            <w:pPr>
              <w:jc w:val="right"/>
              <w:ind w:right="143"/>
              <w:spacing w:after="0"/>
              <w:rPr>
                <w:sz w:val="20"/>
                <w:szCs w:val="20"/>
                <w:color w:val="auto"/>
              </w:rPr>
            </w:pPr>
            <w:r>
              <w:rPr>
                <w:rFonts w:ascii="Arial" w:cs="Arial" w:eastAsia="Arial" w:hAnsi="Arial"/>
                <w:sz w:val="11"/>
                <w:szCs w:val="11"/>
                <w:color w:val="auto"/>
              </w:rPr>
              <w:t>—</w:t>
            </w:r>
          </w:p>
        </w:tc>
        <w:tc>
          <w:tcPr>
            <w:tcW w:w="50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62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620" w:type="dxa"/>
            <w:vAlign w:val="bottom"/>
          </w:tcPr>
          <w:p>
            <w:pPr>
              <w:jc w:val="right"/>
              <w:ind w:right="143"/>
              <w:spacing w:after="0"/>
              <w:rPr>
                <w:sz w:val="20"/>
                <w:szCs w:val="20"/>
                <w:color w:val="auto"/>
              </w:rPr>
            </w:pPr>
            <w:r>
              <w:rPr>
                <w:rFonts w:ascii="Arial" w:cs="Arial" w:eastAsia="Arial" w:hAnsi="Arial"/>
                <w:sz w:val="11"/>
                <w:szCs w:val="11"/>
                <w:color w:val="auto"/>
              </w:rPr>
              <w:t>—</w:t>
            </w:r>
          </w:p>
        </w:tc>
        <w:tc>
          <w:tcPr>
            <w:tcW w:w="480" w:type="dxa"/>
            <w:vAlign w:val="bottom"/>
          </w:tcPr>
          <w:p>
            <w:pPr>
              <w:jc w:val="right"/>
              <w:ind w:right="3"/>
              <w:spacing w:after="0"/>
              <w:rPr>
                <w:sz w:val="20"/>
                <w:szCs w:val="20"/>
                <w:color w:val="auto"/>
              </w:rPr>
            </w:pPr>
            <w:r>
              <w:rPr>
                <w:rFonts w:ascii="Arial" w:cs="Arial" w:eastAsia="Arial" w:hAnsi="Arial"/>
                <w:sz w:val="11"/>
                <w:szCs w:val="11"/>
                <w:color w:val="auto"/>
              </w:rPr>
              <w:t>200,000</w:t>
            </w:r>
          </w:p>
        </w:tc>
        <w:tc>
          <w:tcPr>
            <w:tcW w:w="160" w:type="dxa"/>
            <w:vAlign w:val="bottom"/>
          </w:tcPr>
          <w:p>
            <w:pPr>
              <w:spacing w:after="0"/>
              <w:rPr>
                <w:sz w:val="23"/>
                <w:szCs w:val="23"/>
                <w:color w:val="auto"/>
              </w:rPr>
            </w:pPr>
          </w:p>
        </w:tc>
        <w:tc>
          <w:tcPr>
            <w:tcW w:w="60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200,000</w:t>
            </w:r>
          </w:p>
        </w:tc>
        <w:tc>
          <w:tcPr>
            <w:tcW w:w="120" w:type="dxa"/>
            <w:vAlign w:val="bottom"/>
          </w:tcPr>
          <w:p>
            <w:pPr>
              <w:spacing w:after="0"/>
              <w:rPr>
                <w:sz w:val="23"/>
                <w:szCs w:val="23"/>
                <w:color w:val="auto"/>
              </w:rPr>
            </w:pPr>
          </w:p>
        </w:tc>
        <w:tc>
          <w:tcPr>
            <w:tcW w:w="600" w:type="dxa"/>
            <w:vAlign w:val="bottom"/>
          </w:tcPr>
          <w:p>
            <w:pPr>
              <w:jc w:val="right"/>
              <w:ind w:right="4"/>
              <w:spacing w:after="0"/>
              <w:rPr>
                <w:sz w:val="20"/>
                <w:szCs w:val="20"/>
                <w:color w:val="auto"/>
              </w:rPr>
            </w:pPr>
            <w:r>
              <w:rPr>
                <w:rFonts w:ascii="Arial" w:cs="Arial" w:eastAsia="Arial" w:hAnsi="Arial"/>
                <w:sz w:val="11"/>
                <w:szCs w:val="11"/>
                <w:color w:val="auto"/>
              </w:rPr>
              <w:t>(448)</w:t>
            </w:r>
          </w:p>
        </w:tc>
        <w:tc>
          <w:tcPr>
            <w:tcW w:w="16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199,552</w:t>
            </w:r>
          </w:p>
        </w:tc>
        <w:tc>
          <w:tcPr>
            <w:tcW w:w="0" w:type="dxa"/>
            <w:vAlign w:val="bottom"/>
          </w:tcPr>
          <w:p>
            <w:pPr>
              <w:spacing w:after="0"/>
              <w:rPr>
                <w:sz w:val="1"/>
                <w:szCs w:val="1"/>
                <w:color w:val="auto"/>
              </w:rPr>
            </w:pPr>
          </w:p>
        </w:tc>
      </w:tr>
      <w:tr>
        <w:trPr>
          <w:trHeight w:val="166"/>
        </w:trPr>
        <w:tc>
          <w:tcPr>
            <w:tcW w:w="2520" w:type="dxa"/>
            <w:vAlign w:val="bottom"/>
          </w:tcPr>
          <w:p>
            <w:pPr>
              <w:ind w:left="120"/>
              <w:spacing w:after="0"/>
              <w:rPr>
                <w:sz w:val="20"/>
                <w:szCs w:val="20"/>
                <w:color w:val="auto"/>
              </w:rPr>
            </w:pPr>
            <w:r>
              <w:rPr>
                <w:rFonts w:ascii="Arial" w:cs="Arial" w:eastAsia="Arial" w:hAnsi="Arial"/>
                <w:sz w:val="11"/>
                <w:szCs w:val="11"/>
                <w:color w:val="auto"/>
              </w:rPr>
              <w:t>paper program</w:t>
            </w:r>
            <w:r>
              <w:rPr>
                <w:rFonts w:ascii="Arial" w:cs="Arial" w:eastAsia="Arial" w:hAnsi="Arial"/>
                <w:sz w:val="14"/>
                <w:szCs w:val="14"/>
                <w:color w:val="auto"/>
                <w:vertAlign w:val="superscript"/>
              </w:rPr>
              <w:t>(4)</w:t>
            </w:r>
          </w:p>
        </w:tc>
        <w:tc>
          <w:tcPr>
            <w:tcW w:w="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2520" w:type="dxa"/>
            <w:vAlign w:val="bottom"/>
          </w:tcPr>
          <w:p>
            <w:pPr>
              <w:spacing w:after="0"/>
              <w:rPr>
                <w:sz w:val="20"/>
                <w:szCs w:val="20"/>
                <w:color w:val="auto"/>
              </w:rPr>
            </w:pPr>
            <w:r>
              <w:rPr>
                <w:rFonts w:ascii="Arial" w:cs="Arial" w:eastAsia="Arial" w:hAnsi="Arial"/>
                <w:sz w:val="11"/>
                <w:szCs w:val="11"/>
                <w:color w:val="auto"/>
              </w:rPr>
              <w:t>Unsecured senior notes payable</w:t>
            </w:r>
          </w:p>
        </w:tc>
        <w:tc>
          <w:tcPr>
            <w:tcW w:w="920" w:type="dxa"/>
            <w:vAlign w:val="bottom"/>
          </w:tcPr>
          <w:p>
            <w:pPr>
              <w:jc w:val="right"/>
              <w:ind w:right="24"/>
              <w:spacing w:after="0"/>
              <w:rPr>
                <w:sz w:val="20"/>
                <w:szCs w:val="20"/>
                <w:color w:val="auto"/>
              </w:rPr>
            </w:pPr>
            <w:r>
              <w:rPr>
                <w:rFonts w:ascii="Arial" w:cs="Arial" w:eastAsia="Arial" w:hAnsi="Arial"/>
                <w:sz w:val="11"/>
                <w:szCs w:val="11"/>
                <w:color w:val="auto"/>
              </w:rPr>
              <w:t>3.45%</w:t>
            </w:r>
          </w:p>
        </w:tc>
        <w:tc>
          <w:tcPr>
            <w:tcW w:w="520" w:type="dxa"/>
            <w:vAlign w:val="bottom"/>
          </w:tcPr>
          <w:p>
            <w:pPr>
              <w:ind w:left="140"/>
              <w:spacing w:after="0"/>
              <w:rPr>
                <w:sz w:val="20"/>
                <w:szCs w:val="20"/>
                <w:color w:val="auto"/>
              </w:rPr>
            </w:pPr>
            <w:r>
              <w:rPr>
                <w:rFonts w:ascii="Arial" w:cs="Arial" w:eastAsia="Arial" w:hAnsi="Arial"/>
                <w:sz w:val="11"/>
                <w:szCs w:val="11"/>
                <w:color w:val="auto"/>
              </w:rPr>
              <w:t>3.62</w:t>
            </w:r>
          </w:p>
        </w:tc>
        <w:tc>
          <w:tcPr>
            <w:tcW w:w="840" w:type="dxa"/>
            <w:vAlign w:val="bottom"/>
          </w:tcPr>
          <w:p>
            <w:pPr>
              <w:jc w:val="right"/>
              <w:ind w:right="123"/>
              <w:spacing w:after="0"/>
              <w:rPr>
                <w:sz w:val="20"/>
                <w:szCs w:val="20"/>
                <w:color w:val="auto"/>
              </w:rPr>
            </w:pPr>
            <w:r>
              <w:rPr>
                <w:rFonts w:ascii="Arial" w:cs="Arial" w:eastAsia="Arial" w:hAnsi="Arial"/>
                <w:sz w:val="11"/>
                <w:szCs w:val="11"/>
                <w:color w:val="auto"/>
              </w:rPr>
              <w:t>4/30/25</w:t>
            </w:r>
          </w:p>
        </w:tc>
        <w:tc>
          <w:tcPr>
            <w:tcW w:w="120" w:type="dxa"/>
            <w:vAlign w:val="bottom"/>
          </w:tcPr>
          <w:p>
            <w:pPr>
              <w:spacing w:after="0"/>
              <w:rPr>
                <w:sz w:val="13"/>
                <w:szCs w:val="13"/>
                <w:color w:val="auto"/>
              </w:rPr>
            </w:pPr>
          </w:p>
        </w:tc>
        <w:tc>
          <w:tcPr>
            <w:tcW w:w="540" w:type="dxa"/>
            <w:vAlign w:val="bottom"/>
          </w:tcPr>
          <w:p>
            <w:pPr>
              <w:jc w:val="right"/>
              <w:ind w:right="143"/>
              <w:spacing w:after="0"/>
              <w:rPr>
                <w:sz w:val="20"/>
                <w:szCs w:val="20"/>
                <w:color w:val="auto"/>
              </w:rPr>
            </w:pPr>
            <w:r>
              <w:rPr>
                <w:rFonts w:ascii="Arial" w:cs="Arial" w:eastAsia="Arial" w:hAnsi="Arial"/>
                <w:sz w:val="11"/>
                <w:szCs w:val="11"/>
                <w:color w:val="auto"/>
              </w:rPr>
              <w:t>—</w:t>
            </w:r>
          </w:p>
        </w:tc>
        <w:tc>
          <w:tcPr>
            <w:tcW w:w="500" w:type="dxa"/>
            <w:vAlign w:val="bottom"/>
          </w:tcPr>
          <w:p>
            <w:pPr>
              <w:jc w:val="right"/>
              <w:ind w:right="23"/>
              <w:spacing w:after="0"/>
              <w:rPr>
                <w:sz w:val="20"/>
                <w:szCs w:val="20"/>
                <w:color w:val="auto"/>
              </w:rPr>
            </w:pPr>
            <w:r>
              <w:rPr>
                <w:rFonts w:ascii="Arial" w:cs="Arial" w:eastAsia="Arial" w:hAnsi="Arial"/>
                <w:sz w:val="11"/>
                <w:szCs w:val="11"/>
                <w:color w:val="auto"/>
              </w:rPr>
              <w:t>600,000</w:t>
            </w:r>
          </w:p>
        </w:tc>
        <w:tc>
          <w:tcPr>
            <w:tcW w:w="62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620" w:type="dxa"/>
            <w:vAlign w:val="bottom"/>
          </w:tcPr>
          <w:p>
            <w:pPr>
              <w:jc w:val="right"/>
              <w:ind w:right="143"/>
              <w:spacing w:after="0"/>
              <w:rPr>
                <w:sz w:val="20"/>
                <w:szCs w:val="20"/>
                <w:color w:val="auto"/>
              </w:rPr>
            </w:pPr>
            <w:r>
              <w:rPr>
                <w:rFonts w:ascii="Arial" w:cs="Arial" w:eastAsia="Arial" w:hAnsi="Arial"/>
                <w:sz w:val="11"/>
                <w:szCs w:val="11"/>
                <w:color w:val="auto"/>
              </w:rPr>
              <w:t>—</w:t>
            </w:r>
          </w:p>
        </w:tc>
        <w:tc>
          <w:tcPr>
            <w:tcW w:w="48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60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600,000</w:t>
            </w:r>
          </w:p>
        </w:tc>
        <w:tc>
          <w:tcPr>
            <w:tcW w:w="120" w:type="dxa"/>
            <w:vAlign w:val="bottom"/>
          </w:tcPr>
          <w:p>
            <w:pPr>
              <w:spacing w:after="0"/>
              <w:rPr>
                <w:sz w:val="13"/>
                <w:szCs w:val="13"/>
                <w:color w:val="auto"/>
              </w:rPr>
            </w:pPr>
          </w:p>
        </w:tc>
        <w:tc>
          <w:tcPr>
            <w:tcW w:w="600" w:type="dxa"/>
            <w:vAlign w:val="bottom"/>
          </w:tcPr>
          <w:p>
            <w:pPr>
              <w:jc w:val="right"/>
              <w:ind w:right="4"/>
              <w:spacing w:after="0"/>
              <w:rPr>
                <w:sz w:val="20"/>
                <w:szCs w:val="20"/>
                <w:color w:val="auto"/>
              </w:rPr>
            </w:pPr>
            <w:r>
              <w:rPr>
                <w:rFonts w:ascii="Arial" w:cs="Arial" w:eastAsia="Arial" w:hAnsi="Arial"/>
                <w:sz w:val="11"/>
                <w:szCs w:val="11"/>
                <w:color w:val="auto"/>
              </w:rPr>
              <w:t>(739)</w:t>
            </w:r>
          </w:p>
        </w:tc>
        <w:tc>
          <w:tcPr>
            <w:tcW w:w="1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599,261</w:t>
            </w:r>
          </w:p>
        </w:tc>
        <w:tc>
          <w:tcPr>
            <w:tcW w:w="0" w:type="dxa"/>
            <w:vAlign w:val="bottom"/>
          </w:tcPr>
          <w:p>
            <w:pPr>
              <w:spacing w:after="0"/>
              <w:rPr>
                <w:sz w:val="1"/>
                <w:szCs w:val="1"/>
                <w:color w:val="auto"/>
              </w:rPr>
            </w:pPr>
          </w:p>
        </w:tc>
      </w:tr>
      <w:tr>
        <w:trPr>
          <w:trHeight w:val="172"/>
        </w:trPr>
        <w:tc>
          <w:tcPr>
            <w:tcW w:w="2520" w:type="dxa"/>
            <w:vAlign w:val="bottom"/>
          </w:tcPr>
          <w:p>
            <w:pPr>
              <w:spacing w:after="0"/>
              <w:rPr>
                <w:sz w:val="20"/>
                <w:szCs w:val="20"/>
                <w:color w:val="auto"/>
              </w:rPr>
            </w:pPr>
            <w:r>
              <w:rPr>
                <w:rFonts w:ascii="Arial" w:cs="Arial" w:eastAsia="Arial" w:hAnsi="Arial"/>
                <w:sz w:val="11"/>
                <w:szCs w:val="11"/>
                <w:color w:val="auto"/>
              </w:rPr>
              <w:t>Unsecured senior notes payable</w:t>
            </w:r>
          </w:p>
        </w:tc>
        <w:tc>
          <w:tcPr>
            <w:tcW w:w="920" w:type="dxa"/>
            <w:vAlign w:val="bottom"/>
          </w:tcPr>
          <w:p>
            <w:pPr>
              <w:jc w:val="right"/>
              <w:ind w:right="24"/>
              <w:spacing w:after="0"/>
              <w:rPr>
                <w:sz w:val="20"/>
                <w:szCs w:val="20"/>
                <w:color w:val="auto"/>
              </w:rPr>
            </w:pPr>
            <w:r>
              <w:rPr>
                <w:rFonts w:ascii="Arial" w:cs="Arial" w:eastAsia="Arial" w:hAnsi="Arial"/>
                <w:sz w:val="11"/>
                <w:szCs w:val="11"/>
                <w:color w:val="auto"/>
              </w:rPr>
              <w:t>4.30%</w:t>
            </w:r>
          </w:p>
        </w:tc>
        <w:tc>
          <w:tcPr>
            <w:tcW w:w="520" w:type="dxa"/>
            <w:vAlign w:val="bottom"/>
          </w:tcPr>
          <w:p>
            <w:pPr>
              <w:ind w:left="140"/>
              <w:spacing w:after="0"/>
              <w:rPr>
                <w:sz w:val="20"/>
                <w:szCs w:val="20"/>
                <w:color w:val="auto"/>
              </w:rPr>
            </w:pPr>
            <w:r>
              <w:rPr>
                <w:rFonts w:ascii="Arial" w:cs="Arial" w:eastAsia="Arial" w:hAnsi="Arial"/>
                <w:sz w:val="11"/>
                <w:szCs w:val="11"/>
                <w:color w:val="auto"/>
              </w:rPr>
              <w:t>4.50</w:t>
            </w:r>
          </w:p>
        </w:tc>
        <w:tc>
          <w:tcPr>
            <w:tcW w:w="840" w:type="dxa"/>
            <w:vAlign w:val="bottom"/>
          </w:tcPr>
          <w:p>
            <w:pPr>
              <w:jc w:val="right"/>
              <w:ind w:right="123"/>
              <w:spacing w:after="0"/>
              <w:rPr>
                <w:sz w:val="20"/>
                <w:szCs w:val="20"/>
                <w:color w:val="auto"/>
              </w:rPr>
            </w:pPr>
            <w:r>
              <w:rPr>
                <w:rFonts w:ascii="Arial" w:cs="Arial" w:eastAsia="Arial" w:hAnsi="Arial"/>
                <w:sz w:val="11"/>
                <w:szCs w:val="11"/>
                <w:color w:val="auto"/>
              </w:rPr>
              <w:t>1/15/26</w:t>
            </w:r>
          </w:p>
        </w:tc>
        <w:tc>
          <w:tcPr>
            <w:tcW w:w="120" w:type="dxa"/>
            <w:vAlign w:val="bottom"/>
          </w:tcPr>
          <w:p>
            <w:pPr>
              <w:spacing w:after="0"/>
              <w:rPr>
                <w:sz w:val="14"/>
                <w:szCs w:val="14"/>
                <w:color w:val="auto"/>
              </w:rPr>
            </w:pPr>
          </w:p>
        </w:tc>
        <w:tc>
          <w:tcPr>
            <w:tcW w:w="540" w:type="dxa"/>
            <w:vAlign w:val="bottom"/>
          </w:tcPr>
          <w:p>
            <w:pPr>
              <w:jc w:val="right"/>
              <w:ind w:right="143"/>
              <w:spacing w:after="0"/>
              <w:rPr>
                <w:sz w:val="20"/>
                <w:szCs w:val="20"/>
                <w:color w:val="auto"/>
              </w:rPr>
            </w:pPr>
            <w:r>
              <w:rPr>
                <w:rFonts w:ascii="Arial" w:cs="Arial" w:eastAsia="Arial" w:hAnsi="Arial"/>
                <w:sz w:val="11"/>
                <w:szCs w:val="11"/>
                <w:color w:val="auto"/>
              </w:rPr>
              <w:t>—</w:t>
            </w:r>
          </w:p>
        </w:tc>
        <w:tc>
          <w:tcPr>
            <w:tcW w:w="50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620" w:type="dxa"/>
            <w:vAlign w:val="bottom"/>
          </w:tcPr>
          <w:p>
            <w:pPr>
              <w:jc w:val="right"/>
              <w:ind w:right="3"/>
              <w:spacing w:after="0"/>
              <w:rPr>
                <w:sz w:val="20"/>
                <w:szCs w:val="20"/>
                <w:color w:val="auto"/>
              </w:rPr>
            </w:pPr>
            <w:r>
              <w:rPr>
                <w:rFonts w:ascii="Arial" w:cs="Arial" w:eastAsia="Arial" w:hAnsi="Arial"/>
                <w:sz w:val="11"/>
                <w:szCs w:val="11"/>
                <w:color w:val="auto"/>
              </w:rPr>
              <w:t>300,000</w:t>
            </w:r>
          </w:p>
        </w:tc>
        <w:tc>
          <w:tcPr>
            <w:tcW w:w="140" w:type="dxa"/>
            <w:vAlign w:val="bottom"/>
          </w:tcPr>
          <w:p>
            <w:pPr>
              <w:spacing w:after="0"/>
              <w:rPr>
                <w:sz w:val="14"/>
                <w:szCs w:val="14"/>
                <w:color w:val="auto"/>
              </w:rPr>
            </w:pPr>
          </w:p>
        </w:tc>
        <w:tc>
          <w:tcPr>
            <w:tcW w:w="620" w:type="dxa"/>
            <w:vAlign w:val="bottom"/>
          </w:tcPr>
          <w:p>
            <w:pPr>
              <w:jc w:val="right"/>
              <w:ind w:right="143"/>
              <w:spacing w:after="0"/>
              <w:rPr>
                <w:sz w:val="20"/>
                <w:szCs w:val="20"/>
                <w:color w:val="auto"/>
              </w:rPr>
            </w:pPr>
            <w:r>
              <w:rPr>
                <w:rFonts w:ascii="Arial" w:cs="Arial" w:eastAsia="Arial" w:hAnsi="Arial"/>
                <w:sz w:val="11"/>
                <w:szCs w:val="11"/>
                <w:color w:val="auto"/>
              </w:rPr>
              <w:t>—</w:t>
            </w:r>
          </w:p>
        </w:tc>
        <w:tc>
          <w:tcPr>
            <w:tcW w:w="48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60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300,000</w:t>
            </w:r>
          </w:p>
        </w:tc>
        <w:tc>
          <w:tcPr>
            <w:tcW w:w="120" w:type="dxa"/>
            <w:vAlign w:val="bottom"/>
          </w:tcPr>
          <w:p>
            <w:pPr>
              <w:spacing w:after="0"/>
              <w:rPr>
                <w:sz w:val="14"/>
                <w:szCs w:val="14"/>
                <w:color w:val="auto"/>
              </w:rPr>
            </w:pPr>
          </w:p>
        </w:tc>
        <w:tc>
          <w:tcPr>
            <w:tcW w:w="600" w:type="dxa"/>
            <w:vAlign w:val="bottom"/>
          </w:tcPr>
          <w:p>
            <w:pPr>
              <w:jc w:val="right"/>
              <w:ind w:right="4"/>
              <w:spacing w:after="0"/>
              <w:rPr>
                <w:sz w:val="20"/>
                <w:szCs w:val="20"/>
                <w:color w:val="auto"/>
              </w:rPr>
            </w:pPr>
            <w:r>
              <w:rPr>
                <w:rFonts w:ascii="Arial" w:cs="Arial" w:eastAsia="Arial" w:hAnsi="Arial"/>
                <w:sz w:val="11"/>
                <w:szCs w:val="11"/>
                <w:color w:val="auto"/>
              </w:rPr>
              <w:t>(778)</w:t>
            </w:r>
          </w:p>
        </w:tc>
        <w:tc>
          <w:tcPr>
            <w:tcW w:w="1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299,222</w:t>
            </w:r>
          </w:p>
        </w:tc>
        <w:tc>
          <w:tcPr>
            <w:tcW w:w="0" w:type="dxa"/>
            <w:vAlign w:val="bottom"/>
          </w:tcPr>
          <w:p>
            <w:pPr>
              <w:spacing w:after="0"/>
              <w:rPr>
                <w:sz w:val="1"/>
                <w:szCs w:val="1"/>
                <w:color w:val="auto"/>
              </w:rPr>
            </w:pPr>
          </w:p>
        </w:tc>
      </w:tr>
      <w:tr>
        <w:trPr>
          <w:trHeight w:val="172"/>
        </w:trPr>
        <w:tc>
          <w:tcPr>
            <w:tcW w:w="2520" w:type="dxa"/>
            <w:vAlign w:val="bottom"/>
          </w:tcPr>
          <w:p>
            <w:pPr>
              <w:spacing w:after="0"/>
              <w:rPr>
                <w:sz w:val="20"/>
                <w:szCs w:val="20"/>
                <w:color w:val="auto"/>
              </w:rPr>
            </w:pPr>
            <w:r>
              <w:rPr>
                <w:rFonts w:ascii="Arial" w:cs="Arial" w:eastAsia="Arial" w:hAnsi="Arial"/>
                <w:sz w:val="11"/>
                <w:szCs w:val="11"/>
                <w:color w:val="auto"/>
              </w:rPr>
              <w:t>Unsecured senior notes payable</w:t>
            </w:r>
          </w:p>
        </w:tc>
        <w:tc>
          <w:tcPr>
            <w:tcW w:w="920" w:type="dxa"/>
            <w:vAlign w:val="bottom"/>
          </w:tcPr>
          <w:p>
            <w:pPr>
              <w:jc w:val="right"/>
              <w:ind w:right="24"/>
              <w:spacing w:after="0"/>
              <w:rPr>
                <w:sz w:val="20"/>
                <w:szCs w:val="20"/>
                <w:color w:val="auto"/>
              </w:rPr>
            </w:pPr>
            <w:r>
              <w:rPr>
                <w:rFonts w:ascii="Arial" w:cs="Arial" w:eastAsia="Arial" w:hAnsi="Arial"/>
                <w:sz w:val="11"/>
                <w:szCs w:val="11"/>
                <w:color w:val="auto"/>
              </w:rPr>
              <w:t>3.80%</w:t>
            </w:r>
          </w:p>
        </w:tc>
        <w:tc>
          <w:tcPr>
            <w:tcW w:w="520" w:type="dxa"/>
            <w:vAlign w:val="bottom"/>
          </w:tcPr>
          <w:p>
            <w:pPr>
              <w:ind w:left="140"/>
              <w:spacing w:after="0"/>
              <w:rPr>
                <w:sz w:val="20"/>
                <w:szCs w:val="20"/>
                <w:color w:val="auto"/>
              </w:rPr>
            </w:pPr>
            <w:r>
              <w:rPr>
                <w:rFonts w:ascii="Arial" w:cs="Arial" w:eastAsia="Arial" w:hAnsi="Arial"/>
                <w:sz w:val="11"/>
                <w:szCs w:val="11"/>
                <w:color w:val="auto"/>
              </w:rPr>
              <w:t>3.96</w:t>
            </w:r>
          </w:p>
        </w:tc>
        <w:tc>
          <w:tcPr>
            <w:tcW w:w="840" w:type="dxa"/>
            <w:vAlign w:val="bottom"/>
          </w:tcPr>
          <w:p>
            <w:pPr>
              <w:jc w:val="right"/>
              <w:ind w:right="123"/>
              <w:spacing w:after="0"/>
              <w:rPr>
                <w:sz w:val="20"/>
                <w:szCs w:val="20"/>
                <w:color w:val="auto"/>
              </w:rPr>
            </w:pPr>
            <w:r>
              <w:rPr>
                <w:rFonts w:ascii="Arial" w:cs="Arial" w:eastAsia="Arial" w:hAnsi="Arial"/>
                <w:sz w:val="11"/>
                <w:szCs w:val="11"/>
                <w:color w:val="auto"/>
              </w:rPr>
              <w:t>4/15/26</w:t>
            </w:r>
          </w:p>
        </w:tc>
        <w:tc>
          <w:tcPr>
            <w:tcW w:w="120" w:type="dxa"/>
            <w:vAlign w:val="bottom"/>
          </w:tcPr>
          <w:p>
            <w:pPr>
              <w:spacing w:after="0"/>
              <w:rPr>
                <w:sz w:val="14"/>
                <w:szCs w:val="14"/>
                <w:color w:val="auto"/>
              </w:rPr>
            </w:pPr>
          </w:p>
        </w:tc>
        <w:tc>
          <w:tcPr>
            <w:tcW w:w="540" w:type="dxa"/>
            <w:vAlign w:val="bottom"/>
          </w:tcPr>
          <w:p>
            <w:pPr>
              <w:jc w:val="right"/>
              <w:ind w:right="143"/>
              <w:spacing w:after="0"/>
              <w:rPr>
                <w:sz w:val="20"/>
                <w:szCs w:val="20"/>
                <w:color w:val="auto"/>
              </w:rPr>
            </w:pPr>
            <w:r>
              <w:rPr>
                <w:rFonts w:ascii="Arial" w:cs="Arial" w:eastAsia="Arial" w:hAnsi="Arial"/>
                <w:sz w:val="11"/>
                <w:szCs w:val="11"/>
                <w:color w:val="auto"/>
              </w:rPr>
              <w:t>—</w:t>
            </w:r>
          </w:p>
        </w:tc>
        <w:tc>
          <w:tcPr>
            <w:tcW w:w="50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620" w:type="dxa"/>
            <w:vAlign w:val="bottom"/>
          </w:tcPr>
          <w:p>
            <w:pPr>
              <w:jc w:val="right"/>
              <w:ind w:right="3"/>
              <w:spacing w:after="0"/>
              <w:rPr>
                <w:sz w:val="20"/>
                <w:szCs w:val="20"/>
                <w:color w:val="auto"/>
              </w:rPr>
            </w:pPr>
            <w:r>
              <w:rPr>
                <w:rFonts w:ascii="Arial" w:cs="Arial" w:eastAsia="Arial" w:hAnsi="Arial"/>
                <w:sz w:val="11"/>
                <w:szCs w:val="11"/>
                <w:color w:val="auto"/>
              </w:rPr>
              <w:t>350,000</w:t>
            </w:r>
          </w:p>
        </w:tc>
        <w:tc>
          <w:tcPr>
            <w:tcW w:w="140" w:type="dxa"/>
            <w:vAlign w:val="bottom"/>
          </w:tcPr>
          <w:p>
            <w:pPr>
              <w:spacing w:after="0"/>
              <w:rPr>
                <w:sz w:val="14"/>
                <w:szCs w:val="14"/>
                <w:color w:val="auto"/>
              </w:rPr>
            </w:pPr>
          </w:p>
        </w:tc>
        <w:tc>
          <w:tcPr>
            <w:tcW w:w="620" w:type="dxa"/>
            <w:vAlign w:val="bottom"/>
          </w:tcPr>
          <w:p>
            <w:pPr>
              <w:jc w:val="right"/>
              <w:ind w:right="143"/>
              <w:spacing w:after="0"/>
              <w:rPr>
                <w:sz w:val="20"/>
                <w:szCs w:val="20"/>
                <w:color w:val="auto"/>
              </w:rPr>
            </w:pPr>
            <w:r>
              <w:rPr>
                <w:rFonts w:ascii="Arial" w:cs="Arial" w:eastAsia="Arial" w:hAnsi="Arial"/>
                <w:sz w:val="11"/>
                <w:szCs w:val="11"/>
                <w:color w:val="auto"/>
              </w:rPr>
              <w:t>—</w:t>
            </w:r>
          </w:p>
        </w:tc>
        <w:tc>
          <w:tcPr>
            <w:tcW w:w="48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60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350,000</w:t>
            </w:r>
          </w:p>
        </w:tc>
        <w:tc>
          <w:tcPr>
            <w:tcW w:w="120" w:type="dxa"/>
            <w:vAlign w:val="bottom"/>
          </w:tcPr>
          <w:p>
            <w:pPr>
              <w:spacing w:after="0"/>
              <w:rPr>
                <w:sz w:val="14"/>
                <w:szCs w:val="14"/>
                <w:color w:val="auto"/>
              </w:rPr>
            </w:pPr>
          </w:p>
        </w:tc>
        <w:tc>
          <w:tcPr>
            <w:tcW w:w="600" w:type="dxa"/>
            <w:vAlign w:val="bottom"/>
          </w:tcPr>
          <w:p>
            <w:pPr>
              <w:jc w:val="right"/>
              <w:ind w:right="4"/>
              <w:spacing w:after="0"/>
              <w:rPr>
                <w:sz w:val="20"/>
                <w:szCs w:val="20"/>
                <w:color w:val="auto"/>
              </w:rPr>
            </w:pPr>
            <w:r>
              <w:rPr>
                <w:rFonts w:ascii="Arial" w:cs="Arial" w:eastAsia="Arial" w:hAnsi="Arial"/>
                <w:sz w:val="11"/>
                <w:szCs w:val="11"/>
                <w:color w:val="auto"/>
              </w:rPr>
              <w:t>(899)</w:t>
            </w:r>
          </w:p>
        </w:tc>
        <w:tc>
          <w:tcPr>
            <w:tcW w:w="1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349,101</w:t>
            </w:r>
          </w:p>
        </w:tc>
        <w:tc>
          <w:tcPr>
            <w:tcW w:w="0" w:type="dxa"/>
            <w:vAlign w:val="bottom"/>
          </w:tcPr>
          <w:p>
            <w:pPr>
              <w:spacing w:after="0"/>
              <w:rPr>
                <w:sz w:val="1"/>
                <w:szCs w:val="1"/>
                <w:color w:val="auto"/>
              </w:rPr>
            </w:pPr>
          </w:p>
        </w:tc>
      </w:tr>
      <w:tr>
        <w:trPr>
          <w:trHeight w:val="172"/>
        </w:trPr>
        <w:tc>
          <w:tcPr>
            <w:tcW w:w="2520" w:type="dxa"/>
            <w:vAlign w:val="bottom"/>
          </w:tcPr>
          <w:p>
            <w:pPr>
              <w:spacing w:after="0"/>
              <w:rPr>
                <w:sz w:val="20"/>
                <w:szCs w:val="20"/>
                <w:color w:val="auto"/>
              </w:rPr>
            </w:pPr>
            <w:r>
              <w:rPr>
                <w:rFonts w:ascii="Arial" w:cs="Arial" w:eastAsia="Arial" w:hAnsi="Arial"/>
                <w:sz w:val="11"/>
                <w:szCs w:val="11"/>
                <w:color w:val="auto"/>
              </w:rPr>
              <w:t>Unsecured senior notes payable</w:t>
            </w:r>
          </w:p>
        </w:tc>
        <w:tc>
          <w:tcPr>
            <w:tcW w:w="920" w:type="dxa"/>
            <w:vAlign w:val="bottom"/>
          </w:tcPr>
          <w:p>
            <w:pPr>
              <w:jc w:val="right"/>
              <w:ind w:right="24"/>
              <w:spacing w:after="0"/>
              <w:rPr>
                <w:sz w:val="20"/>
                <w:szCs w:val="20"/>
                <w:color w:val="auto"/>
              </w:rPr>
            </w:pPr>
            <w:r>
              <w:rPr>
                <w:rFonts w:ascii="Arial" w:cs="Arial" w:eastAsia="Arial" w:hAnsi="Arial"/>
                <w:sz w:val="11"/>
                <w:szCs w:val="11"/>
                <w:color w:val="auto"/>
              </w:rPr>
              <w:t>3.95%</w:t>
            </w:r>
          </w:p>
        </w:tc>
        <w:tc>
          <w:tcPr>
            <w:tcW w:w="520" w:type="dxa"/>
            <w:vAlign w:val="bottom"/>
          </w:tcPr>
          <w:p>
            <w:pPr>
              <w:ind w:left="140"/>
              <w:spacing w:after="0"/>
              <w:rPr>
                <w:sz w:val="20"/>
                <w:szCs w:val="20"/>
                <w:color w:val="auto"/>
              </w:rPr>
            </w:pPr>
            <w:r>
              <w:rPr>
                <w:rFonts w:ascii="Arial" w:cs="Arial" w:eastAsia="Arial" w:hAnsi="Arial"/>
                <w:sz w:val="11"/>
                <w:szCs w:val="11"/>
                <w:color w:val="auto"/>
              </w:rPr>
              <w:t>4.13</w:t>
            </w:r>
          </w:p>
        </w:tc>
        <w:tc>
          <w:tcPr>
            <w:tcW w:w="840" w:type="dxa"/>
            <w:vAlign w:val="bottom"/>
          </w:tcPr>
          <w:p>
            <w:pPr>
              <w:jc w:val="right"/>
              <w:ind w:right="123"/>
              <w:spacing w:after="0"/>
              <w:rPr>
                <w:sz w:val="20"/>
                <w:szCs w:val="20"/>
                <w:color w:val="auto"/>
              </w:rPr>
            </w:pPr>
            <w:r>
              <w:rPr>
                <w:rFonts w:ascii="Arial" w:cs="Arial" w:eastAsia="Arial" w:hAnsi="Arial"/>
                <w:sz w:val="11"/>
                <w:szCs w:val="11"/>
                <w:color w:val="auto"/>
              </w:rPr>
              <w:t>1/15/27</w:t>
            </w:r>
          </w:p>
        </w:tc>
        <w:tc>
          <w:tcPr>
            <w:tcW w:w="120" w:type="dxa"/>
            <w:vAlign w:val="bottom"/>
          </w:tcPr>
          <w:p>
            <w:pPr>
              <w:spacing w:after="0"/>
              <w:rPr>
                <w:sz w:val="14"/>
                <w:szCs w:val="14"/>
                <w:color w:val="auto"/>
              </w:rPr>
            </w:pPr>
          </w:p>
        </w:tc>
        <w:tc>
          <w:tcPr>
            <w:tcW w:w="540" w:type="dxa"/>
            <w:vAlign w:val="bottom"/>
          </w:tcPr>
          <w:p>
            <w:pPr>
              <w:jc w:val="right"/>
              <w:ind w:right="143"/>
              <w:spacing w:after="0"/>
              <w:rPr>
                <w:sz w:val="20"/>
                <w:szCs w:val="20"/>
                <w:color w:val="auto"/>
              </w:rPr>
            </w:pPr>
            <w:r>
              <w:rPr>
                <w:rFonts w:ascii="Arial" w:cs="Arial" w:eastAsia="Arial" w:hAnsi="Arial"/>
                <w:sz w:val="11"/>
                <w:szCs w:val="11"/>
                <w:color w:val="auto"/>
              </w:rPr>
              <w:t>—</w:t>
            </w:r>
          </w:p>
        </w:tc>
        <w:tc>
          <w:tcPr>
            <w:tcW w:w="50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62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620" w:type="dxa"/>
            <w:vAlign w:val="bottom"/>
          </w:tcPr>
          <w:p>
            <w:pPr>
              <w:jc w:val="right"/>
              <w:ind w:right="143"/>
              <w:spacing w:after="0"/>
              <w:rPr>
                <w:sz w:val="20"/>
                <w:szCs w:val="20"/>
                <w:color w:val="auto"/>
              </w:rPr>
            </w:pPr>
            <w:r>
              <w:rPr>
                <w:rFonts w:ascii="Arial" w:cs="Arial" w:eastAsia="Arial" w:hAnsi="Arial"/>
                <w:sz w:val="11"/>
                <w:szCs w:val="11"/>
                <w:color w:val="auto"/>
              </w:rPr>
              <w:t>350,000</w:t>
            </w:r>
          </w:p>
        </w:tc>
        <w:tc>
          <w:tcPr>
            <w:tcW w:w="48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60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350,000</w:t>
            </w:r>
          </w:p>
        </w:tc>
        <w:tc>
          <w:tcPr>
            <w:tcW w:w="120" w:type="dxa"/>
            <w:vAlign w:val="bottom"/>
          </w:tcPr>
          <w:p>
            <w:pPr>
              <w:spacing w:after="0"/>
              <w:rPr>
                <w:sz w:val="14"/>
                <w:szCs w:val="14"/>
                <w:color w:val="auto"/>
              </w:rPr>
            </w:pPr>
          </w:p>
        </w:tc>
        <w:tc>
          <w:tcPr>
            <w:tcW w:w="600" w:type="dxa"/>
            <w:vAlign w:val="bottom"/>
          </w:tcPr>
          <w:p>
            <w:pPr>
              <w:jc w:val="right"/>
              <w:ind w:right="4"/>
              <w:spacing w:after="0"/>
              <w:rPr>
                <w:sz w:val="20"/>
                <w:szCs w:val="20"/>
                <w:color w:val="auto"/>
              </w:rPr>
            </w:pPr>
            <w:r>
              <w:rPr>
                <w:rFonts w:ascii="Arial" w:cs="Arial" w:eastAsia="Arial" w:hAnsi="Arial"/>
                <w:sz w:val="11"/>
                <w:szCs w:val="11"/>
                <w:color w:val="auto"/>
              </w:rPr>
              <w:t>(1,321)</w:t>
            </w:r>
          </w:p>
        </w:tc>
        <w:tc>
          <w:tcPr>
            <w:tcW w:w="1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348,679</w:t>
            </w:r>
          </w:p>
        </w:tc>
        <w:tc>
          <w:tcPr>
            <w:tcW w:w="0" w:type="dxa"/>
            <w:vAlign w:val="bottom"/>
          </w:tcPr>
          <w:p>
            <w:pPr>
              <w:spacing w:after="0"/>
              <w:rPr>
                <w:sz w:val="1"/>
                <w:szCs w:val="1"/>
                <w:color w:val="auto"/>
              </w:rPr>
            </w:pPr>
          </w:p>
        </w:tc>
      </w:tr>
      <w:tr>
        <w:trPr>
          <w:trHeight w:val="172"/>
        </w:trPr>
        <w:tc>
          <w:tcPr>
            <w:tcW w:w="2520" w:type="dxa"/>
            <w:vAlign w:val="bottom"/>
          </w:tcPr>
          <w:p>
            <w:pPr>
              <w:spacing w:after="0"/>
              <w:rPr>
                <w:sz w:val="20"/>
                <w:szCs w:val="20"/>
                <w:color w:val="auto"/>
              </w:rPr>
            </w:pPr>
            <w:r>
              <w:rPr>
                <w:rFonts w:ascii="Arial" w:cs="Arial" w:eastAsia="Arial" w:hAnsi="Arial"/>
                <w:sz w:val="11"/>
                <w:szCs w:val="11"/>
                <w:color w:val="auto"/>
              </w:rPr>
              <w:t>Unsecured senior notes payable</w:t>
            </w:r>
          </w:p>
        </w:tc>
        <w:tc>
          <w:tcPr>
            <w:tcW w:w="920" w:type="dxa"/>
            <w:vAlign w:val="bottom"/>
          </w:tcPr>
          <w:p>
            <w:pPr>
              <w:jc w:val="right"/>
              <w:ind w:right="24"/>
              <w:spacing w:after="0"/>
              <w:rPr>
                <w:sz w:val="20"/>
                <w:szCs w:val="20"/>
                <w:color w:val="auto"/>
              </w:rPr>
            </w:pPr>
            <w:r>
              <w:rPr>
                <w:rFonts w:ascii="Arial" w:cs="Arial" w:eastAsia="Arial" w:hAnsi="Arial"/>
                <w:sz w:val="11"/>
                <w:szCs w:val="11"/>
                <w:color w:val="auto"/>
              </w:rPr>
              <w:t>3.95%</w:t>
            </w:r>
          </w:p>
        </w:tc>
        <w:tc>
          <w:tcPr>
            <w:tcW w:w="520" w:type="dxa"/>
            <w:vAlign w:val="bottom"/>
          </w:tcPr>
          <w:p>
            <w:pPr>
              <w:ind w:left="140"/>
              <w:spacing w:after="0"/>
              <w:rPr>
                <w:sz w:val="20"/>
                <w:szCs w:val="20"/>
                <w:color w:val="auto"/>
              </w:rPr>
            </w:pPr>
            <w:r>
              <w:rPr>
                <w:rFonts w:ascii="Arial" w:cs="Arial" w:eastAsia="Arial" w:hAnsi="Arial"/>
                <w:sz w:val="11"/>
                <w:szCs w:val="11"/>
                <w:color w:val="auto"/>
              </w:rPr>
              <w:t>4.07</w:t>
            </w:r>
          </w:p>
        </w:tc>
        <w:tc>
          <w:tcPr>
            <w:tcW w:w="840" w:type="dxa"/>
            <w:vAlign w:val="bottom"/>
          </w:tcPr>
          <w:p>
            <w:pPr>
              <w:jc w:val="right"/>
              <w:ind w:right="123"/>
              <w:spacing w:after="0"/>
              <w:rPr>
                <w:sz w:val="20"/>
                <w:szCs w:val="20"/>
                <w:color w:val="auto"/>
              </w:rPr>
            </w:pPr>
            <w:r>
              <w:rPr>
                <w:rFonts w:ascii="Arial" w:cs="Arial" w:eastAsia="Arial" w:hAnsi="Arial"/>
                <w:sz w:val="11"/>
                <w:szCs w:val="11"/>
                <w:color w:val="auto"/>
              </w:rPr>
              <w:t>1/15/28</w:t>
            </w:r>
          </w:p>
        </w:tc>
        <w:tc>
          <w:tcPr>
            <w:tcW w:w="120" w:type="dxa"/>
            <w:vAlign w:val="bottom"/>
          </w:tcPr>
          <w:p>
            <w:pPr>
              <w:spacing w:after="0"/>
              <w:rPr>
                <w:sz w:val="14"/>
                <w:szCs w:val="14"/>
                <w:color w:val="auto"/>
              </w:rPr>
            </w:pPr>
          </w:p>
        </w:tc>
        <w:tc>
          <w:tcPr>
            <w:tcW w:w="540" w:type="dxa"/>
            <w:vAlign w:val="bottom"/>
          </w:tcPr>
          <w:p>
            <w:pPr>
              <w:jc w:val="right"/>
              <w:ind w:right="143"/>
              <w:spacing w:after="0"/>
              <w:rPr>
                <w:sz w:val="20"/>
                <w:szCs w:val="20"/>
                <w:color w:val="auto"/>
              </w:rPr>
            </w:pPr>
            <w:r>
              <w:rPr>
                <w:rFonts w:ascii="Arial" w:cs="Arial" w:eastAsia="Arial" w:hAnsi="Arial"/>
                <w:sz w:val="11"/>
                <w:szCs w:val="11"/>
                <w:color w:val="auto"/>
              </w:rPr>
              <w:t>—</w:t>
            </w:r>
          </w:p>
        </w:tc>
        <w:tc>
          <w:tcPr>
            <w:tcW w:w="50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62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620" w:type="dxa"/>
            <w:vAlign w:val="bottom"/>
          </w:tcPr>
          <w:p>
            <w:pPr>
              <w:jc w:val="right"/>
              <w:ind w:right="143"/>
              <w:spacing w:after="0"/>
              <w:rPr>
                <w:sz w:val="20"/>
                <w:szCs w:val="20"/>
                <w:color w:val="auto"/>
              </w:rPr>
            </w:pPr>
            <w:r>
              <w:rPr>
                <w:rFonts w:ascii="Arial" w:cs="Arial" w:eastAsia="Arial" w:hAnsi="Arial"/>
                <w:sz w:val="11"/>
                <w:szCs w:val="11"/>
                <w:color w:val="auto"/>
              </w:rPr>
              <w:t>—</w:t>
            </w:r>
          </w:p>
        </w:tc>
        <w:tc>
          <w:tcPr>
            <w:tcW w:w="480" w:type="dxa"/>
            <w:vAlign w:val="bottom"/>
          </w:tcPr>
          <w:p>
            <w:pPr>
              <w:jc w:val="right"/>
              <w:ind w:right="3"/>
              <w:spacing w:after="0"/>
              <w:rPr>
                <w:sz w:val="20"/>
                <w:szCs w:val="20"/>
                <w:color w:val="auto"/>
              </w:rPr>
            </w:pPr>
            <w:r>
              <w:rPr>
                <w:rFonts w:ascii="Arial" w:cs="Arial" w:eastAsia="Arial" w:hAnsi="Arial"/>
                <w:sz w:val="11"/>
                <w:szCs w:val="11"/>
                <w:color w:val="auto"/>
              </w:rPr>
              <w:t>425,000</w:t>
            </w:r>
          </w:p>
        </w:tc>
        <w:tc>
          <w:tcPr>
            <w:tcW w:w="160" w:type="dxa"/>
            <w:vAlign w:val="bottom"/>
          </w:tcPr>
          <w:p>
            <w:pPr>
              <w:spacing w:after="0"/>
              <w:rPr>
                <w:sz w:val="14"/>
                <w:szCs w:val="14"/>
                <w:color w:val="auto"/>
              </w:rPr>
            </w:pPr>
          </w:p>
        </w:tc>
        <w:tc>
          <w:tcPr>
            <w:tcW w:w="60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425,000</w:t>
            </w:r>
          </w:p>
        </w:tc>
        <w:tc>
          <w:tcPr>
            <w:tcW w:w="120" w:type="dxa"/>
            <w:vAlign w:val="bottom"/>
          </w:tcPr>
          <w:p>
            <w:pPr>
              <w:spacing w:after="0"/>
              <w:rPr>
                <w:sz w:val="14"/>
                <w:szCs w:val="14"/>
                <w:color w:val="auto"/>
              </w:rPr>
            </w:pPr>
          </w:p>
        </w:tc>
        <w:tc>
          <w:tcPr>
            <w:tcW w:w="600" w:type="dxa"/>
            <w:vAlign w:val="bottom"/>
          </w:tcPr>
          <w:p>
            <w:pPr>
              <w:jc w:val="right"/>
              <w:ind w:right="4"/>
              <w:spacing w:after="0"/>
              <w:rPr>
                <w:sz w:val="20"/>
                <w:szCs w:val="20"/>
                <w:color w:val="auto"/>
              </w:rPr>
            </w:pPr>
            <w:r>
              <w:rPr>
                <w:rFonts w:ascii="Arial" w:cs="Arial" w:eastAsia="Arial" w:hAnsi="Arial"/>
                <w:sz w:val="11"/>
                <w:szCs w:val="11"/>
                <w:color w:val="auto"/>
              </w:rPr>
              <w:t>(1,523)</w:t>
            </w:r>
          </w:p>
        </w:tc>
        <w:tc>
          <w:tcPr>
            <w:tcW w:w="1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423,477</w:t>
            </w:r>
          </w:p>
        </w:tc>
        <w:tc>
          <w:tcPr>
            <w:tcW w:w="0" w:type="dxa"/>
            <w:vAlign w:val="bottom"/>
          </w:tcPr>
          <w:p>
            <w:pPr>
              <w:spacing w:after="0"/>
              <w:rPr>
                <w:sz w:val="1"/>
                <w:szCs w:val="1"/>
                <w:color w:val="auto"/>
              </w:rPr>
            </w:pPr>
          </w:p>
        </w:tc>
      </w:tr>
      <w:tr>
        <w:trPr>
          <w:trHeight w:val="172"/>
        </w:trPr>
        <w:tc>
          <w:tcPr>
            <w:tcW w:w="2520" w:type="dxa"/>
            <w:vAlign w:val="bottom"/>
          </w:tcPr>
          <w:p>
            <w:pPr>
              <w:spacing w:after="0"/>
              <w:rPr>
                <w:sz w:val="20"/>
                <w:szCs w:val="20"/>
                <w:color w:val="auto"/>
              </w:rPr>
            </w:pPr>
            <w:r>
              <w:rPr>
                <w:rFonts w:ascii="Arial" w:cs="Arial" w:eastAsia="Arial" w:hAnsi="Arial"/>
                <w:sz w:val="11"/>
                <w:szCs w:val="11"/>
                <w:color w:val="auto"/>
              </w:rPr>
              <w:t>Unsecured senior notes payable</w:t>
            </w:r>
          </w:p>
        </w:tc>
        <w:tc>
          <w:tcPr>
            <w:tcW w:w="920" w:type="dxa"/>
            <w:vAlign w:val="bottom"/>
          </w:tcPr>
          <w:p>
            <w:pPr>
              <w:jc w:val="right"/>
              <w:ind w:right="24"/>
              <w:spacing w:after="0"/>
              <w:rPr>
                <w:sz w:val="20"/>
                <w:szCs w:val="20"/>
                <w:color w:val="auto"/>
              </w:rPr>
            </w:pPr>
            <w:r>
              <w:rPr>
                <w:rFonts w:ascii="Arial" w:cs="Arial" w:eastAsia="Arial" w:hAnsi="Arial"/>
                <w:sz w:val="11"/>
                <w:szCs w:val="11"/>
                <w:color w:val="auto"/>
              </w:rPr>
              <w:t>4.50%</w:t>
            </w:r>
          </w:p>
        </w:tc>
        <w:tc>
          <w:tcPr>
            <w:tcW w:w="520" w:type="dxa"/>
            <w:vAlign w:val="bottom"/>
          </w:tcPr>
          <w:p>
            <w:pPr>
              <w:ind w:left="140"/>
              <w:spacing w:after="0"/>
              <w:rPr>
                <w:sz w:val="20"/>
                <w:szCs w:val="20"/>
                <w:color w:val="auto"/>
              </w:rPr>
            </w:pPr>
            <w:r>
              <w:rPr>
                <w:rFonts w:ascii="Arial" w:cs="Arial" w:eastAsia="Arial" w:hAnsi="Arial"/>
                <w:sz w:val="11"/>
                <w:szCs w:val="11"/>
                <w:color w:val="auto"/>
              </w:rPr>
              <w:t>4.60</w:t>
            </w:r>
          </w:p>
        </w:tc>
        <w:tc>
          <w:tcPr>
            <w:tcW w:w="840" w:type="dxa"/>
            <w:vAlign w:val="bottom"/>
          </w:tcPr>
          <w:p>
            <w:pPr>
              <w:jc w:val="right"/>
              <w:ind w:right="123"/>
              <w:spacing w:after="0"/>
              <w:rPr>
                <w:sz w:val="20"/>
                <w:szCs w:val="20"/>
                <w:color w:val="auto"/>
              </w:rPr>
            </w:pPr>
            <w:r>
              <w:rPr>
                <w:rFonts w:ascii="Arial" w:cs="Arial" w:eastAsia="Arial" w:hAnsi="Arial"/>
                <w:sz w:val="11"/>
                <w:szCs w:val="11"/>
                <w:color w:val="auto"/>
              </w:rPr>
              <w:t>7/30/29</w:t>
            </w:r>
          </w:p>
        </w:tc>
        <w:tc>
          <w:tcPr>
            <w:tcW w:w="120" w:type="dxa"/>
            <w:vAlign w:val="bottom"/>
          </w:tcPr>
          <w:p>
            <w:pPr>
              <w:spacing w:after="0"/>
              <w:rPr>
                <w:sz w:val="14"/>
                <w:szCs w:val="14"/>
                <w:color w:val="auto"/>
              </w:rPr>
            </w:pPr>
          </w:p>
        </w:tc>
        <w:tc>
          <w:tcPr>
            <w:tcW w:w="540" w:type="dxa"/>
            <w:vAlign w:val="bottom"/>
          </w:tcPr>
          <w:p>
            <w:pPr>
              <w:jc w:val="right"/>
              <w:ind w:right="143"/>
              <w:spacing w:after="0"/>
              <w:rPr>
                <w:sz w:val="20"/>
                <w:szCs w:val="20"/>
                <w:color w:val="auto"/>
              </w:rPr>
            </w:pPr>
            <w:r>
              <w:rPr>
                <w:rFonts w:ascii="Arial" w:cs="Arial" w:eastAsia="Arial" w:hAnsi="Arial"/>
                <w:sz w:val="11"/>
                <w:szCs w:val="11"/>
                <w:color w:val="auto"/>
              </w:rPr>
              <w:t>—</w:t>
            </w:r>
          </w:p>
        </w:tc>
        <w:tc>
          <w:tcPr>
            <w:tcW w:w="50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62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620" w:type="dxa"/>
            <w:vAlign w:val="bottom"/>
          </w:tcPr>
          <w:p>
            <w:pPr>
              <w:jc w:val="right"/>
              <w:ind w:right="143"/>
              <w:spacing w:after="0"/>
              <w:rPr>
                <w:sz w:val="20"/>
                <w:szCs w:val="20"/>
                <w:color w:val="auto"/>
              </w:rPr>
            </w:pPr>
            <w:r>
              <w:rPr>
                <w:rFonts w:ascii="Arial" w:cs="Arial" w:eastAsia="Arial" w:hAnsi="Arial"/>
                <w:sz w:val="11"/>
                <w:szCs w:val="11"/>
                <w:color w:val="auto"/>
              </w:rPr>
              <w:t>—</w:t>
            </w:r>
          </w:p>
        </w:tc>
        <w:tc>
          <w:tcPr>
            <w:tcW w:w="48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600" w:type="dxa"/>
            <w:vAlign w:val="bottom"/>
          </w:tcPr>
          <w:p>
            <w:pPr>
              <w:jc w:val="right"/>
              <w:ind w:right="3"/>
              <w:spacing w:after="0"/>
              <w:rPr>
                <w:sz w:val="20"/>
                <w:szCs w:val="20"/>
                <w:color w:val="auto"/>
              </w:rPr>
            </w:pPr>
            <w:r>
              <w:rPr>
                <w:rFonts w:ascii="Arial" w:cs="Arial" w:eastAsia="Arial" w:hAnsi="Arial"/>
                <w:sz w:val="11"/>
                <w:szCs w:val="11"/>
                <w:color w:val="auto"/>
              </w:rPr>
              <w:t>300,000</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300,000</w:t>
            </w:r>
          </w:p>
        </w:tc>
        <w:tc>
          <w:tcPr>
            <w:tcW w:w="120" w:type="dxa"/>
            <w:vAlign w:val="bottom"/>
          </w:tcPr>
          <w:p>
            <w:pPr>
              <w:spacing w:after="0"/>
              <w:rPr>
                <w:sz w:val="14"/>
                <w:szCs w:val="14"/>
                <w:color w:val="auto"/>
              </w:rPr>
            </w:pPr>
          </w:p>
        </w:tc>
        <w:tc>
          <w:tcPr>
            <w:tcW w:w="600" w:type="dxa"/>
            <w:vAlign w:val="bottom"/>
          </w:tcPr>
          <w:p>
            <w:pPr>
              <w:jc w:val="right"/>
              <w:ind w:right="4"/>
              <w:spacing w:after="0"/>
              <w:rPr>
                <w:sz w:val="20"/>
                <w:szCs w:val="20"/>
                <w:color w:val="auto"/>
              </w:rPr>
            </w:pPr>
            <w:r>
              <w:rPr>
                <w:rFonts w:ascii="Arial" w:cs="Arial" w:eastAsia="Arial" w:hAnsi="Arial"/>
                <w:sz w:val="11"/>
                <w:szCs w:val="11"/>
                <w:color w:val="auto"/>
              </w:rPr>
              <w:t>(1,138)</w:t>
            </w:r>
          </w:p>
        </w:tc>
        <w:tc>
          <w:tcPr>
            <w:tcW w:w="1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298,862</w:t>
            </w:r>
          </w:p>
        </w:tc>
        <w:tc>
          <w:tcPr>
            <w:tcW w:w="0" w:type="dxa"/>
            <w:vAlign w:val="bottom"/>
          </w:tcPr>
          <w:p>
            <w:pPr>
              <w:spacing w:after="0"/>
              <w:rPr>
                <w:sz w:val="1"/>
                <w:szCs w:val="1"/>
                <w:color w:val="auto"/>
              </w:rPr>
            </w:pPr>
          </w:p>
        </w:tc>
      </w:tr>
      <w:tr>
        <w:trPr>
          <w:trHeight w:val="172"/>
        </w:trPr>
        <w:tc>
          <w:tcPr>
            <w:tcW w:w="2520" w:type="dxa"/>
            <w:vAlign w:val="bottom"/>
          </w:tcPr>
          <w:p>
            <w:pPr>
              <w:spacing w:after="0"/>
              <w:rPr>
                <w:sz w:val="20"/>
                <w:szCs w:val="20"/>
                <w:color w:val="auto"/>
              </w:rPr>
            </w:pPr>
            <w:r>
              <w:rPr>
                <w:rFonts w:ascii="Arial" w:cs="Arial" w:eastAsia="Arial" w:hAnsi="Arial"/>
                <w:sz w:val="11"/>
                <w:szCs w:val="11"/>
                <w:color w:val="auto"/>
              </w:rPr>
              <w:t>Unsecured senior notes payable</w:t>
            </w:r>
          </w:p>
        </w:tc>
        <w:tc>
          <w:tcPr>
            <w:tcW w:w="920" w:type="dxa"/>
            <w:vAlign w:val="bottom"/>
          </w:tcPr>
          <w:p>
            <w:pPr>
              <w:jc w:val="right"/>
              <w:ind w:right="24"/>
              <w:spacing w:after="0"/>
              <w:rPr>
                <w:sz w:val="20"/>
                <w:szCs w:val="20"/>
                <w:color w:val="auto"/>
              </w:rPr>
            </w:pPr>
            <w:r>
              <w:rPr>
                <w:rFonts w:ascii="Arial" w:cs="Arial" w:eastAsia="Arial" w:hAnsi="Arial"/>
                <w:sz w:val="11"/>
                <w:szCs w:val="11"/>
                <w:color w:val="auto"/>
              </w:rPr>
              <w:t>2.75%</w:t>
            </w:r>
          </w:p>
        </w:tc>
        <w:tc>
          <w:tcPr>
            <w:tcW w:w="520" w:type="dxa"/>
            <w:vAlign w:val="bottom"/>
          </w:tcPr>
          <w:p>
            <w:pPr>
              <w:ind w:left="140"/>
              <w:spacing w:after="0"/>
              <w:rPr>
                <w:sz w:val="20"/>
                <w:szCs w:val="20"/>
                <w:color w:val="auto"/>
              </w:rPr>
            </w:pPr>
            <w:r>
              <w:rPr>
                <w:rFonts w:ascii="Arial" w:cs="Arial" w:eastAsia="Arial" w:hAnsi="Arial"/>
                <w:sz w:val="11"/>
                <w:szCs w:val="11"/>
                <w:color w:val="auto"/>
              </w:rPr>
              <w:t>2.87</w:t>
            </w:r>
          </w:p>
        </w:tc>
        <w:tc>
          <w:tcPr>
            <w:tcW w:w="840" w:type="dxa"/>
            <w:vAlign w:val="bottom"/>
          </w:tcPr>
          <w:p>
            <w:pPr>
              <w:jc w:val="right"/>
              <w:ind w:right="123"/>
              <w:spacing w:after="0"/>
              <w:rPr>
                <w:sz w:val="20"/>
                <w:szCs w:val="20"/>
                <w:color w:val="auto"/>
              </w:rPr>
            </w:pPr>
            <w:r>
              <w:rPr>
                <w:rFonts w:ascii="Arial" w:cs="Arial" w:eastAsia="Arial" w:hAnsi="Arial"/>
                <w:sz w:val="11"/>
                <w:szCs w:val="11"/>
                <w:color w:val="auto"/>
              </w:rPr>
              <w:t>12/15/29</w:t>
            </w:r>
          </w:p>
        </w:tc>
        <w:tc>
          <w:tcPr>
            <w:tcW w:w="120" w:type="dxa"/>
            <w:vAlign w:val="bottom"/>
          </w:tcPr>
          <w:p>
            <w:pPr>
              <w:spacing w:after="0"/>
              <w:rPr>
                <w:sz w:val="14"/>
                <w:szCs w:val="14"/>
                <w:color w:val="auto"/>
              </w:rPr>
            </w:pPr>
          </w:p>
        </w:tc>
        <w:tc>
          <w:tcPr>
            <w:tcW w:w="540" w:type="dxa"/>
            <w:vAlign w:val="bottom"/>
          </w:tcPr>
          <w:p>
            <w:pPr>
              <w:jc w:val="right"/>
              <w:ind w:right="143"/>
              <w:spacing w:after="0"/>
              <w:rPr>
                <w:sz w:val="20"/>
                <w:szCs w:val="20"/>
                <w:color w:val="auto"/>
              </w:rPr>
            </w:pPr>
            <w:r>
              <w:rPr>
                <w:rFonts w:ascii="Arial" w:cs="Arial" w:eastAsia="Arial" w:hAnsi="Arial"/>
                <w:sz w:val="11"/>
                <w:szCs w:val="11"/>
                <w:color w:val="auto"/>
              </w:rPr>
              <w:t>—</w:t>
            </w:r>
          </w:p>
        </w:tc>
        <w:tc>
          <w:tcPr>
            <w:tcW w:w="50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62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620" w:type="dxa"/>
            <w:vAlign w:val="bottom"/>
          </w:tcPr>
          <w:p>
            <w:pPr>
              <w:jc w:val="right"/>
              <w:ind w:right="143"/>
              <w:spacing w:after="0"/>
              <w:rPr>
                <w:sz w:val="20"/>
                <w:szCs w:val="20"/>
                <w:color w:val="auto"/>
              </w:rPr>
            </w:pPr>
            <w:r>
              <w:rPr>
                <w:rFonts w:ascii="Arial" w:cs="Arial" w:eastAsia="Arial" w:hAnsi="Arial"/>
                <w:sz w:val="11"/>
                <w:szCs w:val="11"/>
                <w:color w:val="auto"/>
              </w:rPr>
              <w:t>—</w:t>
            </w:r>
          </w:p>
        </w:tc>
        <w:tc>
          <w:tcPr>
            <w:tcW w:w="48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600" w:type="dxa"/>
            <w:vAlign w:val="bottom"/>
          </w:tcPr>
          <w:p>
            <w:pPr>
              <w:jc w:val="right"/>
              <w:ind w:right="3"/>
              <w:spacing w:after="0"/>
              <w:rPr>
                <w:sz w:val="20"/>
                <w:szCs w:val="20"/>
                <w:color w:val="auto"/>
              </w:rPr>
            </w:pPr>
            <w:r>
              <w:rPr>
                <w:rFonts w:ascii="Arial" w:cs="Arial" w:eastAsia="Arial" w:hAnsi="Arial"/>
                <w:sz w:val="11"/>
                <w:szCs w:val="11"/>
                <w:color w:val="auto"/>
              </w:rPr>
              <w:t>400,000</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400,000</w:t>
            </w:r>
          </w:p>
        </w:tc>
        <w:tc>
          <w:tcPr>
            <w:tcW w:w="120" w:type="dxa"/>
            <w:vAlign w:val="bottom"/>
          </w:tcPr>
          <w:p>
            <w:pPr>
              <w:spacing w:after="0"/>
              <w:rPr>
                <w:sz w:val="14"/>
                <w:szCs w:val="14"/>
                <w:color w:val="auto"/>
              </w:rPr>
            </w:pPr>
          </w:p>
        </w:tc>
        <w:tc>
          <w:tcPr>
            <w:tcW w:w="600" w:type="dxa"/>
            <w:vAlign w:val="bottom"/>
          </w:tcPr>
          <w:p>
            <w:pPr>
              <w:jc w:val="right"/>
              <w:ind w:right="4"/>
              <w:spacing w:after="0"/>
              <w:rPr>
                <w:sz w:val="20"/>
                <w:szCs w:val="20"/>
                <w:color w:val="auto"/>
              </w:rPr>
            </w:pPr>
            <w:r>
              <w:rPr>
                <w:rFonts w:ascii="Arial" w:cs="Arial" w:eastAsia="Arial" w:hAnsi="Arial"/>
                <w:sz w:val="11"/>
                <w:szCs w:val="11"/>
                <w:color w:val="auto"/>
              </w:rPr>
              <w:t>(2,269)</w:t>
            </w:r>
          </w:p>
        </w:tc>
        <w:tc>
          <w:tcPr>
            <w:tcW w:w="1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397,731</w:t>
            </w:r>
          </w:p>
        </w:tc>
        <w:tc>
          <w:tcPr>
            <w:tcW w:w="0" w:type="dxa"/>
            <w:vAlign w:val="bottom"/>
          </w:tcPr>
          <w:p>
            <w:pPr>
              <w:spacing w:after="0"/>
              <w:rPr>
                <w:sz w:val="1"/>
                <w:szCs w:val="1"/>
                <w:color w:val="auto"/>
              </w:rPr>
            </w:pPr>
          </w:p>
        </w:tc>
      </w:tr>
      <w:tr>
        <w:trPr>
          <w:trHeight w:val="172"/>
        </w:trPr>
        <w:tc>
          <w:tcPr>
            <w:tcW w:w="2520" w:type="dxa"/>
            <w:vAlign w:val="bottom"/>
          </w:tcPr>
          <w:p>
            <w:pPr>
              <w:spacing w:after="0"/>
              <w:rPr>
                <w:sz w:val="20"/>
                <w:szCs w:val="20"/>
                <w:color w:val="auto"/>
              </w:rPr>
            </w:pPr>
            <w:r>
              <w:rPr>
                <w:rFonts w:ascii="Arial" w:cs="Arial" w:eastAsia="Arial" w:hAnsi="Arial"/>
                <w:sz w:val="11"/>
                <w:szCs w:val="11"/>
                <w:color w:val="auto"/>
              </w:rPr>
              <w:t>Unsecured senior notes payable</w:t>
            </w:r>
          </w:p>
        </w:tc>
        <w:tc>
          <w:tcPr>
            <w:tcW w:w="920" w:type="dxa"/>
            <w:vAlign w:val="bottom"/>
          </w:tcPr>
          <w:p>
            <w:pPr>
              <w:jc w:val="right"/>
              <w:ind w:right="24"/>
              <w:spacing w:after="0"/>
              <w:rPr>
                <w:sz w:val="20"/>
                <w:szCs w:val="20"/>
                <w:color w:val="auto"/>
              </w:rPr>
            </w:pPr>
            <w:r>
              <w:rPr>
                <w:rFonts w:ascii="Arial" w:cs="Arial" w:eastAsia="Arial" w:hAnsi="Arial"/>
                <w:sz w:val="11"/>
                <w:szCs w:val="11"/>
                <w:color w:val="auto"/>
              </w:rPr>
              <w:t>4.70%</w:t>
            </w:r>
          </w:p>
        </w:tc>
        <w:tc>
          <w:tcPr>
            <w:tcW w:w="520" w:type="dxa"/>
            <w:vAlign w:val="bottom"/>
          </w:tcPr>
          <w:p>
            <w:pPr>
              <w:ind w:left="140"/>
              <w:spacing w:after="0"/>
              <w:rPr>
                <w:sz w:val="20"/>
                <w:szCs w:val="20"/>
                <w:color w:val="auto"/>
              </w:rPr>
            </w:pPr>
            <w:r>
              <w:rPr>
                <w:rFonts w:ascii="Arial" w:cs="Arial" w:eastAsia="Arial" w:hAnsi="Arial"/>
                <w:sz w:val="11"/>
                <w:szCs w:val="11"/>
                <w:color w:val="auto"/>
              </w:rPr>
              <w:t>4.81</w:t>
            </w:r>
          </w:p>
        </w:tc>
        <w:tc>
          <w:tcPr>
            <w:tcW w:w="840" w:type="dxa"/>
            <w:vAlign w:val="bottom"/>
          </w:tcPr>
          <w:p>
            <w:pPr>
              <w:jc w:val="right"/>
              <w:ind w:right="123"/>
              <w:spacing w:after="0"/>
              <w:rPr>
                <w:sz w:val="20"/>
                <w:szCs w:val="20"/>
                <w:color w:val="auto"/>
              </w:rPr>
            </w:pPr>
            <w:r>
              <w:rPr>
                <w:rFonts w:ascii="Arial" w:cs="Arial" w:eastAsia="Arial" w:hAnsi="Arial"/>
                <w:sz w:val="11"/>
                <w:szCs w:val="11"/>
                <w:color w:val="auto"/>
              </w:rPr>
              <w:t>7/1/30</w:t>
            </w:r>
          </w:p>
        </w:tc>
        <w:tc>
          <w:tcPr>
            <w:tcW w:w="120" w:type="dxa"/>
            <w:vAlign w:val="bottom"/>
          </w:tcPr>
          <w:p>
            <w:pPr>
              <w:spacing w:after="0"/>
              <w:rPr>
                <w:sz w:val="14"/>
                <w:szCs w:val="14"/>
                <w:color w:val="auto"/>
              </w:rPr>
            </w:pPr>
          </w:p>
        </w:tc>
        <w:tc>
          <w:tcPr>
            <w:tcW w:w="540" w:type="dxa"/>
            <w:vAlign w:val="bottom"/>
          </w:tcPr>
          <w:p>
            <w:pPr>
              <w:jc w:val="right"/>
              <w:ind w:right="143"/>
              <w:spacing w:after="0"/>
              <w:rPr>
                <w:sz w:val="20"/>
                <w:szCs w:val="20"/>
                <w:color w:val="auto"/>
              </w:rPr>
            </w:pPr>
            <w:r>
              <w:rPr>
                <w:rFonts w:ascii="Arial" w:cs="Arial" w:eastAsia="Arial" w:hAnsi="Arial"/>
                <w:sz w:val="11"/>
                <w:szCs w:val="11"/>
                <w:color w:val="auto"/>
              </w:rPr>
              <w:t>—</w:t>
            </w:r>
          </w:p>
        </w:tc>
        <w:tc>
          <w:tcPr>
            <w:tcW w:w="50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62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620" w:type="dxa"/>
            <w:vAlign w:val="bottom"/>
          </w:tcPr>
          <w:p>
            <w:pPr>
              <w:jc w:val="right"/>
              <w:ind w:right="143"/>
              <w:spacing w:after="0"/>
              <w:rPr>
                <w:sz w:val="20"/>
                <w:szCs w:val="20"/>
                <w:color w:val="auto"/>
              </w:rPr>
            </w:pPr>
            <w:r>
              <w:rPr>
                <w:rFonts w:ascii="Arial" w:cs="Arial" w:eastAsia="Arial" w:hAnsi="Arial"/>
                <w:sz w:val="11"/>
                <w:szCs w:val="11"/>
                <w:color w:val="auto"/>
              </w:rPr>
              <w:t>—</w:t>
            </w:r>
          </w:p>
        </w:tc>
        <w:tc>
          <w:tcPr>
            <w:tcW w:w="48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600" w:type="dxa"/>
            <w:vAlign w:val="bottom"/>
          </w:tcPr>
          <w:p>
            <w:pPr>
              <w:jc w:val="right"/>
              <w:ind w:right="3"/>
              <w:spacing w:after="0"/>
              <w:rPr>
                <w:sz w:val="20"/>
                <w:szCs w:val="20"/>
                <w:color w:val="auto"/>
              </w:rPr>
            </w:pPr>
            <w:r>
              <w:rPr>
                <w:rFonts w:ascii="Arial" w:cs="Arial" w:eastAsia="Arial" w:hAnsi="Arial"/>
                <w:sz w:val="11"/>
                <w:szCs w:val="11"/>
                <w:color w:val="auto"/>
              </w:rPr>
              <w:t>450,000</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450,000</w:t>
            </w:r>
          </w:p>
        </w:tc>
        <w:tc>
          <w:tcPr>
            <w:tcW w:w="120" w:type="dxa"/>
            <w:vAlign w:val="bottom"/>
          </w:tcPr>
          <w:p>
            <w:pPr>
              <w:spacing w:after="0"/>
              <w:rPr>
                <w:sz w:val="14"/>
                <w:szCs w:val="14"/>
                <w:color w:val="auto"/>
              </w:rPr>
            </w:pPr>
          </w:p>
        </w:tc>
        <w:tc>
          <w:tcPr>
            <w:tcW w:w="600" w:type="dxa"/>
            <w:vAlign w:val="bottom"/>
          </w:tcPr>
          <w:p>
            <w:pPr>
              <w:jc w:val="right"/>
              <w:ind w:right="4"/>
              <w:spacing w:after="0"/>
              <w:rPr>
                <w:sz w:val="20"/>
                <w:szCs w:val="20"/>
                <w:color w:val="auto"/>
              </w:rPr>
            </w:pPr>
            <w:r>
              <w:rPr>
                <w:rFonts w:ascii="Arial" w:cs="Arial" w:eastAsia="Arial" w:hAnsi="Arial"/>
                <w:sz w:val="11"/>
                <w:szCs w:val="11"/>
                <w:color w:val="auto"/>
              </w:rPr>
              <w:t>(2,241)</w:t>
            </w:r>
          </w:p>
        </w:tc>
        <w:tc>
          <w:tcPr>
            <w:tcW w:w="1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447,759</w:t>
            </w:r>
          </w:p>
        </w:tc>
        <w:tc>
          <w:tcPr>
            <w:tcW w:w="0" w:type="dxa"/>
            <w:vAlign w:val="bottom"/>
          </w:tcPr>
          <w:p>
            <w:pPr>
              <w:spacing w:after="0"/>
              <w:rPr>
                <w:sz w:val="1"/>
                <w:szCs w:val="1"/>
                <w:color w:val="auto"/>
              </w:rPr>
            </w:pPr>
          </w:p>
        </w:tc>
      </w:tr>
      <w:tr>
        <w:trPr>
          <w:trHeight w:val="172"/>
        </w:trPr>
        <w:tc>
          <w:tcPr>
            <w:tcW w:w="2520" w:type="dxa"/>
            <w:vAlign w:val="bottom"/>
          </w:tcPr>
          <w:p>
            <w:pPr>
              <w:spacing w:after="0"/>
              <w:rPr>
                <w:sz w:val="20"/>
                <w:szCs w:val="20"/>
                <w:color w:val="auto"/>
              </w:rPr>
            </w:pPr>
            <w:r>
              <w:rPr>
                <w:rFonts w:ascii="Arial" w:cs="Arial" w:eastAsia="Arial" w:hAnsi="Arial"/>
                <w:sz w:val="11"/>
                <w:szCs w:val="11"/>
                <w:color w:val="auto"/>
              </w:rPr>
              <w:t>Unsecured senior notes payable</w:t>
            </w:r>
          </w:p>
        </w:tc>
        <w:tc>
          <w:tcPr>
            <w:tcW w:w="920" w:type="dxa"/>
            <w:vAlign w:val="bottom"/>
          </w:tcPr>
          <w:p>
            <w:pPr>
              <w:jc w:val="right"/>
              <w:ind w:right="24"/>
              <w:spacing w:after="0"/>
              <w:rPr>
                <w:sz w:val="20"/>
                <w:szCs w:val="20"/>
                <w:color w:val="auto"/>
              </w:rPr>
            </w:pPr>
            <w:r>
              <w:rPr>
                <w:rFonts w:ascii="Arial" w:cs="Arial" w:eastAsia="Arial" w:hAnsi="Arial"/>
                <w:sz w:val="11"/>
                <w:szCs w:val="11"/>
                <w:color w:val="auto"/>
              </w:rPr>
              <w:t>4.90%</w:t>
            </w:r>
          </w:p>
        </w:tc>
        <w:tc>
          <w:tcPr>
            <w:tcW w:w="520" w:type="dxa"/>
            <w:vAlign w:val="bottom"/>
          </w:tcPr>
          <w:p>
            <w:pPr>
              <w:ind w:left="140"/>
              <w:spacing w:after="0"/>
              <w:rPr>
                <w:sz w:val="20"/>
                <w:szCs w:val="20"/>
                <w:color w:val="auto"/>
              </w:rPr>
            </w:pPr>
            <w:r>
              <w:rPr>
                <w:rFonts w:ascii="Arial" w:cs="Arial" w:eastAsia="Arial" w:hAnsi="Arial"/>
                <w:sz w:val="11"/>
                <w:szCs w:val="11"/>
                <w:color w:val="auto"/>
              </w:rPr>
              <w:t>5.05</w:t>
            </w:r>
          </w:p>
        </w:tc>
        <w:tc>
          <w:tcPr>
            <w:tcW w:w="840" w:type="dxa"/>
            <w:vAlign w:val="bottom"/>
          </w:tcPr>
          <w:p>
            <w:pPr>
              <w:jc w:val="right"/>
              <w:ind w:right="123"/>
              <w:spacing w:after="0"/>
              <w:rPr>
                <w:sz w:val="20"/>
                <w:szCs w:val="20"/>
                <w:color w:val="auto"/>
              </w:rPr>
            </w:pPr>
            <w:r>
              <w:rPr>
                <w:rFonts w:ascii="Arial" w:cs="Arial" w:eastAsia="Arial" w:hAnsi="Arial"/>
                <w:sz w:val="11"/>
                <w:szCs w:val="11"/>
                <w:color w:val="auto"/>
              </w:rPr>
              <w:t>12/15/30</w:t>
            </w:r>
          </w:p>
        </w:tc>
        <w:tc>
          <w:tcPr>
            <w:tcW w:w="120" w:type="dxa"/>
            <w:vAlign w:val="bottom"/>
          </w:tcPr>
          <w:p>
            <w:pPr>
              <w:spacing w:after="0"/>
              <w:rPr>
                <w:sz w:val="14"/>
                <w:szCs w:val="14"/>
                <w:color w:val="auto"/>
              </w:rPr>
            </w:pPr>
          </w:p>
        </w:tc>
        <w:tc>
          <w:tcPr>
            <w:tcW w:w="540" w:type="dxa"/>
            <w:vAlign w:val="bottom"/>
          </w:tcPr>
          <w:p>
            <w:pPr>
              <w:jc w:val="right"/>
              <w:ind w:right="143"/>
              <w:spacing w:after="0"/>
              <w:rPr>
                <w:sz w:val="20"/>
                <w:szCs w:val="20"/>
                <w:color w:val="auto"/>
              </w:rPr>
            </w:pPr>
            <w:r>
              <w:rPr>
                <w:rFonts w:ascii="Arial" w:cs="Arial" w:eastAsia="Arial" w:hAnsi="Arial"/>
                <w:sz w:val="11"/>
                <w:szCs w:val="11"/>
                <w:color w:val="auto"/>
              </w:rPr>
              <w:t>—</w:t>
            </w:r>
          </w:p>
        </w:tc>
        <w:tc>
          <w:tcPr>
            <w:tcW w:w="50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62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620" w:type="dxa"/>
            <w:vAlign w:val="bottom"/>
          </w:tcPr>
          <w:p>
            <w:pPr>
              <w:jc w:val="right"/>
              <w:ind w:right="143"/>
              <w:spacing w:after="0"/>
              <w:rPr>
                <w:sz w:val="20"/>
                <w:szCs w:val="20"/>
                <w:color w:val="auto"/>
              </w:rPr>
            </w:pPr>
            <w:r>
              <w:rPr>
                <w:rFonts w:ascii="Arial" w:cs="Arial" w:eastAsia="Arial" w:hAnsi="Arial"/>
                <w:sz w:val="11"/>
                <w:szCs w:val="11"/>
                <w:color w:val="auto"/>
              </w:rPr>
              <w:t>—</w:t>
            </w:r>
          </w:p>
        </w:tc>
        <w:tc>
          <w:tcPr>
            <w:tcW w:w="48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600" w:type="dxa"/>
            <w:vAlign w:val="bottom"/>
          </w:tcPr>
          <w:p>
            <w:pPr>
              <w:jc w:val="right"/>
              <w:ind w:right="3"/>
              <w:spacing w:after="0"/>
              <w:rPr>
                <w:sz w:val="20"/>
                <w:szCs w:val="20"/>
                <w:color w:val="auto"/>
              </w:rPr>
            </w:pPr>
            <w:r>
              <w:rPr>
                <w:rFonts w:ascii="Arial" w:cs="Arial" w:eastAsia="Arial" w:hAnsi="Arial"/>
                <w:sz w:val="11"/>
                <w:szCs w:val="11"/>
                <w:color w:val="auto"/>
              </w:rPr>
              <w:t>700,000</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700,000</w:t>
            </w:r>
          </w:p>
        </w:tc>
        <w:tc>
          <w:tcPr>
            <w:tcW w:w="120" w:type="dxa"/>
            <w:vAlign w:val="bottom"/>
          </w:tcPr>
          <w:p>
            <w:pPr>
              <w:spacing w:after="0"/>
              <w:rPr>
                <w:sz w:val="14"/>
                <w:szCs w:val="14"/>
                <w:color w:val="auto"/>
              </w:rPr>
            </w:pPr>
          </w:p>
        </w:tc>
        <w:tc>
          <w:tcPr>
            <w:tcW w:w="600" w:type="dxa"/>
            <w:vAlign w:val="bottom"/>
          </w:tcPr>
          <w:p>
            <w:pPr>
              <w:jc w:val="right"/>
              <w:ind w:right="4"/>
              <w:spacing w:after="0"/>
              <w:rPr>
                <w:sz w:val="20"/>
                <w:szCs w:val="20"/>
                <w:color w:val="auto"/>
              </w:rPr>
            </w:pPr>
            <w:r>
              <w:rPr>
                <w:rFonts w:ascii="Arial" w:cs="Arial" w:eastAsia="Arial" w:hAnsi="Arial"/>
                <w:sz w:val="11"/>
                <w:szCs w:val="11"/>
                <w:color w:val="auto"/>
              </w:rPr>
              <w:t>(5,121)</w:t>
            </w:r>
          </w:p>
        </w:tc>
        <w:tc>
          <w:tcPr>
            <w:tcW w:w="1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694,879</w:t>
            </w:r>
          </w:p>
        </w:tc>
        <w:tc>
          <w:tcPr>
            <w:tcW w:w="0" w:type="dxa"/>
            <w:vAlign w:val="bottom"/>
          </w:tcPr>
          <w:p>
            <w:pPr>
              <w:spacing w:after="0"/>
              <w:rPr>
                <w:sz w:val="1"/>
                <w:szCs w:val="1"/>
                <w:color w:val="auto"/>
              </w:rPr>
            </w:pPr>
          </w:p>
        </w:tc>
      </w:tr>
      <w:tr>
        <w:trPr>
          <w:trHeight w:val="172"/>
        </w:trPr>
        <w:tc>
          <w:tcPr>
            <w:tcW w:w="2520" w:type="dxa"/>
            <w:vAlign w:val="bottom"/>
          </w:tcPr>
          <w:p>
            <w:pPr>
              <w:spacing w:after="0"/>
              <w:rPr>
                <w:sz w:val="20"/>
                <w:szCs w:val="20"/>
                <w:color w:val="auto"/>
              </w:rPr>
            </w:pPr>
            <w:r>
              <w:rPr>
                <w:rFonts w:ascii="Arial" w:cs="Arial" w:eastAsia="Arial" w:hAnsi="Arial"/>
                <w:sz w:val="11"/>
                <w:szCs w:val="11"/>
                <w:color w:val="auto"/>
              </w:rPr>
              <w:t>Unsecured senior notes payable</w:t>
            </w:r>
          </w:p>
        </w:tc>
        <w:tc>
          <w:tcPr>
            <w:tcW w:w="920" w:type="dxa"/>
            <w:vAlign w:val="bottom"/>
          </w:tcPr>
          <w:p>
            <w:pPr>
              <w:jc w:val="right"/>
              <w:ind w:right="24"/>
              <w:spacing w:after="0"/>
              <w:rPr>
                <w:sz w:val="20"/>
                <w:szCs w:val="20"/>
                <w:color w:val="auto"/>
              </w:rPr>
            </w:pPr>
            <w:r>
              <w:rPr>
                <w:rFonts w:ascii="Arial" w:cs="Arial" w:eastAsia="Arial" w:hAnsi="Arial"/>
                <w:sz w:val="11"/>
                <w:szCs w:val="11"/>
                <w:color w:val="auto"/>
              </w:rPr>
              <w:t>3.375%</w:t>
            </w:r>
          </w:p>
        </w:tc>
        <w:tc>
          <w:tcPr>
            <w:tcW w:w="520" w:type="dxa"/>
            <w:vAlign w:val="bottom"/>
          </w:tcPr>
          <w:p>
            <w:pPr>
              <w:ind w:left="140"/>
              <w:spacing w:after="0"/>
              <w:rPr>
                <w:sz w:val="20"/>
                <w:szCs w:val="20"/>
                <w:color w:val="auto"/>
              </w:rPr>
            </w:pPr>
            <w:r>
              <w:rPr>
                <w:rFonts w:ascii="Arial" w:cs="Arial" w:eastAsia="Arial" w:hAnsi="Arial"/>
                <w:sz w:val="11"/>
                <w:szCs w:val="11"/>
                <w:color w:val="auto"/>
              </w:rPr>
              <w:t>3.48</w:t>
            </w:r>
          </w:p>
        </w:tc>
        <w:tc>
          <w:tcPr>
            <w:tcW w:w="840" w:type="dxa"/>
            <w:vAlign w:val="bottom"/>
          </w:tcPr>
          <w:p>
            <w:pPr>
              <w:jc w:val="right"/>
              <w:ind w:right="123"/>
              <w:spacing w:after="0"/>
              <w:rPr>
                <w:sz w:val="20"/>
                <w:szCs w:val="20"/>
                <w:color w:val="auto"/>
              </w:rPr>
            </w:pPr>
            <w:r>
              <w:rPr>
                <w:rFonts w:ascii="Arial" w:cs="Arial" w:eastAsia="Arial" w:hAnsi="Arial"/>
                <w:sz w:val="11"/>
                <w:szCs w:val="11"/>
                <w:color w:val="auto"/>
              </w:rPr>
              <w:t>8/15/31</w:t>
            </w:r>
          </w:p>
        </w:tc>
        <w:tc>
          <w:tcPr>
            <w:tcW w:w="120" w:type="dxa"/>
            <w:vAlign w:val="bottom"/>
          </w:tcPr>
          <w:p>
            <w:pPr>
              <w:spacing w:after="0"/>
              <w:rPr>
                <w:sz w:val="14"/>
                <w:szCs w:val="14"/>
                <w:color w:val="auto"/>
              </w:rPr>
            </w:pPr>
          </w:p>
        </w:tc>
        <w:tc>
          <w:tcPr>
            <w:tcW w:w="540" w:type="dxa"/>
            <w:vAlign w:val="bottom"/>
          </w:tcPr>
          <w:p>
            <w:pPr>
              <w:jc w:val="right"/>
              <w:ind w:right="143"/>
              <w:spacing w:after="0"/>
              <w:rPr>
                <w:sz w:val="20"/>
                <w:szCs w:val="20"/>
                <w:color w:val="auto"/>
              </w:rPr>
            </w:pPr>
            <w:r>
              <w:rPr>
                <w:rFonts w:ascii="Arial" w:cs="Arial" w:eastAsia="Arial" w:hAnsi="Arial"/>
                <w:sz w:val="11"/>
                <w:szCs w:val="11"/>
                <w:color w:val="auto"/>
              </w:rPr>
              <w:t>—</w:t>
            </w:r>
          </w:p>
        </w:tc>
        <w:tc>
          <w:tcPr>
            <w:tcW w:w="50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62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620" w:type="dxa"/>
            <w:vAlign w:val="bottom"/>
          </w:tcPr>
          <w:p>
            <w:pPr>
              <w:jc w:val="right"/>
              <w:ind w:right="143"/>
              <w:spacing w:after="0"/>
              <w:rPr>
                <w:sz w:val="20"/>
                <w:szCs w:val="20"/>
                <w:color w:val="auto"/>
              </w:rPr>
            </w:pPr>
            <w:r>
              <w:rPr>
                <w:rFonts w:ascii="Arial" w:cs="Arial" w:eastAsia="Arial" w:hAnsi="Arial"/>
                <w:sz w:val="11"/>
                <w:szCs w:val="11"/>
                <w:color w:val="auto"/>
              </w:rPr>
              <w:t>—</w:t>
            </w:r>
          </w:p>
        </w:tc>
        <w:tc>
          <w:tcPr>
            <w:tcW w:w="48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600" w:type="dxa"/>
            <w:vAlign w:val="bottom"/>
          </w:tcPr>
          <w:p>
            <w:pPr>
              <w:jc w:val="right"/>
              <w:ind w:right="3"/>
              <w:spacing w:after="0"/>
              <w:rPr>
                <w:sz w:val="20"/>
                <w:szCs w:val="20"/>
                <w:color w:val="auto"/>
              </w:rPr>
            </w:pPr>
            <w:r>
              <w:rPr>
                <w:rFonts w:ascii="Arial" w:cs="Arial" w:eastAsia="Arial" w:hAnsi="Arial"/>
                <w:sz w:val="11"/>
                <w:szCs w:val="11"/>
                <w:color w:val="auto"/>
              </w:rPr>
              <w:t>750,000</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750,000</w:t>
            </w:r>
          </w:p>
        </w:tc>
        <w:tc>
          <w:tcPr>
            <w:tcW w:w="120" w:type="dxa"/>
            <w:vAlign w:val="bottom"/>
          </w:tcPr>
          <w:p>
            <w:pPr>
              <w:spacing w:after="0"/>
              <w:rPr>
                <w:sz w:val="14"/>
                <w:szCs w:val="14"/>
                <w:color w:val="auto"/>
              </w:rPr>
            </w:pPr>
          </w:p>
        </w:tc>
        <w:tc>
          <w:tcPr>
            <w:tcW w:w="600" w:type="dxa"/>
            <w:vAlign w:val="bottom"/>
          </w:tcPr>
          <w:p>
            <w:pPr>
              <w:jc w:val="right"/>
              <w:ind w:right="4"/>
              <w:spacing w:after="0"/>
              <w:rPr>
                <w:sz w:val="20"/>
                <w:szCs w:val="20"/>
                <w:color w:val="auto"/>
              </w:rPr>
            </w:pPr>
            <w:r>
              <w:rPr>
                <w:rFonts w:ascii="Arial" w:cs="Arial" w:eastAsia="Arial" w:hAnsi="Arial"/>
                <w:sz w:val="11"/>
                <w:szCs w:val="11"/>
                <w:color w:val="auto"/>
              </w:rPr>
              <w:t>(4,669)</w:t>
            </w:r>
          </w:p>
        </w:tc>
        <w:tc>
          <w:tcPr>
            <w:tcW w:w="1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745,331</w:t>
            </w:r>
          </w:p>
        </w:tc>
        <w:tc>
          <w:tcPr>
            <w:tcW w:w="0" w:type="dxa"/>
            <w:vAlign w:val="bottom"/>
          </w:tcPr>
          <w:p>
            <w:pPr>
              <w:spacing w:after="0"/>
              <w:rPr>
                <w:sz w:val="1"/>
                <w:szCs w:val="1"/>
                <w:color w:val="auto"/>
              </w:rPr>
            </w:pPr>
          </w:p>
        </w:tc>
      </w:tr>
      <w:tr>
        <w:trPr>
          <w:trHeight w:val="172"/>
        </w:trPr>
        <w:tc>
          <w:tcPr>
            <w:tcW w:w="2520" w:type="dxa"/>
            <w:vAlign w:val="bottom"/>
          </w:tcPr>
          <w:p>
            <w:pPr>
              <w:spacing w:after="0"/>
              <w:rPr>
                <w:sz w:val="20"/>
                <w:szCs w:val="20"/>
                <w:color w:val="auto"/>
              </w:rPr>
            </w:pPr>
            <w:r>
              <w:rPr>
                <w:rFonts w:ascii="Arial" w:cs="Arial" w:eastAsia="Arial" w:hAnsi="Arial"/>
                <w:sz w:val="11"/>
                <w:szCs w:val="11"/>
                <w:color w:val="auto"/>
              </w:rPr>
              <w:t>Unsecured senior notes payable</w:t>
            </w:r>
          </w:p>
        </w:tc>
        <w:tc>
          <w:tcPr>
            <w:tcW w:w="920" w:type="dxa"/>
            <w:vAlign w:val="bottom"/>
          </w:tcPr>
          <w:p>
            <w:pPr>
              <w:jc w:val="right"/>
              <w:ind w:right="24"/>
              <w:spacing w:after="0"/>
              <w:rPr>
                <w:sz w:val="20"/>
                <w:szCs w:val="20"/>
                <w:color w:val="auto"/>
              </w:rPr>
            </w:pPr>
            <w:r>
              <w:rPr>
                <w:rFonts w:ascii="Arial" w:cs="Arial" w:eastAsia="Arial" w:hAnsi="Arial"/>
                <w:sz w:val="11"/>
                <w:szCs w:val="11"/>
                <w:color w:val="auto"/>
              </w:rPr>
              <w:t>2.00%</w:t>
            </w:r>
          </w:p>
        </w:tc>
        <w:tc>
          <w:tcPr>
            <w:tcW w:w="520" w:type="dxa"/>
            <w:vAlign w:val="bottom"/>
          </w:tcPr>
          <w:p>
            <w:pPr>
              <w:ind w:left="140"/>
              <w:spacing w:after="0"/>
              <w:rPr>
                <w:sz w:val="20"/>
                <w:szCs w:val="20"/>
                <w:color w:val="auto"/>
              </w:rPr>
            </w:pPr>
            <w:r>
              <w:rPr>
                <w:rFonts w:ascii="Arial" w:cs="Arial" w:eastAsia="Arial" w:hAnsi="Arial"/>
                <w:sz w:val="11"/>
                <w:szCs w:val="11"/>
                <w:color w:val="auto"/>
              </w:rPr>
              <w:t>2.12</w:t>
            </w:r>
          </w:p>
        </w:tc>
        <w:tc>
          <w:tcPr>
            <w:tcW w:w="840" w:type="dxa"/>
            <w:vAlign w:val="bottom"/>
          </w:tcPr>
          <w:p>
            <w:pPr>
              <w:jc w:val="right"/>
              <w:ind w:right="123"/>
              <w:spacing w:after="0"/>
              <w:rPr>
                <w:sz w:val="20"/>
                <w:szCs w:val="20"/>
                <w:color w:val="auto"/>
              </w:rPr>
            </w:pPr>
            <w:r>
              <w:rPr>
                <w:rFonts w:ascii="Arial" w:cs="Arial" w:eastAsia="Arial" w:hAnsi="Arial"/>
                <w:sz w:val="11"/>
                <w:szCs w:val="11"/>
                <w:color w:val="auto"/>
              </w:rPr>
              <w:t>5/18/32</w:t>
            </w:r>
          </w:p>
        </w:tc>
        <w:tc>
          <w:tcPr>
            <w:tcW w:w="120" w:type="dxa"/>
            <w:vAlign w:val="bottom"/>
          </w:tcPr>
          <w:p>
            <w:pPr>
              <w:spacing w:after="0"/>
              <w:rPr>
                <w:sz w:val="14"/>
                <w:szCs w:val="14"/>
                <w:color w:val="auto"/>
              </w:rPr>
            </w:pPr>
          </w:p>
        </w:tc>
        <w:tc>
          <w:tcPr>
            <w:tcW w:w="540" w:type="dxa"/>
            <w:vAlign w:val="bottom"/>
          </w:tcPr>
          <w:p>
            <w:pPr>
              <w:jc w:val="right"/>
              <w:ind w:right="143"/>
              <w:spacing w:after="0"/>
              <w:rPr>
                <w:sz w:val="20"/>
                <w:szCs w:val="20"/>
                <w:color w:val="auto"/>
              </w:rPr>
            </w:pPr>
            <w:r>
              <w:rPr>
                <w:rFonts w:ascii="Arial" w:cs="Arial" w:eastAsia="Arial" w:hAnsi="Arial"/>
                <w:sz w:val="11"/>
                <w:szCs w:val="11"/>
                <w:color w:val="auto"/>
              </w:rPr>
              <w:t>—</w:t>
            </w:r>
          </w:p>
        </w:tc>
        <w:tc>
          <w:tcPr>
            <w:tcW w:w="50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62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620" w:type="dxa"/>
            <w:vAlign w:val="bottom"/>
          </w:tcPr>
          <w:p>
            <w:pPr>
              <w:jc w:val="right"/>
              <w:ind w:right="143"/>
              <w:spacing w:after="0"/>
              <w:rPr>
                <w:sz w:val="20"/>
                <w:szCs w:val="20"/>
                <w:color w:val="auto"/>
              </w:rPr>
            </w:pPr>
            <w:r>
              <w:rPr>
                <w:rFonts w:ascii="Arial" w:cs="Arial" w:eastAsia="Arial" w:hAnsi="Arial"/>
                <w:sz w:val="11"/>
                <w:szCs w:val="11"/>
                <w:color w:val="auto"/>
              </w:rPr>
              <w:t>—</w:t>
            </w:r>
          </w:p>
        </w:tc>
        <w:tc>
          <w:tcPr>
            <w:tcW w:w="48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600" w:type="dxa"/>
            <w:vAlign w:val="bottom"/>
          </w:tcPr>
          <w:p>
            <w:pPr>
              <w:jc w:val="right"/>
              <w:ind w:right="3"/>
              <w:spacing w:after="0"/>
              <w:rPr>
                <w:sz w:val="20"/>
                <w:szCs w:val="20"/>
                <w:color w:val="auto"/>
              </w:rPr>
            </w:pPr>
            <w:r>
              <w:rPr>
                <w:rFonts w:ascii="Arial" w:cs="Arial" w:eastAsia="Arial" w:hAnsi="Arial"/>
                <w:sz w:val="11"/>
                <w:szCs w:val="11"/>
                <w:color w:val="auto"/>
              </w:rPr>
              <w:t>900,000</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900,000</w:t>
            </w:r>
          </w:p>
        </w:tc>
        <w:tc>
          <w:tcPr>
            <w:tcW w:w="120" w:type="dxa"/>
            <w:vAlign w:val="bottom"/>
          </w:tcPr>
          <w:p>
            <w:pPr>
              <w:spacing w:after="0"/>
              <w:rPr>
                <w:sz w:val="14"/>
                <w:szCs w:val="14"/>
                <w:color w:val="auto"/>
              </w:rPr>
            </w:pPr>
          </w:p>
        </w:tc>
        <w:tc>
          <w:tcPr>
            <w:tcW w:w="600" w:type="dxa"/>
            <w:vAlign w:val="bottom"/>
          </w:tcPr>
          <w:p>
            <w:pPr>
              <w:jc w:val="right"/>
              <w:ind w:right="4"/>
              <w:spacing w:after="0"/>
              <w:rPr>
                <w:sz w:val="20"/>
                <w:szCs w:val="20"/>
                <w:color w:val="auto"/>
              </w:rPr>
            </w:pPr>
            <w:r>
              <w:rPr>
                <w:rFonts w:ascii="Arial" w:cs="Arial" w:eastAsia="Arial" w:hAnsi="Arial"/>
                <w:sz w:val="11"/>
                <w:szCs w:val="11"/>
                <w:color w:val="auto"/>
              </w:rPr>
              <w:t>(7,428)</w:t>
            </w:r>
          </w:p>
        </w:tc>
        <w:tc>
          <w:tcPr>
            <w:tcW w:w="1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892,572</w:t>
            </w:r>
          </w:p>
        </w:tc>
        <w:tc>
          <w:tcPr>
            <w:tcW w:w="0" w:type="dxa"/>
            <w:vAlign w:val="bottom"/>
          </w:tcPr>
          <w:p>
            <w:pPr>
              <w:spacing w:after="0"/>
              <w:rPr>
                <w:sz w:val="1"/>
                <w:szCs w:val="1"/>
                <w:color w:val="auto"/>
              </w:rPr>
            </w:pPr>
          </w:p>
        </w:tc>
      </w:tr>
      <w:tr>
        <w:trPr>
          <w:trHeight w:val="172"/>
        </w:trPr>
        <w:tc>
          <w:tcPr>
            <w:tcW w:w="2520" w:type="dxa"/>
            <w:vAlign w:val="bottom"/>
          </w:tcPr>
          <w:p>
            <w:pPr>
              <w:spacing w:after="0"/>
              <w:rPr>
                <w:sz w:val="20"/>
                <w:szCs w:val="20"/>
                <w:color w:val="auto"/>
              </w:rPr>
            </w:pPr>
            <w:r>
              <w:rPr>
                <w:rFonts w:ascii="Arial" w:cs="Arial" w:eastAsia="Arial" w:hAnsi="Arial"/>
                <w:sz w:val="11"/>
                <w:szCs w:val="11"/>
                <w:color w:val="auto"/>
              </w:rPr>
              <w:t>Unsecured senior notes payable</w:t>
            </w:r>
          </w:p>
        </w:tc>
        <w:tc>
          <w:tcPr>
            <w:tcW w:w="920" w:type="dxa"/>
            <w:vAlign w:val="bottom"/>
          </w:tcPr>
          <w:p>
            <w:pPr>
              <w:jc w:val="right"/>
              <w:ind w:right="24"/>
              <w:spacing w:after="0"/>
              <w:rPr>
                <w:sz w:val="20"/>
                <w:szCs w:val="20"/>
                <w:color w:val="auto"/>
              </w:rPr>
            </w:pPr>
            <w:r>
              <w:rPr>
                <w:rFonts w:ascii="Arial" w:cs="Arial" w:eastAsia="Arial" w:hAnsi="Arial"/>
                <w:sz w:val="11"/>
                <w:szCs w:val="11"/>
                <w:color w:val="auto"/>
              </w:rPr>
              <w:t>1.875%</w:t>
            </w:r>
          </w:p>
        </w:tc>
        <w:tc>
          <w:tcPr>
            <w:tcW w:w="520" w:type="dxa"/>
            <w:vAlign w:val="bottom"/>
          </w:tcPr>
          <w:p>
            <w:pPr>
              <w:ind w:left="140"/>
              <w:spacing w:after="0"/>
              <w:rPr>
                <w:sz w:val="20"/>
                <w:szCs w:val="20"/>
                <w:color w:val="auto"/>
              </w:rPr>
            </w:pPr>
            <w:r>
              <w:rPr>
                <w:rFonts w:ascii="Arial" w:cs="Arial" w:eastAsia="Arial" w:hAnsi="Arial"/>
                <w:sz w:val="11"/>
                <w:szCs w:val="11"/>
                <w:color w:val="auto"/>
              </w:rPr>
              <w:t>1.97</w:t>
            </w:r>
          </w:p>
        </w:tc>
        <w:tc>
          <w:tcPr>
            <w:tcW w:w="840" w:type="dxa"/>
            <w:vAlign w:val="bottom"/>
          </w:tcPr>
          <w:p>
            <w:pPr>
              <w:jc w:val="right"/>
              <w:ind w:right="123"/>
              <w:spacing w:after="0"/>
              <w:rPr>
                <w:sz w:val="20"/>
                <w:szCs w:val="20"/>
                <w:color w:val="auto"/>
              </w:rPr>
            </w:pPr>
            <w:r>
              <w:rPr>
                <w:rFonts w:ascii="Arial" w:cs="Arial" w:eastAsia="Arial" w:hAnsi="Arial"/>
                <w:sz w:val="11"/>
                <w:szCs w:val="11"/>
                <w:color w:val="auto"/>
              </w:rPr>
              <w:t>2/1/33</w:t>
            </w:r>
          </w:p>
        </w:tc>
        <w:tc>
          <w:tcPr>
            <w:tcW w:w="120" w:type="dxa"/>
            <w:vAlign w:val="bottom"/>
          </w:tcPr>
          <w:p>
            <w:pPr>
              <w:spacing w:after="0"/>
              <w:rPr>
                <w:sz w:val="14"/>
                <w:szCs w:val="14"/>
                <w:color w:val="auto"/>
              </w:rPr>
            </w:pPr>
          </w:p>
        </w:tc>
        <w:tc>
          <w:tcPr>
            <w:tcW w:w="540" w:type="dxa"/>
            <w:vAlign w:val="bottom"/>
          </w:tcPr>
          <w:p>
            <w:pPr>
              <w:jc w:val="right"/>
              <w:ind w:right="143"/>
              <w:spacing w:after="0"/>
              <w:rPr>
                <w:sz w:val="20"/>
                <w:szCs w:val="20"/>
                <w:color w:val="auto"/>
              </w:rPr>
            </w:pPr>
            <w:r>
              <w:rPr>
                <w:rFonts w:ascii="Arial" w:cs="Arial" w:eastAsia="Arial" w:hAnsi="Arial"/>
                <w:sz w:val="11"/>
                <w:szCs w:val="11"/>
                <w:color w:val="auto"/>
              </w:rPr>
              <w:t>—</w:t>
            </w:r>
          </w:p>
        </w:tc>
        <w:tc>
          <w:tcPr>
            <w:tcW w:w="50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62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620" w:type="dxa"/>
            <w:vAlign w:val="bottom"/>
          </w:tcPr>
          <w:p>
            <w:pPr>
              <w:jc w:val="right"/>
              <w:ind w:right="143"/>
              <w:spacing w:after="0"/>
              <w:rPr>
                <w:sz w:val="20"/>
                <w:szCs w:val="20"/>
                <w:color w:val="auto"/>
              </w:rPr>
            </w:pPr>
            <w:r>
              <w:rPr>
                <w:rFonts w:ascii="Arial" w:cs="Arial" w:eastAsia="Arial" w:hAnsi="Arial"/>
                <w:sz w:val="11"/>
                <w:szCs w:val="11"/>
                <w:color w:val="auto"/>
              </w:rPr>
              <w:t>—</w:t>
            </w:r>
          </w:p>
        </w:tc>
        <w:tc>
          <w:tcPr>
            <w:tcW w:w="48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600" w:type="dxa"/>
            <w:vAlign w:val="bottom"/>
          </w:tcPr>
          <w:p>
            <w:pPr>
              <w:jc w:val="right"/>
              <w:ind w:right="3"/>
              <w:spacing w:after="0"/>
              <w:rPr>
                <w:sz w:val="20"/>
                <w:szCs w:val="20"/>
                <w:color w:val="auto"/>
              </w:rPr>
            </w:pPr>
            <w:r>
              <w:rPr>
                <w:rFonts w:ascii="Arial" w:cs="Arial" w:eastAsia="Arial" w:hAnsi="Arial"/>
                <w:sz w:val="11"/>
                <w:szCs w:val="11"/>
                <w:color w:val="auto"/>
              </w:rPr>
              <w:t>1,000,000</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1,000,000</w:t>
            </w:r>
          </w:p>
        </w:tc>
        <w:tc>
          <w:tcPr>
            <w:tcW w:w="120" w:type="dxa"/>
            <w:vAlign w:val="bottom"/>
          </w:tcPr>
          <w:p>
            <w:pPr>
              <w:spacing w:after="0"/>
              <w:rPr>
                <w:sz w:val="14"/>
                <w:szCs w:val="14"/>
                <w:color w:val="auto"/>
              </w:rPr>
            </w:pPr>
          </w:p>
        </w:tc>
        <w:tc>
          <w:tcPr>
            <w:tcW w:w="600" w:type="dxa"/>
            <w:vAlign w:val="bottom"/>
          </w:tcPr>
          <w:p>
            <w:pPr>
              <w:jc w:val="right"/>
              <w:ind w:right="4"/>
              <w:spacing w:after="0"/>
              <w:rPr>
                <w:sz w:val="20"/>
                <w:szCs w:val="20"/>
                <w:color w:val="auto"/>
              </w:rPr>
            </w:pPr>
            <w:r>
              <w:rPr>
                <w:rFonts w:ascii="Arial" w:cs="Arial" w:eastAsia="Arial" w:hAnsi="Arial"/>
                <w:sz w:val="11"/>
                <w:szCs w:val="11"/>
                <w:color w:val="auto"/>
              </w:rPr>
              <w:t>(7,543)</w:t>
            </w:r>
          </w:p>
        </w:tc>
        <w:tc>
          <w:tcPr>
            <w:tcW w:w="1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992,457</w:t>
            </w:r>
          </w:p>
        </w:tc>
        <w:tc>
          <w:tcPr>
            <w:tcW w:w="0" w:type="dxa"/>
            <w:vAlign w:val="bottom"/>
          </w:tcPr>
          <w:p>
            <w:pPr>
              <w:spacing w:after="0"/>
              <w:rPr>
                <w:sz w:val="1"/>
                <w:szCs w:val="1"/>
                <w:color w:val="auto"/>
              </w:rPr>
            </w:pPr>
          </w:p>
        </w:tc>
      </w:tr>
      <w:tr>
        <w:trPr>
          <w:trHeight w:val="172"/>
        </w:trPr>
        <w:tc>
          <w:tcPr>
            <w:tcW w:w="2520" w:type="dxa"/>
            <w:vAlign w:val="bottom"/>
          </w:tcPr>
          <w:p>
            <w:pPr>
              <w:spacing w:after="0"/>
              <w:rPr>
                <w:sz w:val="20"/>
                <w:szCs w:val="20"/>
                <w:color w:val="auto"/>
              </w:rPr>
            </w:pPr>
            <w:r>
              <w:rPr>
                <w:rFonts w:ascii="Arial" w:cs="Arial" w:eastAsia="Arial" w:hAnsi="Arial"/>
                <w:sz w:val="11"/>
                <w:szCs w:val="11"/>
                <w:color w:val="auto"/>
              </w:rPr>
              <w:t>Unsecured senior notes payable</w:t>
            </w:r>
          </w:p>
        </w:tc>
        <w:tc>
          <w:tcPr>
            <w:tcW w:w="920" w:type="dxa"/>
            <w:vAlign w:val="bottom"/>
          </w:tcPr>
          <w:p>
            <w:pPr>
              <w:jc w:val="right"/>
              <w:ind w:right="24"/>
              <w:spacing w:after="0"/>
              <w:rPr>
                <w:sz w:val="20"/>
                <w:szCs w:val="20"/>
                <w:color w:val="auto"/>
              </w:rPr>
            </w:pPr>
            <w:r>
              <w:rPr>
                <w:rFonts w:ascii="Arial" w:cs="Arial" w:eastAsia="Arial" w:hAnsi="Arial"/>
                <w:sz w:val="11"/>
                <w:szCs w:val="11"/>
                <w:color w:val="auto"/>
              </w:rPr>
              <w:t>2.95%</w:t>
            </w:r>
          </w:p>
        </w:tc>
        <w:tc>
          <w:tcPr>
            <w:tcW w:w="520" w:type="dxa"/>
            <w:vAlign w:val="bottom"/>
          </w:tcPr>
          <w:p>
            <w:pPr>
              <w:ind w:left="140"/>
              <w:spacing w:after="0"/>
              <w:rPr>
                <w:sz w:val="20"/>
                <w:szCs w:val="20"/>
                <w:color w:val="auto"/>
              </w:rPr>
            </w:pPr>
            <w:r>
              <w:rPr>
                <w:rFonts w:ascii="Arial" w:cs="Arial" w:eastAsia="Arial" w:hAnsi="Arial"/>
                <w:sz w:val="11"/>
                <w:szCs w:val="11"/>
                <w:color w:val="auto"/>
              </w:rPr>
              <w:t>3.07</w:t>
            </w:r>
          </w:p>
        </w:tc>
        <w:tc>
          <w:tcPr>
            <w:tcW w:w="840" w:type="dxa"/>
            <w:vAlign w:val="bottom"/>
          </w:tcPr>
          <w:p>
            <w:pPr>
              <w:jc w:val="right"/>
              <w:ind w:right="123"/>
              <w:spacing w:after="0"/>
              <w:rPr>
                <w:sz w:val="20"/>
                <w:szCs w:val="20"/>
                <w:color w:val="auto"/>
              </w:rPr>
            </w:pPr>
            <w:r>
              <w:rPr>
                <w:rFonts w:ascii="Arial" w:cs="Arial" w:eastAsia="Arial" w:hAnsi="Arial"/>
                <w:sz w:val="11"/>
                <w:szCs w:val="11"/>
                <w:color w:val="auto"/>
              </w:rPr>
              <w:t>3/15/34</w:t>
            </w:r>
          </w:p>
        </w:tc>
        <w:tc>
          <w:tcPr>
            <w:tcW w:w="120" w:type="dxa"/>
            <w:vAlign w:val="bottom"/>
          </w:tcPr>
          <w:p>
            <w:pPr>
              <w:spacing w:after="0"/>
              <w:rPr>
                <w:sz w:val="14"/>
                <w:szCs w:val="14"/>
                <w:color w:val="auto"/>
              </w:rPr>
            </w:pPr>
          </w:p>
        </w:tc>
        <w:tc>
          <w:tcPr>
            <w:tcW w:w="540" w:type="dxa"/>
            <w:vAlign w:val="bottom"/>
          </w:tcPr>
          <w:p>
            <w:pPr>
              <w:jc w:val="right"/>
              <w:ind w:right="143"/>
              <w:spacing w:after="0"/>
              <w:rPr>
                <w:sz w:val="20"/>
                <w:szCs w:val="20"/>
                <w:color w:val="auto"/>
              </w:rPr>
            </w:pPr>
            <w:r>
              <w:rPr>
                <w:rFonts w:ascii="Arial" w:cs="Arial" w:eastAsia="Arial" w:hAnsi="Arial"/>
                <w:sz w:val="11"/>
                <w:szCs w:val="11"/>
                <w:color w:val="auto"/>
              </w:rPr>
              <w:t>—</w:t>
            </w:r>
          </w:p>
        </w:tc>
        <w:tc>
          <w:tcPr>
            <w:tcW w:w="50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62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620" w:type="dxa"/>
            <w:vAlign w:val="bottom"/>
          </w:tcPr>
          <w:p>
            <w:pPr>
              <w:jc w:val="right"/>
              <w:ind w:right="143"/>
              <w:spacing w:after="0"/>
              <w:rPr>
                <w:sz w:val="20"/>
                <w:szCs w:val="20"/>
                <w:color w:val="auto"/>
              </w:rPr>
            </w:pPr>
            <w:r>
              <w:rPr>
                <w:rFonts w:ascii="Arial" w:cs="Arial" w:eastAsia="Arial" w:hAnsi="Arial"/>
                <w:sz w:val="11"/>
                <w:szCs w:val="11"/>
                <w:color w:val="auto"/>
              </w:rPr>
              <w:t>—</w:t>
            </w:r>
          </w:p>
        </w:tc>
        <w:tc>
          <w:tcPr>
            <w:tcW w:w="48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600" w:type="dxa"/>
            <w:vAlign w:val="bottom"/>
          </w:tcPr>
          <w:p>
            <w:pPr>
              <w:jc w:val="right"/>
              <w:ind w:right="3"/>
              <w:spacing w:after="0"/>
              <w:rPr>
                <w:sz w:val="20"/>
                <w:szCs w:val="20"/>
                <w:color w:val="auto"/>
              </w:rPr>
            </w:pPr>
            <w:r>
              <w:rPr>
                <w:rFonts w:ascii="Arial" w:cs="Arial" w:eastAsia="Arial" w:hAnsi="Arial"/>
                <w:sz w:val="11"/>
                <w:szCs w:val="11"/>
                <w:color w:val="auto"/>
              </w:rPr>
              <w:t>800,000</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800,000</w:t>
            </w:r>
          </w:p>
        </w:tc>
        <w:tc>
          <w:tcPr>
            <w:tcW w:w="120" w:type="dxa"/>
            <w:vAlign w:val="bottom"/>
          </w:tcPr>
          <w:p>
            <w:pPr>
              <w:spacing w:after="0"/>
              <w:rPr>
                <w:sz w:val="14"/>
                <w:szCs w:val="14"/>
                <w:color w:val="auto"/>
              </w:rPr>
            </w:pPr>
          </w:p>
        </w:tc>
        <w:tc>
          <w:tcPr>
            <w:tcW w:w="600" w:type="dxa"/>
            <w:vAlign w:val="bottom"/>
          </w:tcPr>
          <w:p>
            <w:pPr>
              <w:jc w:val="right"/>
              <w:ind w:right="4"/>
              <w:spacing w:after="0"/>
              <w:rPr>
                <w:sz w:val="20"/>
                <w:szCs w:val="20"/>
                <w:color w:val="auto"/>
              </w:rPr>
            </w:pPr>
            <w:r>
              <w:rPr>
                <w:rFonts w:ascii="Arial" w:cs="Arial" w:eastAsia="Arial" w:hAnsi="Arial"/>
                <w:sz w:val="11"/>
                <w:szCs w:val="11"/>
                <w:color w:val="auto"/>
              </w:rPr>
              <w:t>(7,613)</w:t>
            </w:r>
          </w:p>
        </w:tc>
        <w:tc>
          <w:tcPr>
            <w:tcW w:w="1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792,387</w:t>
            </w:r>
          </w:p>
        </w:tc>
        <w:tc>
          <w:tcPr>
            <w:tcW w:w="0" w:type="dxa"/>
            <w:vAlign w:val="bottom"/>
          </w:tcPr>
          <w:p>
            <w:pPr>
              <w:spacing w:after="0"/>
              <w:rPr>
                <w:sz w:val="1"/>
                <w:szCs w:val="1"/>
                <w:color w:val="auto"/>
              </w:rPr>
            </w:pPr>
          </w:p>
        </w:tc>
      </w:tr>
    </w:tbl>
    <w:p>
      <w:pPr>
        <w:sectPr>
          <w:pgSz w:w="11900" w:h="16838" w:orient="portrait"/>
          <w:cols w:equalWidth="0" w:num="1">
            <w:col w:w="10760"/>
          </w:cols>
          <w:pgMar w:left="580" w:top="537" w:right="559" w:bottom="0" w:gutter="0" w:footer="0" w:header="0"/>
        </w:sectPr>
      </w:pPr>
    </w:p>
    <w:bookmarkStart w:id="26" w:name="page27"/>
    <w:bookmarkEnd w:id="26"/>
    <w:p>
      <w:pPr>
        <w:spacing w:after="0" w:line="1" w:lineRule="exact"/>
        <w:rPr>
          <w:sz w:val="20"/>
          <w:szCs w:val="20"/>
          <w:color w:val="auto"/>
        </w:rPr>
      </w:pPr>
    </w:p>
    <w:tbl>
      <w:tblPr>
        <w:tblLayout w:type="fixed"/>
        <w:tblInd w:w="6" w:type="dxa"/>
        <w:tblCellMar>
          <w:top w:w="0" w:type="dxa"/>
          <w:left w:w="0" w:type="dxa"/>
          <w:bottom w:w="0" w:type="dxa"/>
          <w:right w:w="0" w:type="dxa"/>
        </w:tblCellMar>
      </w:tblPr>
      <w:tr>
        <w:trPr>
          <w:trHeight w:val="126"/>
        </w:trPr>
        <w:tc>
          <w:tcPr>
            <w:tcW w:w="2560" w:type="dxa"/>
            <w:vAlign w:val="bottom"/>
          </w:tcPr>
          <w:p>
            <w:pPr>
              <w:ind w:left="40"/>
              <w:spacing w:after="0"/>
              <w:rPr>
                <w:sz w:val="20"/>
                <w:szCs w:val="20"/>
                <w:color w:val="auto"/>
              </w:rPr>
            </w:pPr>
            <w:r>
              <w:rPr>
                <w:rFonts w:ascii="Arial" w:cs="Arial" w:eastAsia="Arial" w:hAnsi="Arial"/>
                <w:sz w:val="11"/>
                <w:szCs w:val="11"/>
                <w:color w:val="auto"/>
              </w:rPr>
              <w:t>Unsecured senior notes payable</w:t>
            </w:r>
          </w:p>
        </w:tc>
        <w:tc>
          <w:tcPr>
            <w:tcW w:w="900" w:type="dxa"/>
            <w:vAlign w:val="bottom"/>
          </w:tcPr>
          <w:p>
            <w:pPr>
              <w:jc w:val="right"/>
              <w:ind w:right="3"/>
              <w:spacing w:after="0"/>
              <w:rPr>
                <w:sz w:val="20"/>
                <w:szCs w:val="20"/>
                <w:color w:val="auto"/>
              </w:rPr>
            </w:pPr>
            <w:r>
              <w:rPr>
                <w:rFonts w:ascii="Arial" w:cs="Arial" w:eastAsia="Arial" w:hAnsi="Arial"/>
                <w:sz w:val="11"/>
                <w:szCs w:val="11"/>
                <w:color w:val="auto"/>
              </w:rPr>
              <w:t>4.75%</w:t>
            </w:r>
          </w:p>
        </w:tc>
        <w:tc>
          <w:tcPr>
            <w:tcW w:w="540" w:type="dxa"/>
            <w:vAlign w:val="bottom"/>
          </w:tcPr>
          <w:p>
            <w:pPr>
              <w:ind w:left="160"/>
              <w:spacing w:after="0"/>
              <w:rPr>
                <w:sz w:val="20"/>
                <w:szCs w:val="20"/>
                <w:color w:val="auto"/>
              </w:rPr>
            </w:pPr>
            <w:r>
              <w:rPr>
                <w:rFonts w:ascii="Arial" w:cs="Arial" w:eastAsia="Arial" w:hAnsi="Arial"/>
                <w:sz w:val="11"/>
                <w:szCs w:val="11"/>
                <w:color w:val="auto"/>
              </w:rPr>
              <w:t>4.88</w:t>
            </w:r>
          </w:p>
        </w:tc>
        <w:tc>
          <w:tcPr>
            <w:tcW w:w="760" w:type="dxa"/>
            <w:vAlign w:val="bottom"/>
          </w:tcPr>
          <w:p>
            <w:pPr>
              <w:jc w:val="right"/>
              <w:ind w:right="43"/>
              <w:spacing w:after="0"/>
              <w:rPr>
                <w:sz w:val="20"/>
                <w:szCs w:val="20"/>
                <w:color w:val="auto"/>
              </w:rPr>
            </w:pPr>
            <w:r>
              <w:rPr>
                <w:rFonts w:ascii="Arial" w:cs="Arial" w:eastAsia="Arial" w:hAnsi="Arial"/>
                <w:sz w:val="11"/>
                <w:szCs w:val="11"/>
                <w:color w:val="auto"/>
              </w:rPr>
              <w:t>4/15/35</w:t>
            </w:r>
          </w:p>
        </w:tc>
        <w:tc>
          <w:tcPr>
            <w:tcW w:w="300" w:type="dxa"/>
            <w:vAlign w:val="bottom"/>
          </w:tcPr>
          <w:p>
            <w:pPr>
              <w:spacing w:after="0"/>
              <w:rPr>
                <w:sz w:val="10"/>
                <w:szCs w:val="10"/>
                <w:color w:val="auto"/>
              </w:rPr>
            </w:pPr>
          </w:p>
        </w:tc>
        <w:tc>
          <w:tcPr>
            <w:tcW w:w="320" w:type="dxa"/>
            <w:vAlign w:val="bottom"/>
          </w:tcPr>
          <w:p>
            <w:pPr>
              <w:jc w:val="right"/>
              <w:ind w:right="24"/>
              <w:spacing w:after="0"/>
              <w:rPr>
                <w:sz w:val="20"/>
                <w:szCs w:val="20"/>
                <w:color w:val="auto"/>
              </w:rPr>
            </w:pPr>
            <w:r>
              <w:rPr>
                <w:rFonts w:ascii="Arial" w:cs="Arial" w:eastAsia="Arial" w:hAnsi="Arial"/>
                <w:sz w:val="11"/>
                <w:szCs w:val="11"/>
                <w:color w:val="auto"/>
              </w:rPr>
              <w:t>—</w:t>
            </w:r>
          </w:p>
        </w:tc>
        <w:tc>
          <w:tcPr>
            <w:tcW w:w="640" w:type="dxa"/>
            <w:vAlign w:val="bottom"/>
          </w:tcPr>
          <w:p>
            <w:pPr>
              <w:jc w:val="right"/>
              <w:ind w:right="44"/>
              <w:spacing w:after="0"/>
              <w:rPr>
                <w:sz w:val="20"/>
                <w:szCs w:val="20"/>
                <w:color w:val="auto"/>
              </w:rPr>
            </w:pPr>
            <w:r>
              <w:rPr>
                <w:rFonts w:ascii="Arial" w:cs="Arial" w:eastAsia="Arial" w:hAnsi="Arial"/>
                <w:sz w:val="11"/>
                <w:szCs w:val="11"/>
                <w:color w:val="auto"/>
              </w:rPr>
              <w:t>—</w:t>
            </w:r>
          </w:p>
        </w:tc>
        <w:tc>
          <w:tcPr>
            <w:tcW w:w="620" w:type="dxa"/>
            <w:vAlign w:val="bottom"/>
          </w:tcPr>
          <w:p>
            <w:pPr>
              <w:jc w:val="right"/>
              <w:ind w:right="24"/>
              <w:spacing w:after="0"/>
              <w:rPr>
                <w:sz w:val="20"/>
                <w:szCs w:val="20"/>
                <w:color w:val="auto"/>
              </w:rPr>
            </w:pPr>
            <w:r>
              <w:rPr>
                <w:rFonts w:ascii="Arial" w:cs="Arial" w:eastAsia="Arial" w:hAnsi="Arial"/>
                <w:sz w:val="11"/>
                <w:szCs w:val="11"/>
                <w:color w:val="auto"/>
              </w:rPr>
              <w:t>—</w:t>
            </w:r>
          </w:p>
        </w:tc>
        <w:tc>
          <w:tcPr>
            <w:tcW w:w="620" w:type="dxa"/>
            <w:vAlign w:val="bottom"/>
          </w:tcPr>
          <w:p>
            <w:pPr>
              <w:jc w:val="right"/>
              <w:ind w:right="24"/>
              <w:spacing w:after="0"/>
              <w:rPr>
                <w:sz w:val="20"/>
                <w:szCs w:val="20"/>
                <w:color w:val="auto"/>
              </w:rPr>
            </w:pPr>
            <w:r>
              <w:rPr>
                <w:rFonts w:ascii="Arial" w:cs="Arial" w:eastAsia="Arial" w:hAnsi="Arial"/>
                <w:sz w:val="11"/>
                <w:szCs w:val="11"/>
                <w:color w:val="auto"/>
              </w:rPr>
              <w:t>—</w:t>
            </w:r>
          </w:p>
        </w:tc>
        <w:tc>
          <w:tcPr>
            <w:tcW w:w="620" w:type="dxa"/>
            <w:vAlign w:val="bottom"/>
          </w:tcPr>
          <w:p>
            <w:pPr>
              <w:jc w:val="right"/>
              <w:ind w:right="24"/>
              <w:spacing w:after="0"/>
              <w:rPr>
                <w:sz w:val="20"/>
                <w:szCs w:val="20"/>
                <w:color w:val="auto"/>
              </w:rPr>
            </w:pPr>
            <w:r>
              <w:rPr>
                <w:rFonts w:ascii="Arial" w:cs="Arial" w:eastAsia="Arial" w:hAnsi="Arial"/>
                <w:sz w:val="11"/>
                <w:szCs w:val="11"/>
                <w:color w:val="auto"/>
              </w:rPr>
              <w:t>—</w:t>
            </w:r>
          </w:p>
        </w:tc>
        <w:tc>
          <w:tcPr>
            <w:tcW w:w="750" w:type="dxa"/>
            <w:vAlign w:val="bottom"/>
          </w:tcPr>
          <w:p>
            <w:pPr>
              <w:jc w:val="right"/>
              <w:ind w:right="13"/>
              <w:spacing w:after="0"/>
              <w:rPr>
                <w:sz w:val="20"/>
                <w:szCs w:val="20"/>
                <w:color w:val="auto"/>
              </w:rPr>
            </w:pPr>
            <w:r>
              <w:rPr>
                <w:rFonts w:ascii="Arial" w:cs="Arial" w:eastAsia="Arial" w:hAnsi="Arial"/>
                <w:sz w:val="11"/>
                <w:szCs w:val="11"/>
                <w:color w:val="auto"/>
              </w:rPr>
              <w:t>500,000</w:t>
            </w:r>
          </w:p>
        </w:tc>
        <w:tc>
          <w:tcPr>
            <w:tcW w:w="750" w:type="dxa"/>
            <w:vAlign w:val="bottom"/>
          </w:tcPr>
          <w:p>
            <w:pPr>
              <w:jc w:val="right"/>
              <w:ind w:right="3"/>
              <w:spacing w:after="0"/>
              <w:rPr>
                <w:sz w:val="20"/>
                <w:szCs w:val="20"/>
                <w:color w:val="auto"/>
              </w:rPr>
            </w:pPr>
            <w:r>
              <w:rPr>
                <w:rFonts w:ascii="Arial" w:cs="Arial" w:eastAsia="Arial" w:hAnsi="Arial"/>
                <w:sz w:val="11"/>
                <w:szCs w:val="11"/>
                <w:color w:val="auto"/>
              </w:rPr>
              <w:t>500,000</w:t>
            </w:r>
          </w:p>
        </w:tc>
        <w:tc>
          <w:tcPr>
            <w:tcW w:w="18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(5,185)</w:t>
            </w:r>
          </w:p>
        </w:tc>
        <w:tc>
          <w:tcPr>
            <w:tcW w:w="720" w:type="dxa"/>
            <w:vAlign w:val="bottom"/>
          </w:tcPr>
          <w:p>
            <w:pPr>
              <w:jc w:val="right"/>
              <w:spacing w:after="0"/>
              <w:rPr>
                <w:sz w:val="20"/>
                <w:szCs w:val="20"/>
                <w:color w:val="auto"/>
              </w:rPr>
            </w:pPr>
            <w:r>
              <w:rPr>
                <w:rFonts w:ascii="Arial" w:cs="Arial" w:eastAsia="Arial" w:hAnsi="Arial"/>
                <w:sz w:val="11"/>
                <w:szCs w:val="11"/>
                <w:color w:val="auto"/>
              </w:rPr>
              <w:t>494,815</w:t>
            </w:r>
          </w:p>
        </w:tc>
      </w:tr>
      <w:tr>
        <w:trPr>
          <w:trHeight w:val="150"/>
        </w:trPr>
        <w:tc>
          <w:tcPr>
            <w:tcW w:w="2560" w:type="dxa"/>
            <w:vAlign w:val="bottom"/>
          </w:tcPr>
          <w:p>
            <w:pPr>
              <w:ind w:left="40"/>
              <w:spacing w:after="0"/>
              <w:rPr>
                <w:sz w:val="20"/>
                <w:szCs w:val="20"/>
                <w:color w:val="auto"/>
              </w:rPr>
            </w:pPr>
            <w:r>
              <w:rPr>
                <w:rFonts w:ascii="Arial" w:cs="Arial" w:eastAsia="Arial" w:hAnsi="Arial"/>
                <w:sz w:val="11"/>
                <w:szCs w:val="11"/>
                <w:color w:val="auto"/>
              </w:rPr>
              <w:t>Unsecured senior notes payable</w:t>
            </w:r>
          </w:p>
        </w:tc>
        <w:tc>
          <w:tcPr>
            <w:tcW w:w="900" w:type="dxa"/>
            <w:vAlign w:val="bottom"/>
          </w:tcPr>
          <w:p>
            <w:pPr>
              <w:jc w:val="right"/>
              <w:ind w:right="3"/>
              <w:spacing w:after="0"/>
              <w:rPr>
                <w:sz w:val="20"/>
                <w:szCs w:val="20"/>
                <w:color w:val="auto"/>
              </w:rPr>
            </w:pPr>
            <w:r>
              <w:rPr>
                <w:rFonts w:ascii="Arial" w:cs="Arial" w:eastAsia="Arial" w:hAnsi="Arial"/>
                <w:sz w:val="11"/>
                <w:szCs w:val="11"/>
                <w:color w:val="auto"/>
              </w:rPr>
              <w:t>5.25%</w:t>
            </w:r>
          </w:p>
        </w:tc>
        <w:tc>
          <w:tcPr>
            <w:tcW w:w="540" w:type="dxa"/>
            <w:vAlign w:val="bottom"/>
          </w:tcPr>
          <w:p>
            <w:pPr>
              <w:ind w:left="160"/>
              <w:spacing w:after="0"/>
              <w:rPr>
                <w:sz w:val="20"/>
                <w:szCs w:val="20"/>
                <w:color w:val="auto"/>
              </w:rPr>
            </w:pPr>
            <w:r>
              <w:rPr>
                <w:rFonts w:ascii="Arial" w:cs="Arial" w:eastAsia="Arial" w:hAnsi="Arial"/>
                <w:sz w:val="11"/>
                <w:szCs w:val="11"/>
                <w:color w:val="auto"/>
              </w:rPr>
              <w:t>5.38</w:t>
            </w:r>
          </w:p>
        </w:tc>
        <w:tc>
          <w:tcPr>
            <w:tcW w:w="760" w:type="dxa"/>
            <w:vAlign w:val="bottom"/>
          </w:tcPr>
          <w:p>
            <w:pPr>
              <w:jc w:val="right"/>
              <w:ind w:right="43"/>
              <w:spacing w:after="0"/>
              <w:rPr>
                <w:sz w:val="20"/>
                <w:szCs w:val="20"/>
                <w:color w:val="auto"/>
              </w:rPr>
            </w:pPr>
            <w:r>
              <w:rPr>
                <w:rFonts w:ascii="Arial" w:cs="Arial" w:eastAsia="Arial" w:hAnsi="Arial"/>
                <w:sz w:val="11"/>
                <w:szCs w:val="11"/>
                <w:color w:val="auto"/>
              </w:rPr>
              <w:t>5/15/36</w:t>
            </w:r>
          </w:p>
        </w:tc>
        <w:tc>
          <w:tcPr>
            <w:tcW w:w="300" w:type="dxa"/>
            <w:vAlign w:val="bottom"/>
          </w:tcPr>
          <w:p>
            <w:pPr>
              <w:spacing w:after="0"/>
              <w:rPr>
                <w:sz w:val="13"/>
                <w:szCs w:val="13"/>
                <w:color w:val="auto"/>
              </w:rPr>
            </w:pPr>
          </w:p>
        </w:tc>
        <w:tc>
          <w:tcPr>
            <w:tcW w:w="320" w:type="dxa"/>
            <w:vAlign w:val="bottom"/>
          </w:tcPr>
          <w:p>
            <w:pPr>
              <w:jc w:val="right"/>
              <w:ind w:right="24"/>
              <w:spacing w:after="0"/>
              <w:rPr>
                <w:sz w:val="20"/>
                <w:szCs w:val="20"/>
                <w:color w:val="auto"/>
              </w:rPr>
            </w:pPr>
            <w:r>
              <w:rPr>
                <w:rFonts w:ascii="Arial" w:cs="Arial" w:eastAsia="Arial" w:hAnsi="Arial"/>
                <w:sz w:val="11"/>
                <w:szCs w:val="11"/>
                <w:color w:val="auto"/>
              </w:rPr>
              <w:t>—</w:t>
            </w:r>
          </w:p>
        </w:tc>
        <w:tc>
          <w:tcPr>
            <w:tcW w:w="640" w:type="dxa"/>
            <w:vAlign w:val="bottom"/>
          </w:tcPr>
          <w:p>
            <w:pPr>
              <w:jc w:val="right"/>
              <w:ind w:right="44"/>
              <w:spacing w:after="0"/>
              <w:rPr>
                <w:sz w:val="20"/>
                <w:szCs w:val="20"/>
                <w:color w:val="auto"/>
              </w:rPr>
            </w:pPr>
            <w:r>
              <w:rPr>
                <w:rFonts w:ascii="Arial" w:cs="Arial" w:eastAsia="Arial" w:hAnsi="Arial"/>
                <w:sz w:val="11"/>
                <w:szCs w:val="11"/>
                <w:color w:val="auto"/>
              </w:rPr>
              <w:t>—</w:t>
            </w:r>
          </w:p>
        </w:tc>
        <w:tc>
          <w:tcPr>
            <w:tcW w:w="620" w:type="dxa"/>
            <w:vAlign w:val="bottom"/>
          </w:tcPr>
          <w:p>
            <w:pPr>
              <w:jc w:val="right"/>
              <w:ind w:right="24"/>
              <w:spacing w:after="0"/>
              <w:rPr>
                <w:sz w:val="20"/>
                <w:szCs w:val="20"/>
                <w:color w:val="auto"/>
              </w:rPr>
            </w:pPr>
            <w:r>
              <w:rPr>
                <w:rFonts w:ascii="Arial" w:cs="Arial" w:eastAsia="Arial" w:hAnsi="Arial"/>
                <w:sz w:val="11"/>
                <w:szCs w:val="11"/>
                <w:color w:val="auto"/>
              </w:rPr>
              <w:t>—</w:t>
            </w:r>
          </w:p>
        </w:tc>
        <w:tc>
          <w:tcPr>
            <w:tcW w:w="620" w:type="dxa"/>
            <w:vAlign w:val="bottom"/>
          </w:tcPr>
          <w:p>
            <w:pPr>
              <w:jc w:val="right"/>
              <w:ind w:right="24"/>
              <w:spacing w:after="0"/>
              <w:rPr>
                <w:sz w:val="20"/>
                <w:szCs w:val="20"/>
                <w:color w:val="auto"/>
              </w:rPr>
            </w:pPr>
            <w:r>
              <w:rPr>
                <w:rFonts w:ascii="Arial" w:cs="Arial" w:eastAsia="Arial" w:hAnsi="Arial"/>
                <w:sz w:val="11"/>
                <w:szCs w:val="11"/>
                <w:color w:val="auto"/>
              </w:rPr>
              <w:t>—</w:t>
            </w:r>
          </w:p>
        </w:tc>
        <w:tc>
          <w:tcPr>
            <w:tcW w:w="620" w:type="dxa"/>
            <w:vAlign w:val="bottom"/>
          </w:tcPr>
          <w:p>
            <w:pPr>
              <w:jc w:val="right"/>
              <w:ind w:right="24"/>
              <w:spacing w:after="0"/>
              <w:rPr>
                <w:sz w:val="20"/>
                <w:szCs w:val="20"/>
                <w:color w:val="auto"/>
              </w:rPr>
            </w:pPr>
            <w:r>
              <w:rPr>
                <w:rFonts w:ascii="Arial" w:cs="Arial" w:eastAsia="Arial" w:hAnsi="Arial"/>
                <w:sz w:val="11"/>
                <w:szCs w:val="11"/>
                <w:color w:val="auto"/>
              </w:rPr>
              <w:t>—</w:t>
            </w:r>
          </w:p>
        </w:tc>
        <w:tc>
          <w:tcPr>
            <w:tcW w:w="750" w:type="dxa"/>
            <w:vAlign w:val="bottom"/>
          </w:tcPr>
          <w:p>
            <w:pPr>
              <w:jc w:val="right"/>
              <w:ind w:right="13"/>
              <w:spacing w:after="0"/>
              <w:rPr>
                <w:sz w:val="20"/>
                <w:szCs w:val="20"/>
                <w:color w:val="auto"/>
              </w:rPr>
            </w:pPr>
            <w:r>
              <w:rPr>
                <w:rFonts w:ascii="Arial" w:cs="Arial" w:eastAsia="Arial" w:hAnsi="Arial"/>
                <w:sz w:val="11"/>
                <w:szCs w:val="11"/>
                <w:color w:val="auto"/>
              </w:rPr>
              <w:t>400,000</w:t>
            </w:r>
          </w:p>
        </w:tc>
        <w:tc>
          <w:tcPr>
            <w:tcW w:w="750" w:type="dxa"/>
            <w:vAlign w:val="bottom"/>
          </w:tcPr>
          <w:p>
            <w:pPr>
              <w:jc w:val="right"/>
              <w:ind w:right="3"/>
              <w:spacing w:after="0"/>
              <w:rPr>
                <w:sz w:val="20"/>
                <w:szCs w:val="20"/>
                <w:color w:val="auto"/>
              </w:rPr>
            </w:pPr>
            <w:r>
              <w:rPr>
                <w:rFonts w:ascii="Arial" w:cs="Arial" w:eastAsia="Arial" w:hAnsi="Arial"/>
                <w:sz w:val="11"/>
                <w:szCs w:val="11"/>
                <w:color w:val="auto"/>
              </w:rPr>
              <w:t>400,000</w:t>
            </w:r>
          </w:p>
        </w:tc>
        <w:tc>
          <w:tcPr>
            <w:tcW w:w="1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(4,280)</w:t>
            </w:r>
          </w:p>
        </w:tc>
        <w:tc>
          <w:tcPr>
            <w:tcW w:w="720" w:type="dxa"/>
            <w:vAlign w:val="bottom"/>
          </w:tcPr>
          <w:p>
            <w:pPr>
              <w:jc w:val="right"/>
              <w:spacing w:after="0"/>
              <w:rPr>
                <w:sz w:val="20"/>
                <w:szCs w:val="20"/>
                <w:color w:val="auto"/>
              </w:rPr>
            </w:pPr>
            <w:r>
              <w:rPr>
                <w:rFonts w:ascii="Arial" w:cs="Arial" w:eastAsia="Arial" w:hAnsi="Arial"/>
                <w:sz w:val="11"/>
                <w:szCs w:val="11"/>
                <w:color w:val="auto"/>
              </w:rPr>
              <w:t>395,720</w:t>
            </w:r>
          </w:p>
        </w:tc>
      </w:tr>
      <w:tr>
        <w:trPr>
          <w:trHeight w:val="155"/>
        </w:trPr>
        <w:tc>
          <w:tcPr>
            <w:tcW w:w="2560" w:type="dxa"/>
            <w:vAlign w:val="bottom"/>
          </w:tcPr>
          <w:p>
            <w:pPr>
              <w:ind w:left="40"/>
              <w:spacing w:after="0"/>
              <w:rPr>
                <w:sz w:val="20"/>
                <w:szCs w:val="20"/>
                <w:color w:val="auto"/>
              </w:rPr>
            </w:pPr>
            <w:r>
              <w:rPr>
                <w:rFonts w:ascii="Arial" w:cs="Arial" w:eastAsia="Arial" w:hAnsi="Arial"/>
                <w:sz w:val="11"/>
                <w:szCs w:val="11"/>
                <w:color w:val="auto"/>
              </w:rPr>
              <w:t>Unsecured senior notes payable</w:t>
            </w:r>
          </w:p>
        </w:tc>
        <w:tc>
          <w:tcPr>
            <w:tcW w:w="900" w:type="dxa"/>
            <w:vAlign w:val="bottom"/>
          </w:tcPr>
          <w:p>
            <w:pPr>
              <w:jc w:val="right"/>
              <w:ind w:right="3"/>
              <w:spacing w:after="0"/>
              <w:rPr>
                <w:sz w:val="20"/>
                <w:szCs w:val="20"/>
                <w:color w:val="auto"/>
              </w:rPr>
            </w:pPr>
            <w:r>
              <w:rPr>
                <w:rFonts w:ascii="Arial" w:cs="Arial" w:eastAsia="Arial" w:hAnsi="Arial"/>
                <w:sz w:val="11"/>
                <w:szCs w:val="11"/>
                <w:color w:val="auto"/>
              </w:rPr>
              <w:t>4.85%</w:t>
            </w:r>
          </w:p>
        </w:tc>
        <w:tc>
          <w:tcPr>
            <w:tcW w:w="540" w:type="dxa"/>
            <w:vAlign w:val="bottom"/>
          </w:tcPr>
          <w:p>
            <w:pPr>
              <w:ind w:left="160"/>
              <w:spacing w:after="0"/>
              <w:rPr>
                <w:sz w:val="20"/>
                <w:szCs w:val="20"/>
                <w:color w:val="auto"/>
              </w:rPr>
            </w:pPr>
            <w:r>
              <w:rPr>
                <w:rFonts w:ascii="Arial" w:cs="Arial" w:eastAsia="Arial" w:hAnsi="Arial"/>
                <w:sz w:val="11"/>
                <w:szCs w:val="11"/>
                <w:color w:val="auto"/>
              </w:rPr>
              <w:t>4.93</w:t>
            </w:r>
          </w:p>
        </w:tc>
        <w:tc>
          <w:tcPr>
            <w:tcW w:w="760" w:type="dxa"/>
            <w:vAlign w:val="bottom"/>
          </w:tcPr>
          <w:p>
            <w:pPr>
              <w:jc w:val="right"/>
              <w:ind w:right="43"/>
              <w:spacing w:after="0"/>
              <w:rPr>
                <w:sz w:val="20"/>
                <w:szCs w:val="20"/>
                <w:color w:val="auto"/>
              </w:rPr>
            </w:pPr>
            <w:r>
              <w:rPr>
                <w:rFonts w:ascii="Arial" w:cs="Arial" w:eastAsia="Arial" w:hAnsi="Arial"/>
                <w:sz w:val="11"/>
                <w:szCs w:val="11"/>
                <w:color w:val="auto"/>
              </w:rPr>
              <w:t>4/15/49</w:t>
            </w:r>
          </w:p>
        </w:tc>
        <w:tc>
          <w:tcPr>
            <w:tcW w:w="300" w:type="dxa"/>
            <w:vAlign w:val="bottom"/>
          </w:tcPr>
          <w:p>
            <w:pPr>
              <w:spacing w:after="0"/>
              <w:rPr>
                <w:sz w:val="13"/>
                <w:szCs w:val="13"/>
                <w:color w:val="auto"/>
              </w:rPr>
            </w:pPr>
          </w:p>
        </w:tc>
        <w:tc>
          <w:tcPr>
            <w:tcW w:w="320" w:type="dxa"/>
            <w:vAlign w:val="bottom"/>
          </w:tcPr>
          <w:p>
            <w:pPr>
              <w:jc w:val="right"/>
              <w:ind w:right="24"/>
              <w:spacing w:after="0"/>
              <w:rPr>
                <w:sz w:val="20"/>
                <w:szCs w:val="20"/>
                <w:color w:val="auto"/>
              </w:rPr>
            </w:pPr>
            <w:r>
              <w:rPr>
                <w:rFonts w:ascii="Arial" w:cs="Arial" w:eastAsia="Arial" w:hAnsi="Arial"/>
                <w:sz w:val="11"/>
                <w:szCs w:val="11"/>
                <w:color w:val="auto"/>
              </w:rPr>
              <w:t>—</w:t>
            </w:r>
          </w:p>
        </w:tc>
        <w:tc>
          <w:tcPr>
            <w:tcW w:w="640" w:type="dxa"/>
            <w:vAlign w:val="bottom"/>
          </w:tcPr>
          <w:p>
            <w:pPr>
              <w:jc w:val="right"/>
              <w:ind w:right="44"/>
              <w:spacing w:after="0"/>
              <w:rPr>
                <w:sz w:val="20"/>
                <w:szCs w:val="20"/>
                <w:color w:val="auto"/>
              </w:rPr>
            </w:pPr>
            <w:r>
              <w:rPr>
                <w:rFonts w:ascii="Arial" w:cs="Arial" w:eastAsia="Arial" w:hAnsi="Arial"/>
                <w:sz w:val="11"/>
                <w:szCs w:val="11"/>
                <w:color w:val="auto"/>
              </w:rPr>
              <w:t>—</w:t>
            </w:r>
          </w:p>
        </w:tc>
        <w:tc>
          <w:tcPr>
            <w:tcW w:w="620" w:type="dxa"/>
            <w:vAlign w:val="bottom"/>
          </w:tcPr>
          <w:p>
            <w:pPr>
              <w:jc w:val="right"/>
              <w:ind w:right="24"/>
              <w:spacing w:after="0"/>
              <w:rPr>
                <w:sz w:val="20"/>
                <w:szCs w:val="20"/>
                <w:color w:val="auto"/>
              </w:rPr>
            </w:pPr>
            <w:r>
              <w:rPr>
                <w:rFonts w:ascii="Arial" w:cs="Arial" w:eastAsia="Arial" w:hAnsi="Arial"/>
                <w:sz w:val="11"/>
                <w:szCs w:val="11"/>
                <w:color w:val="auto"/>
              </w:rPr>
              <w:t>—</w:t>
            </w:r>
          </w:p>
        </w:tc>
        <w:tc>
          <w:tcPr>
            <w:tcW w:w="620" w:type="dxa"/>
            <w:vAlign w:val="bottom"/>
          </w:tcPr>
          <w:p>
            <w:pPr>
              <w:jc w:val="right"/>
              <w:ind w:right="24"/>
              <w:spacing w:after="0"/>
              <w:rPr>
                <w:sz w:val="20"/>
                <w:szCs w:val="20"/>
                <w:color w:val="auto"/>
              </w:rPr>
            </w:pPr>
            <w:r>
              <w:rPr>
                <w:rFonts w:ascii="Arial" w:cs="Arial" w:eastAsia="Arial" w:hAnsi="Arial"/>
                <w:sz w:val="11"/>
                <w:szCs w:val="11"/>
                <w:color w:val="auto"/>
              </w:rPr>
              <w:t>—</w:t>
            </w:r>
          </w:p>
        </w:tc>
        <w:tc>
          <w:tcPr>
            <w:tcW w:w="620" w:type="dxa"/>
            <w:vAlign w:val="bottom"/>
          </w:tcPr>
          <w:p>
            <w:pPr>
              <w:jc w:val="right"/>
              <w:ind w:right="24"/>
              <w:spacing w:after="0"/>
              <w:rPr>
                <w:sz w:val="20"/>
                <w:szCs w:val="20"/>
                <w:color w:val="auto"/>
              </w:rPr>
            </w:pPr>
            <w:r>
              <w:rPr>
                <w:rFonts w:ascii="Arial" w:cs="Arial" w:eastAsia="Arial" w:hAnsi="Arial"/>
                <w:sz w:val="11"/>
                <w:szCs w:val="11"/>
                <w:color w:val="auto"/>
              </w:rPr>
              <w:t>—</w:t>
            </w:r>
          </w:p>
        </w:tc>
        <w:tc>
          <w:tcPr>
            <w:tcW w:w="750" w:type="dxa"/>
            <w:vAlign w:val="bottom"/>
          </w:tcPr>
          <w:p>
            <w:pPr>
              <w:jc w:val="right"/>
              <w:ind w:right="13"/>
              <w:spacing w:after="0"/>
              <w:rPr>
                <w:sz w:val="20"/>
                <w:szCs w:val="20"/>
                <w:color w:val="auto"/>
              </w:rPr>
            </w:pPr>
            <w:r>
              <w:rPr>
                <w:rFonts w:ascii="Arial" w:cs="Arial" w:eastAsia="Arial" w:hAnsi="Arial"/>
                <w:sz w:val="11"/>
                <w:szCs w:val="11"/>
                <w:color w:val="auto"/>
              </w:rPr>
              <w:t>300,000</w:t>
            </w:r>
          </w:p>
        </w:tc>
        <w:tc>
          <w:tcPr>
            <w:tcW w:w="750" w:type="dxa"/>
            <w:vAlign w:val="bottom"/>
          </w:tcPr>
          <w:p>
            <w:pPr>
              <w:jc w:val="right"/>
              <w:ind w:right="3"/>
              <w:spacing w:after="0"/>
              <w:rPr>
                <w:sz w:val="20"/>
                <w:szCs w:val="20"/>
                <w:color w:val="auto"/>
              </w:rPr>
            </w:pPr>
            <w:r>
              <w:rPr>
                <w:rFonts w:ascii="Arial" w:cs="Arial" w:eastAsia="Arial" w:hAnsi="Arial"/>
                <w:sz w:val="11"/>
                <w:szCs w:val="11"/>
                <w:color w:val="auto"/>
              </w:rPr>
              <w:t>300,000</w:t>
            </w:r>
          </w:p>
        </w:tc>
        <w:tc>
          <w:tcPr>
            <w:tcW w:w="1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(2,929)</w:t>
            </w:r>
          </w:p>
        </w:tc>
        <w:tc>
          <w:tcPr>
            <w:tcW w:w="720" w:type="dxa"/>
            <w:vAlign w:val="bottom"/>
          </w:tcPr>
          <w:p>
            <w:pPr>
              <w:jc w:val="right"/>
              <w:spacing w:after="0"/>
              <w:rPr>
                <w:sz w:val="20"/>
                <w:szCs w:val="20"/>
                <w:color w:val="auto"/>
              </w:rPr>
            </w:pPr>
            <w:r>
              <w:rPr>
                <w:rFonts w:ascii="Arial" w:cs="Arial" w:eastAsia="Arial" w:hAnsi="Arial"/>
                <w:sz w:val="11"/>
                <w:szCs w:val="11"/>
                <w:color w:val="auto"/>
              </w:rPr>
              <w:t>297,071</w:t>
            </w:r>
          </w:p>
        </w:tc>
      </w:tr>
      <w:tr>
        <w:trPr>
          <w:trHeight w:val="172"/>
        </w:trPr>
        <w:tc>
          <w:tcPr>
            <w:tcW w:w="2560" w:type="dxa"/>
            <w:vAlign w:val="bottom"/>
          </w:tcPr>
          <w:p>
            <w:pPr>
              <w:ind w:left="40"/>
              <w:spacing w:after="0"/>
              <w:rPr>
                <w:sz w:val="20"/>
                <w:szCs w:val="20"/>
                <w:color w:val="auto"/>
              </w:rPr>
            </w:pPr>
            <w:r>
              <w:rPr>
                <w:rFonts w:ascii="Arial" w:cs="Arial" w:eastAsia="Arial" w:hAnsi="Arial"/>
                <w:sz w:val="11"/>
                <w:szCs w:val="11"/>
                <w:color w:val="auto"/>
              </w:rPr>
              <w:t>Unsecured senior notes payable</w:t>
            </w:r>
          </w:p>
        </w:tc>
        <w:tc>
          <w:tcPr>
            <w:tcW w:w="900" w:type="dxa"/>
            <w:vAlign w:val="bottom"/>
          </w:tcPr>
          <w:p>
            <w:pPr>
              <w:jc w:val="right"/>
              <w:ind w:right="3"/>
              <w:spacing w:after="0"/>
              <w:rPr>
                <w:sz w:val="20"/>
                <w:szCs w:val="20"/>
                <w:color w:val="auto"/>
              </w:rPr>
            </w:pPr>
            <w:r>
              <w:rPr>
                <w:rFonts w:ascii="Arial" w:cs="Arial" w:eastAsia="Arial" w:hAnsi="Arial"/>
                <w:sz w:val="11"/>
                <w:szCs w:val="11"/>
                <w:color w:val="auto"/>
              </w:rPr>
              <w:t>4.00%</w:t>
            </w:r>
          </w:p>
        </w:tc>
        <w:tc>
          <w:tcPr>
            <w:tcW w:w="540" w:type="dxa"/>
            <w:vAlign w:val="bottom"/>
          </w:tcPr>
          <w:p>
            <w:pPr>
              <w:ind w:left="160"/>
              <w:spacing w:after="0"/>
              <w:rPr>
                <w:sz w:val="20"/>
                <w:szCs w:val="20"/>
                <w:color w:val="auto"/>
              </w:rPr>
            </w:pPr>
            <w:r>
              <w:rPr>
                <w:rFonts w:ascii="Arial" w:cs="Arial" w:eastAsia="Arial" w:hAnsi="Arial"/>
                <w:sz w:val="11"/>
                <w:szCs w:val="11"/>
                <w:color w:val="auto"/>
              </w:rPr>
              <w:t>3.91</w:t>
            </w:r>
          </w:p>
        </w:tc>
        <w:tc>
          <w:tcPr>
            <w:tcW w:w="760" w:type="dxa"/>
            <w:vAlign w:val="bottom"/>
          </w:tcPr>
          <w:p>
            <w:pPr>
              <w:jc w:val="right"/>
              <w:ind w:right="43"/>
              <w:spacing w:after="0"/>
              <w:rPr>
                <w:sz w:val="20"/>
                <w:szCs w:val="20"/>
                <w:color w:val="auto"/>
              </w:rPr>
            </w:pPr>
            <w:r>
              <w:rPr>
                <w:rFonts w:ascii="Arial" w:cs="Arial" w:eastAsia="Arial" w:hAnsi="Arial"/>
                <w:sz w:val="11"/>
                <w:szCs w:val="11"/>
                <w:color w:val="auto"/>
              </w:rPr>
              <w:t>2/1/50</w:t>
            </w:r>
          </w:p>
        </w:tc>
        <w:tc>
          <w:tcPr>
            <w:tcW w:w="300" w:type="dxa"/>
            <w:vAlign w:val="bottom"/>
          </w:tcPr>
          <w:p>
            <w:pPr>
              <w:spacing w:after="0"/>
              <w:rPr>
                <w:sz w:val="14"/>
                <w:szCs w:val="14"/>
                <w:color w:val="auto"/>
              </w:rPr>
            </w:pPr>
          </w:p>
        </w:tc>
        <w:tc>
          <w:tcPr>
            <w:tcW w:w="320" w:type="dxa"/>
            <w:vAlign w:val="bottom"/>
          </w:tcPr>
          <w:p>
            <w:pPr>
              <w:jc w:val="right"/>
              <w:ind w:right="24"/>
              <w:spacing w:after="0"/>
              <w:rPr>
                <w:sz w:val="20"/>
                <w:szCs w:val="20"/>
                <w:color w:val="auto"/>
              </w:rPr>
            </w:pPr>
            <w:r>
              <w:rPr>
                <w:rFonts w:ascii="Arial" w:cs="Arial" w:eastAsia="Arial" w:hAnsi="Arial"/>
                <w:sz w:val="11"/>
                <w:szCs w:val="11"/>
                <w:color w:val="auto"/>
              </w:rPr>
              <w:t>—</w:t>
            </w:r>
          </w:p>
        </w:tc>
        <w:tc>
          <w:tcPr>
            <w:tcW w:w="640" w:type="dxa"/>
            <w:vAlign w:val="bottom"/>
          </w:tcPr>
          <w:p>
            <w:pPr>
              <w:jc w:val="right"/>
              <w:ind w:right="44"/>
              <w:spacing w:after="0"/>
              <w:rPr>
                <w:sz w:val="20"/>
                <w:szCs w:val="20"/>
                <w:color w:val="auto"/>
              </w:rPr>
            </w:pPr>
            <w:r>
              <w:rPr>
                <w:rFonts w:ascii="Arial" w:cs="Arial" w:eastAsia="Arial" w:hAnsi="Arial"/>
                <w:sz w:val="11"/>
                <w:szCs w:val="11"/>
                <w:color w:val="auto"/>
              </w:rPr>
              <w:t>—</w:t>
            </w:r>
          </w:p>
        </w:tc>
        <w:tc>
          <w:tcPr>
            <w:tcW w:w="620" w:type="dxa"/>
            <w:vAlign w:val="bottom"/>
          </w:tcPr>
          <w:p>
            <w:pPr>
              <w:jc w:val="right"/>
              <w:ind w:right="24"/>
              <w:spacing w:after="0"/>
              <w:rPr>
                <w:sz w:val="20"/>
                <w:szCs w:val="20"/>
                <w:color w:val="auto"/>
              </w:rPr>
            </w:pPr>
            <w:r>
              <w:rPr>
                <w:rFonts w:ascii="Arial" w:cs="Arial" w:eastAsia="Arial" w:hAnsi="Arial"/>
                <w:sz w:val="11"/>
                <w:szCs w:val="11"/>
                <w:color w:val="auto"/>
              </w:rPr>
              <w:t>—</w:t>
            </w:r>
          </w:p>
        </w:tc>
        <w:tc>
          <w:tcPr>
            <w:tcW w:w="620" w:type="dxa"/>
            <w:vAlign w:val="bottom"/>
          </w:tcPr>
          <w:p>
            <w:pPr>
              <w:jc w:val="right"/>
              <w:ind w:right="24"/>
              <w:spacing w:after="0"/>
              <w:rPr>
                <w:sz w:val="20"/>
                <w:szCs w:val="20"/>
                <w:color w:val="auto"/>
              </w:rPr>
            </w:pPr>
            <w:r>
              <w:rPr>
                <w:rFonts w:ascii="Arial" w:cs="Arial" w:eastAsia="Arial" w:hAnsi="Arial"/>
                <w:sz w:val="11"/>
                <w:szCs w:val="11"/>
                <w:color w:val="auto"/>
              </w:rPr>
              <w:t>—</w:t>
            </w:r>
          </w:p>
        </w:tc>
        <w:tc>
          <w:tcPr>
            <w:tcW w:w="620" w:type="dxa"/>
            <w:vAlign w:val="bottom"/>
          </w:tcPr>
          <w:p>
            <w:pPr>
              <w:jc w:val="right"/>
              <w:ind w:right="24"/>
              <w:spacing w:after="0"/>
              <w:rPr>
                <w:sz w:val="20"/>
                <w:szCs w:val="20"/>
                <w:color w:val="auto"/>
              </w:rPr>
            </w:pPr>
            <w:r>
              <w:rPr>
                <w:rFonts w:ascii="Arial" w:cs="Arial" w:eastAsia="Arial" w:hAnsi="Arial"/>
                <w:sz w:val="11"/>
                <w:szCs w:val="11"/>
                <w:color w:val="auto"/>
              </w:rPr>
              <w:t>—</w:t>
            </w:r>
          </w:p>
        </w:tc>
        <w:tc>
          <w:tcPr>
            <w:tcW w:w="750" w:type="dxa"/>
            <w:vAlign w:val="bottom"/>
          </w:tcPr>
          <w:p>
            <w:pPr>
              <w:jc w:val="right"/>
              <w:ind w:right="13"/>
              <w:spacing w:after="0"/>
              <w:rPr>
                <w:sz w:val="20"/>
                <w:szCs w:val="20"/>
                <w:color w:val="auto"/>
              </w:rPr>
            </w:pPr>
            <w:r>
              <w:rPr>
                <w:rFonts w:ascii="Arial" w:cs="Arial" w:eastAsia="Arial" w:hAnsi="Arial"/>
                <w:sz w:val="11"/>
                <w:szCs w:val="11"/>
                <w:color w:val="auto"/>
              </w:rPr>
              <w:t>700,000</w:t>
            </w:r>
          </w:p>
        </w:tc>
        <w:tc>
          <w:tcPr>
            <w:tcW w:w="750" w:type="dxa"/>
            <w:vAlign w:val="bottom"/>
          </w:tcPr>
          <w:p>
            <w:pPr>
              <w:jc w:val="right"/>
              <w:ind w:right="3"/>
              <w:spacing w:after="0"/>
              <w:rPr>
                <w:sz w:val="20"/>
                <w:szCs w:val="20"/>
                <w:color w:val="auto"/>
              </w:rPr>
            </w:pPr>
            <w:r>
              <w:rPr>
                <w:rFonts w:ascii="Arial" w:cs="Arial" w:eastAsia="Arial" w:hAnsi="Arial"/>
                <w:sz w:val="11"/>
                <w:szCs w:val="11"/>
                <w:color w:val="auto"/>
              </w:rPr>
              <w:t>700,000</w:t>
            </w:r>
          </w:p>
        </w:tc>
        <w:tc>
          <w:tcPr>
            <w:tcW w:w="180" w:type="dxa"/>
            <w:vAlign w:val="bottom"/>
          </w:tcPr>
          <w:p>
            <w:pPr>
              <w:spacing w:after="0"/>
              <w:rPr>
                <w:sz w:val="14"/>
                <w:szCs w:val="14"/>
                <w:color w:val="auto"/>
              </w:rPr>
            </w:pPr>
          </w:p>
        </w:tc>
        <w:tc>
          <w:tcPr>
            <w:tcW w:w="520" w:type="dxa"/>
            <w:vAlign w:val="bottom"/>
          </w:tcPr>
          <w:p>
            <w:pPr>
              <w:jc w:val="right"/>
              <w:ind w:right="23"/>
              <w:spacing w:after="0"/>
              <w:rPr>
                <w:sz w:val="20"/>
                <w:szCs w:val="20"/>
                <w:color w:val="auto"/>
              </w:rPr>
            </w:pPr>
            <w:r>
              <w:rPr>
                <w:rFonts w:ascii="Arial" w:cs="Arial" w:eastAsia="Arial" w:hAnsi="Arial"/>
                <w:sz w:val="11"/>
                <w:szCs w:val="11"/>
                <w:color w:val="auto"/>
              </w:rPr>
              <w:t>10,049</w:t>
            </w:r>
          </w:p>
        </w:tc>
        <w:tc>
          <w:tcPr>
            <w:tcW w:w="720" w:type="dxa"/>
            <w:vAlign w:val="bottom"/>
          </w:tcPr>
          <w:p>
            <w:pPr>
              <w:jc w:val="right"/>
              <w:spacing w:after="0"/>
              <w:rPr>
                <w:sz w:val="20"/>
                <w:szCs w:val="20"/>
                <w:color w:val="auto"/>
              </w:rPr>
            </w:pPr>
            <w:r>
              <w:rPr>
                <w:rFonts w:ascii="Arial" w:cs="Arial" w:eastAsia="Arial" w:hAnsi="Arial"/>
                <w:sz w:val="11"/>
                <w:szCs w:val="11"/>
                <w:color w:val="auto"/>
              </w:rPr>
              <w:t>710,049</w:t>
            </w:r>
          </w:p>
        </w:tc>
      </w:tr>
      <w:tr>
        <w:trPr>
          <w:trHeight w:val="172"/>
        </w:trPr>
        <w:tc>
          <w:tcPr>
            <w:tcW w:w="2560" w:type="dxa"/>
            <w:vAlign w:val="bottom"/>
          </w:tcPr>
          <w:p>
            <w:pPr>
              <w:ind w:left="40"/>
              <w:spacing w:after="0"/>
              <w:rPr>
                <w:sz w:val="20"/>
                <w:szCs w:val="20"/>
                <w:color w:val="auto"/>
              </w:rPr>
            </w:pPr>
            <w:r>
              <w:rPr>
                <w:rFonts w:ascii="Arial" w:cs="Arial" w:eastAsia="Arial" w:hAnsi="Arial"/>
                <w:sz w:val="11"/>
                <w:szCs w:val="11"/>
                <w:color w:val="auto"/>
              </w:rPr>
              <w:t>Unsecured senior notes payable</w:t>
            </w:r>
          </w:p>
        </w:tc>
        <w:tc>
          <w:tcPr>
            <w:tcW w:w="900" w:type="dxa"/>
            <w:vAlign w:val="bottom"/>
          </w:tcPr>
          <w:p>
            <w:pPr>
              <w:jc w:val="right"/>
              <w:ind w:right="3"/>
              <w:spacing w:after="0"/>
              <w:rPr>
                <w:sz w:val="20"/>
                <w:szCs w:val="20"/>
                <w:color w:val="auto"/>
              </w:rPr>
            </w:pPr>
            <w:r>
              <w:rPr>
                <w:rFonts w:ascii="Arial" w:cs="Arial" w:eastAsia="Arial" w:hAnsi="Arial"/>
                <w:sz w:val="11"/>
                <w:szCs w:val="11"/>
                <w:color w:val="auto"/>
              </w:rPr>
              <w:t>3.00%</w:t>
            </w:r>
          </w:p>
        </w:tc>
        <w:tc>
          <w:tcPr>
            <w:tcW w:w="540" w:type="dxa"/>
            <w:vAlign w:val="bottom"/>
          </w:tcPr>
          <w:p>
            <w:pPr>
              <w:ind w:left="160"/>
              <w:spacing w:after="0"/>
              <w:rPr>
                <w:sz w:val="20"/>
                <w:szCs w:val="20"/>
                <w:color w:val="auto"/>
              </w:rPr>
            </w:pPr>
            <w:r>
              <w:rPr>
                <w:rFonts w:ascii="Arial" w:cs="Arial" w:eastAsia="Arial" w:hAnsi="Arial"/>
                <w:sz w:val="11"/>
                <w:szCs w:val="11"/>
                <w:color w:val="auto"/>
              </w:rPr>
              <w:t>3.08</w:t>
            </w:r>
          </w:p>
        </w:tc>
        <w:tc>
          <w:tcPr>
            <w:tcW w:w="760" w:type="dxa"/>
            <w:vAlign w:val="bottom"/>
          </w:tcPr>
          <w:p>
            <w:pPr>
              <w:jc w:val="right"/>
              <w:ind w:right="43"/>
              <w:spacing w:after="0"/>
              <w:rPr>
                <w:sz w:val="20"/>
                <w:szCs w:val="20"/>
                <w:color w:val="auto"/>
              </w:rPr>
            </w:pPr>
            <w:r>
              <w:rPr>
                <w:rFonts w:ascii="Arial" w:cs="Arial" w:eastAsia="Arial" w:hAnsi="Arial"/>
                <w:sz w:val="11"/>
                <w:szCs w:val="11"/>
                <w:color w:val="auto"/>
              </w:rPr>
              <w:t>5/18/51</w:t>
            </w:r>
          </w:p>
        </w:tc>
        <w:tc>
          <w:tcPr>
            <w:tcW w:w="300" w:type="dxa"/>
            <w:vAlign w:val="bottom"/>
          </w:tcPr>
          <w:p>
            <w:pPr>
              <w:spacing w:after="0"/>
              <w:rPr>
                <w:sz w:val="14"/>
                <w:szCs w:val="14"/>
                <w:color w:val="auto"/>
              </w:rPr>
            </w:pPr>
          </w:p>
        </w:tc>
        <w:tc>
          <w:tcPr>
            <w:tcW w:w="320" w:type="dxa"/>
            <w:vAlign w:val="bottom"/>
          </w:tcPr>
          <w:p>
            <w:pPr>
              <w:jc w:val="right"/>
              <w:ind w:right="24"/>
              <w:spacing w:after="0"/>
              <w:rPr>
                <w:sz w:val="20"/>
                <w:szCs w:val="20"/>
                <w:color w:val="auto"/>
              </w:rPr>
            </w:pPr>
            <w:r>
              <w:rPr>
                <w:rFonts w:ascii="Arial" w:cs="Arial" w:eastAsia="Arial" w:hAnsi="Arial"/>
                <w:sz w:val="11"/>
                <w:szCs w:val="11"/>
                <w:color w:val="auto"/>
              </w:rPr>
              <w:t>—</w:t>
            </w:r>
          </w:p>
        </w:tc>
        <w:tc>
          <w:tcPr>
            <w:tcW w:w="640" w:type="dxa"/>
            <w:vAlign w:val="bottom"/>
          </w:tcPr>
          <w:p>
            <w:pPr>
              <w:jc w:val="right"/>
              <w:ind w:right="44"/>
              <w:spacing w:after="0"/>
              <w:rPr>
                <w:sz w:val="20"/>
                <w:szCs w:val="20"/>
                <w:color w:val="auto"/>
              </w:rPr>
            </w:pPr>
            <w:r>
              <w:rPr>
                <w:rFonts w:ascii="Arial" w:cs="Arial" w:eastAsia="Arial" w:hAnsi="Arial"/>
                <w:sz w:val="11"/>
                <w:szCs w:val="11"/>
                <w:color w:val="auto"/>
              </w:rPr>
              <w:t>—</w:t>
            </w:r>
          </w:p>
        </w:tc>
        <w:tc>
          <w:tcPr>
            <w:tcW w:w="620" w:type="dxa"/>
            <w:vAlign w:val="bottom"/>
          </w:tcPr>
          <w:p>
            <w:pPr>
              <w:jc w:val="right"/>
              <w:ind w:right="24"/>
              <w:spacing w:after="0"/>
              <w:rPr>
                <w:sz w:val="20"/>
                <w:szCs w:val="20"/>
                <w:color w:val="auto"/>
              </w:rPr>
            </w:pPr>
            <w:r>
              <w:rPr>
                <w:rFonts w:ascii="Arial" w:cs="Arial" w:eastAsia="Arial" w:hAnsi="Arial"/>
                <w:sz w:val="11"/>
                <w:szCs w:val="11"/>
                <w:color w:val="auto"/>
              </w:rPr>
              <w:t>—</w:t>
            </w:r>
          </w:p>
        </w:tc>
        <w:tc>
          <w:tcPr>
            <w:tcW w:w="620" w:type="dxa"/>
            <w:vAlign w:val="bottom"/>
          </w:tcPr>
          <w:p>
            <w:pPr>
              <w:jc w:val="right"/>
              <w:ind w:right="24"/>
              <w:spacing w:after="0"/>
              <w:rPr>
                <w:sz w:val="20"/>
                <w:szCs w:val="20"/>
                <w:color w:val="auto"/>
              </w:rPr>
            </w:pPr>
            <w:r>
              <w:rPr>
                <w:rFonts w:ascii="Arial" w:cs="Arial" w:eastAsia="Arial" w:hAnsi="Arial"/>
                <w:sz w:val="11"/>
                <w:szCs w:val="11"/>
                <w:color w:val="auto"/>
              </w:rPr>
              <w:t>—</w:t>
            </w:r>
          </w:p>
        </w:tc>
        <w:tc>
          <w:tcPr>
            <w:tcW w:w="620" w:type="dxa"/>
            <w:vAlign w:val="bottom"/>
          </w:tcPr>
          <w:p>
            <w:pPr>
              <w:jc w:val="right"/>
              <w:ind w:right="24"/>
              <w:spacing w:after="0"/>
              <w:rPr>
                <w:sz w:val="20"/>
                <w:szCs w:val="20"/>
                <w:color w:val="auto"/>
              </w:rPr>
            </w:pPr>
            <w:r>
              <w:rPr>
                <w:rFonts w:ascii="Arial" w:cs="Arial" w:eastAsia="Arial" w:hAnsi="Arial"/>
                <w:sz w:val="11"/>
                <w:szCs w:val="11"/>
                <w:color w:val="auto"/>
              </w:rPr>
              <w:t>—</w:t>
            </w:r>
          </w:p>
        </w:tc>
        <w:tc>
          <w:tcPr>
            <w:tcW w:w="750" w:type="dxa"/>
            <w:vAlign w:val="bottom"/>
          </w:tcPr>
          <w:p>
            <w:pPr>
              <w:jc w:val="right"/>
              <w:ind w:right="13"/>
              <w:spacing w:after="0"/>
              <w:rPr>
                <w:sz w:val="20"/>
                <w:szCs w:val="20"/>
                <w:color w:val="auto"/>
              </w:rPr>
            </w:pPr>
            <w:r>
              <w:rPr>
                <w:rFonts w:ascii="Arial" w:cs="Arial" w:eastAsia="Arial" w:hAnsi="Arial"/>
                <w:sz w:val="11"/>
                <w:szCs w:val="11"/>
                <w:color w:val="auto"/>
              </w:rPr>
              <w:t>850,000</w:t>
            </w:r>
          </w:p>
        </w:tc>
        <w:tc>
          <w:tcPr>
            <w:tcW w:w="750" w:type="dxa"/>
            <w:vAlign w:val="bottom"/>
          </w:tcPr>
          <w:p>
            <w:pPr>
              <w:jc w:val="right"/>
              <w:ind w:right="3"/>
              <w:spacing w:after="0"/>
              <w:rPr>
                <w:sz w:val="20"/>
                <w:szCs w:val="20"/>
                <w:color w:val="auto"/>
              </w:rPr>
            </w:pPr>
            <w:r>
              <w:rPr>
                <w:rFonts w:ascii="Arial" w:cs="Arial" w:eastAsia="Arial" w:hAnsi="Arial"/>
                <w:sz w:val="11"/>
                <w:szCs w:val="11"/>
                <w:color w:val="auto"/>
              </w:rPr>
              <w:t>850,000</w:t>
            </w:r>
          </w:p>
        </w:tc>
        <w:tc>
          <w:tcPr>
            <w:tcW w:w="1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(11,417)</w:t>
            </w:r>
          </w:p>
        </w:tc>
        <w:tc>
          <w:tcPr>
            <w:tcW w:w="720" w:type="dxa"/>
            <w:vAlign w:val="bottom"/>
          </w:tcPr>
          <w:p>
            <w:pPr>
              <w:jc w:val="right"/>
              <w:spacing w:after="0"/>
              <w:rPr>
                <w:sz w:val="20"/>
                <w:szCs w:val="20"/>
                <w:color w:val="auto"/>
              </w:rPr>
            </w:pPr>
            <w:r>
              <w:rPr>
                <w:rFonts w:ascii="Arial" w:cs="Arial" w:eastAsia="Arial" w:hAnsi="Arial"/>
                <w:sz w:val="11"/>
                <w:szCs w:val="11"/>
                <w:color w:val="auto"/>
              </w:rPr>
              <w:t>838,583</w:t>
            </w:r>
          </w:p>
        </w:tc>
      </w:tr>
      <w:tr>
        <w:trPr>
          <w:trHeight w:val="172"/>
        </w:trPr>
        <w:tc>
          <w:tcPr>
            <w:tcW w:w="2560" w:type="dxa"/>
            <w:vAlign w:val="bottom"/>
          </w:tcPr>
          <w:p>
            <w:pPr>
              <w:ind w:left="40"/>
              <w:spacing w:after="0"/>
              <w:rPr>
                <w:sz w:val="20"/>
                <w:szCs w:val="20"/>
                <w:color w:val="auto"/>
              </w:rPr>
            </w:pPr>
            <w:r>
              <w:rPr>
                <w:rFonts w:ascii="Arial" w:cs="Arial" w:eastAsia="Arial" w:hAnsi="Arial"/>
                <w:sz w:val="11"/>
                <w:szCs w:val="11"/>
                <w:color w:val="auto"/>
              </w:rPr>
              <w:t>Unsecured senior notes payable</w:t>
            </w:r>
          </w:p>
        </w:tc>
        <w:tc>
          <w:tcPr>
            <w:tcW w:w="900" w:type="dxa"/>
            <w:vAlign w:val="bottom"/>
          </w:tcPr>
          <w:p>
            <w:pPr>
              <w:jc w:val="right"/>
              <w:ind w:right="3"/>
              <w:spacing w:after="0"/>
              <w:rPr>
                <w:sz w:val="20"/>
                <w:szCs w:val="20"/>
                <w:color w:val="auto"/>
              </w:rPr>
            </w:pPr>
            <w:r>
              <w:rPr>
                <w:rFonts w:ascii="Arial" w:cs="Arial" w:eastAsia="Arial" w:hAnsi="Arial"/>
                <w:sz w:val="11"/>
                <w:szCs w:val="11"/>
                <w:color w:val="auto"/>
              </w:rPr>
              <w:t>3.55%</w:t>
            </w:r>
          </w:p>
        </w:tc>
        <w:tc>
          <w:tcPr>
            <w:tcW w:w="540" w:type="dxa"/>
            <w:vAlign w:val="bottom"/>
          </w:tcPr>
          <w:p>
            <w:pPr>
              <w:ind w:left="160"/>
              <w:spacing w:after="0"/>
              <w:rPr>
                <w:sz w:val="20"/>
                <w:szCs w:val="20"/>
                <w:color w:val="auto"/>
              </w:rPr>
            </w:pPr>
            <w:r>
              <w:rPr>
                <w:rFonts w:ascii="Arial" w:cs="Arial" w:eastAsia="Arial" w:hAnsi="Arial"/>
                <w:sz w:val="11"/>
                <w:szCs w:val="11"/>
                <w:color w:val="auto"/>
              </w:rPr>
              <w:t>3.63</w:t>
            </w:r>
          </w:p>
        </w:tc>
        <w:tc>
          <w:tcPr>
            <w:tcW w:w="760" w:type="dxa"/>
            <w:vAlign w:val="bottom"/>
          </w:tcPr>
          <w:p>
            <w:pPr>
              <w:jc w:val="right"/>
              <w:ind w:right="43"/>
              <w:spacing w:after="0"/>
              <w:rPr>
                <w:sz w:val="20"/>
                <w:szCs w:val="20"/>
                <w:color w:val="auto"/>
              </w:rPr>
            </w:pPr>
            <w:r>
              <w:rPr>
                <w:rFonts w:ascii="Arial" w:cs="Arial" w:eastAsia="Arial" w:hAnsi="Arial"/>
                <w:sz w:val="11"/>
                <w:szCs w:val="11"/>
                <w:color w:val="auto"/>
              </w:rPr>
              <w:t>3/15/52</w:t>
            </w:r>
          </w:p>
        </w:tc>
        <w:tc>
          <w:tcPr>
            <w:tcW w:w="300" w:type="dxa"/>
            <w:vAlign w:val="bottom"/>
          </w:tcPr>
          <w:p>
            <w:pPr>
              <w:spacing w:after="0"/>
              <w:rPr>
                <w:sz w:val="14"/>
                <w:szCs w:val="14"/>
                <w:color w:val="auto"/>
              </w:rPr>
            </w:pPr>
          </w:p>
        </w:tc>
        <w:tc>
          <w:tcPr>
            <w:tcW w:w="320" w:type="dxa"/>
            <w:vAlign w:val="bottom"/>
          </w:tcPr>
          <w:p>
            <w:pPr>
              <w:jc w:val="right"/>
              <w:ind w:right="24"/>
              <w:spacing w:after="0"/>
              <w:rPr>
                <w:sz w:val="20"/>
                <w:szCs w:val="20"/>
                <w:color w:val="auto"/>
              </w:rPr>
            </w:pPr>
            <w:r>
              <w:rPr>
                <w:rFonts w:ascii="Arial" w:cs="Arial" w:eastAsia="Arial" w:hAnsi="Arial"/>
                <w:sz w:val="11"/>
                <w:szCs w:val="11"/>
                <w:color w:val="auto"/>
              </w:rPr>
              <w:t>—</w:t>
            </w:r>
          </w:p>
        </w:tc>
        <w:tc>
          <w:tcPr>
            <w:tcW w:w="640" w:type="dxa"/>
            <w:vAlign w:val="bottom"/>
          </w:tcPr>
          <w:p>
            <w:pPr>
              <w:jc w:val="right"/>
              <w:ind w:right="44"/>
              <w:spacing w:after="0"/>
              <w:rPr>
                <w:sz w:val="20"/>
                <w:szCs w:val="20"/>
                <w:color w:val="auto"/>
              </w:rPr>
            </w:pPr>
            <w:r>
              <w:rPr>
                <w:rFonts w:ascii="Arial" w:cs="Arial" w:eastAsia="Arial" w:hAnsi="Arial"/>
                <w:sz w:val="11"/>
                <w:szCs w:val="11"/>
                <w:color w:val="auto"/>
              </w:rPr>
              <w:t>—</w:t>
            </w:r>
          </w:p>
        </w:tc>
        <w:tc>
          <w:tcPr>
            <w:tcW w:w="620" w:type="dxa"/>
            <w:vAlign w:val="bottom"/>
          </w:tcPr>
          <w:p>
            <w:pPr>
              <w:jc w:val="right"/>
              <w:ind w:right="24"/>
              <w:spacing w:after="0"/>
              <w:rPr>
                <w:sz w:val="20"/>
                <w:szCs w:val="20"/>
                <w:color w:val="auto"/>
              </w:rPr>
            </w:pPr>
            <w:r>
              <w:rPr>
                <w:rFonts w:ascii="Arial" w:cs="Arial" w:eastAsia="Arial" w:hAnsi="Arial"/>
                <w:sz w:val="11"/>
                <w:szCs w:val="11"/>
                <w:color w:val="auto"/>
              </w:rPr>
              <w:t>—</w:t>
            </w:r>
          </w:p>
        </w:tc>
        <w:tc>
          <w:tcPr>
            <w:tcW w:w="620" w:type="dxa"/>
            <w:vAlign w:val="bottom"/>
          </w:tcPr>
          <w:p>
            <w:pPr>
              <w:jc w:val="right"/>
              <w:ind w:right="24"/>
              <w:spacing w:after="0"/>
              <w:rPr>
                <w:sz w:val="20"/>
                <w:szCs w:val="20"/>
                <w:color w:val="auto"/>
              </w:rPr>
            </w:pPr>
            <w:r>
              <w:rPr>
                <w:rFonts w:ascii="Arial" w:cs="Arial" w:eastAsia="Arial" w:hAnsi="Arial"/>
                <w:sz w:val="11"/>
                <w:szCs w:val="11"/>
                <w:color w:val="auto"/>
              </w:rPr>
              <w:t>—</w:t>
            </w:r>
          </w:p>
        </w:tc>
        <w:tc>
          <w:tcPr>
            <w:tcW w:w="620" w:type="dxa"/>
            <w:vAlign w:val="bottom"/>
          </w:tcPr>
          <w:p>
            <w:pPr>
              <w:jc w:val="right"/>
              <w:ind w:right="24"/>
              <w:spacing w:after="0"/>
              <w:rPr>
                <w:sz w:val="20"/>
                <w:szCs w:val="20"/>
                <w:color w:val="auto"/>
              </w:rPr>
            </w:pPr>
            <w:r>
              <w:rPr>
                <w:rFonts w:ascii="Arial" w:cs="Arial" w:eastAsia="Arial" w:hAnsi="Arial"/>
                <w:sz w:val="11"/>
                <w:szCs w:val="11"/>
                <w:color w:val="auto"/>
              </w:rPr>
              <w:t>—</w:t>
            </w:r>
          </w:p>
        </w:tc>
        <w:tc>
          <w:tcPr>
            <w:tcW w:w="750" w:type="dxa"/>
            <w:vAlign w:val="bottom"/>
          </w:tcPr>
          <w:p>
            <w:pPr>
              <w:jc w:val="right"/>
              <w:ind w:right="13"/>
              <w:spacing w:after="0"/>
              <w:rPr>
                <w:sz w:val="20"/>
                <w:szCs w:val="20"/>
                <w:color w:val="auto"/>
              </w:rPr>
            </w:pPr>
            <w:r>
              <w:rPr>
                <w:rFonts w:ascii="Arial" w:cs="Arial" w:eastAsia="Arial" w:hAnsi="Arial"/>
                <w:sz w:val="11"/>
                <w:szCs w:val="11"/>
                <w:color w:val="auto"/>
              </w:rPr>
              <w:t>1,000,000</w:t>
            </w:r>
          </w:p>
        </w:tc>
        <w:tc>
          <w:tcPr>
            <w:tcW w:w="750" w:type="dxa"/>
            <w:vAlign w:val="bottom"/>
          </w:tcPr>
          <w:p>
            <w:pPr>
              <w:jc w:val="right"/>
              <w:ind w:right="3"/>
              <w:spacing w:after="0"/>
              <w:rPr>
                <w:sz w:val="20"/>
                <w:szCs w:val="20"/>
                <w:color w:val="auto"/>
              </w:rPr>
            </w:pPr>
            <w:r>
              <w:rPr>
                <w:rFonts w:ascii="Arial" w:cs="Arial" w:eastAsia="Arial" w:hAnsi="Arial"/>
                <w:sz w:val="11"/>
                <w:szCs w:val="11"/>
                <w:color w:val="auto"/>
              </w:rPr>
              <w:t>1,000,000</w:t>
            </w:r>
          </w:p>
        </w:tc>
        <w:tc>
          <w:tcPr>
            <w:tcW w:w="1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(13,892)</w:t>
            </w:r>
          </w:p>
        </w:tc>
        <w:tc>
          <w:tcPr>
            <w:tcW w:w="720" w:type="dxa"/>
            <w:vAlign w:val="bottom"/>
          </w:tcPr>
          <w:p>
            <w:pPr>
              <w:jc w:val="right"/>
              <w:spacing w:after="0"/>
              <w:rPr>
                <w:sz w:val="20"/>
                <w:szCs w:val="20"/>
                <w:color w:val="auto"/>
              </w:rPr>
            </w:pPr>
            <w:r>
              <w:rPr>
                <w:rFonts w:ascii="Arial" w:cs="Arial" w:eastAsia="Arial" w:hAnsi="Arial"/>
                <w:sz w:val="11"/>
                <w:szCs w:val="11"/>
                <w:color w:val="auto"/>
              </w:rPr>
              <w:t>986,108</w:t>
            </w:r>
          </w:p>
        </w:tc>
      </w:tr>
      <w:tr>
        <w:trPr>
          <w:trHeight w:val="172"/>
        </w:trPr>
        <w:tc>
          <w:tcPr>
            <w:tcW w:w="2560" w:type="dxa"/>
            <w:vAlign w:val="bottom"/>
          </w:tcPr>
          <w:p>
            <w:pPr>
              <w:ind w:left="40"/>
              <w:spacing w:after="0"/>
              <w:rPr>
                <w:sz w:val="20"/>
                <w:szCs w:val="20"/>
                <w:color w:val="auto"/>
              </w:rPr>
            </w:pPr>
            <w:r>
              <w:rPr>
                <w:rFonts w:ascii="Arial" w:cs="Arial" w:eastAsia="Arial" w:hAnsi="Arial"/>
                <w:sz w:val="11"/>
                <w:szCs w:val="11"/>
                <w:color w:val="auto"/>
              </w:rPr>
              <w:t>Unsecured senior notes payable</w:t>
            </w:r>
          </w:p>
        </w:tc>
        <w:tc>
          <w:tcPr>
            <w:tcW w:w="900" w:type="dxa"/>
            <w:vAlign w:val="bottom"/>
          </w:tcPr>
          <w:p>
            <w:pPr>
              <w:jc w:val="right"/>
              <w:ind w:right="3"/>
              <w:spacing w:after="0"/>
              <w:rPr>
                <w:sz w:val="20"/>
                <w:szCs w:val="20"/>
                <w:color w:val="auto"/>
              </w:rPr>
            </w:pPr>
            <w:r>
              <w:rPr>
                <w:rFonts w:ascii="Arial" w:cs="Arial" w:eastAsia="Arial" w:hAnsi="Arial"/>
                <w:sz w:val="11"/>
                <w:szCs w:val="11"/>
                <w:color w:val="auto"/>
              </w:rPr>
              <w:t>5.15%</w:t>
            </w:r>
          </w:p>
        </w:tc>
        <w:tc>
          <w:tcPr>
            <w:tcW w:w="540" w:type="dxa"/>
            <w:vAlign w:val="bottom"/>
          </w:tcPr>
          <w:p>
            <w:pPr>
              <w:ind w:left="160"/>
              <w:spacing w:after="0"/>
              <w:rPr>
                <w:sz w:val="20"/>
                <w:szCs w:val="20"/>
                <w:color w:val="auto"/>
              </w:rPr>
            </w:pPr>
            <w:r>
              <w:rPr>
                <w:rFonts w:ascii="Arial" w:cs="Arial" w:eastAsia="Arial" w:hAnsi="Arial"/>
                <w:sz w:val="11"/>
                <w:szCs w:val="11"/>
                <w:color w:val="auto"/>
              </w:rPr>
              <w:t>5.26</w:t>
            </w:r>
          </w:p>
        </w:tc>
        <w:tc>
          <w:tcPr>
            <w:tcW w:w="760" w:type="dxa"/>
            <w:vAlign w:val="bottom"/>
          </w:tcPr>
          <w:p>
            <w:pPr>
              <w:jc w:val="right"/>
              <w:ind w:right="43"/>
              <w:spacing w:after="0"/>
              <w:rPr>
                <w:sz w:val="20"/>
                <w:szCs w:val="20"/>
                <w:color w:val="auto"/>
              </w:rPr>
            </w:pPr>
            <w:r>
              <w:rPr>
                <w:rFonts w:ascii="Arial" w:cs="Arial" w:eastAsia="Arial" w:hAnsi="Arial"/>
                <w:sz w:val="11"/>
                <w:szCs w:val="11"/>
                <w:color w:val="auto"/>
              </w:rPr>
              <w:t>4/15/53</w:t>
            </w:r>
          </w:p>
        </w:tc>
        <w:tc>
          <w:tcPr>
            <w:tcW w:w="300" w:type="dxa"/>
            <w:vAlign w:val="bottom"/>
          </w:tcPr>
          <w:p>
            <w:pPr>
              <w:spacing w:after="0"/>
              <w:rPr>
                <w:sz w:val="14"/>
                <w:szCs w:val="14"/>
                <w:color w:val="auto"/>
              </w:rPr>
            </w:pPr>
          </w:p>
        </w:tc>
        <w:tc>
          <w:tcPr>
            <w:tcW w:w="320" w:type="dxa"/>
            <w:vAlign w:val="bottom"/>
          </w:tcPr>
          <w:p>
            <w:pPr>
              <w:jc w:val="right"/>
              <w:ind w:right="24"/>
              <w:spacing w:after="0"/>
              <w:rPr>
                <w:sz w:val="20"/>
                <w:szCs w:val="20"/>
                <w:color w:val="auto"/>
              </w:rPr>
            </w:pPr>
            <w:r>
              <w:rPr>
                <w:rFonts w:ascii="Arial" w:cs="Arial" w:eastAsia="Arial" w:hAnsi="Arial"/>
                <w:sz w:val="11"/>
                <w:szCs w:val="11"/>
                <w:color w:val="auto"/>
              </w:rPr>
              <w:t>—</w:t>
            </w:r>
          </w:p>
        </w:tc>
        <w:tc>
          <w:tcPr>
            <w:tcW w:w="640" w:type="dxa"/>
            <w:vAlign w:val="bottom"/>
          </w:tcPr>
          <w:p>
            <w:pPr>
              <w:jc w:val="right"/>
              <w:ind w:right="44"/>
              <w:spacing w:after="0"/>
              <w:rPr>
                <w:sz w:val="20"/>
                <w:szCs w:val="20"/>
                <w:color w:val="auto"/>
              </w:rPr>
            </w:pPr>
            <w:r>
              <w:rPr>
                <w:rFonts w:ascii="Arial" w:cs="Arial" w:eastAsia="Arial" w:hAnsi="Arial"/>
                <w:sz w:val="11"/>
                <w:szCs w:val="11"/>
                <w:color w:val="auto"/>
              </w:rPr>
              <w:t>—</w:t>
            </w:r>
          </w:p>
        </w:tc>
        <w:tc>
          <w:tcPr>
            <w:tcW w:w="620" w:type="dxa"/>
            <w:vAlign w:val="bottom"/>
          </w:tcPr>
          <w:p>
            <w:pPr>
              <w:jc w:val="right"/>
              <w:ind w:right="24"/>
              <w:spacing w:after="0"/>
              <w:rPr>
                <w:sz w:val="20"/>
                <w:szCs w:val="20"/>
                <w:color w:val="auto"/>
              </w:rPr>
            </w:pPr>
            <w:r>
              <w:rPr>
                <w:rFonts w:ascii="Arial" w:cs="Arial" w:eastAsia="Arial" w:hAnsi="Arial"/>
                <w:sz w:val="11"/>
                <w:szCs w:val="11"/>
                <w:color w:val="auto"/>
              </w:rPr>
              <w:t>—</w:t>
            </w:r>
          </w:p>
        </w:tc>
        <w:tc>
          <w:tcPr>
            <w:tcW w:w="620" w:type="dxa"/>
            <w:vAlign w:val="bottom"/>
          </w:tcPr>
          <w:p>
            <w:pPr>
              <w:jc w:val="right"/>
              <w:ind w:right="24"/>
              <w:spacing w:after="0"/>
              <w:rPr>
                <w:sz w:val="20"/>
                <w:szCs w:val="20"/>
                <w:color w:val="auto"/>
              </w:rPr>
            </w:pPr>
            <w:r>
              <w:rPr>
                <w:rFonts w:ascii="Arial" w:cs="Arial" w:eastAsia="Arial" w:hAnsi="Arial"/>
                <w:sz w:val="11"/>
                <w:szCs w:val="11"/>
                <w:color w:val="auto"/>
              </w:rPr>
              <w:t>—</w:t>
            </w:r>
          </w:p>
        </w:tc>
        <w:tc>
          <w:tcPr>
            <w:tcW w:w="620" w:type="dxa"/>
            <w:vAlign w:val="bottom"/>
          </w:tcPr>
          <w:p>
            <w:pPr>
              <w:jc w:val="right"/>
              <w:ind w:right="24"/>
              <w:spacing w:after="0"/>
              <w:rPr>
                <w:sz w:val="20"/>
                <w:szCs w:val="20"/>
                <w:color w:val="auto"/>
              </w:rPr>
            </w:pPr>
            <w:r>
              <w:rPr>
                <w:rFonts w:ascii="Arial" w:cs="Arial" w:eastAsia="Arial" w:hAnsi="Arial"/>
                <w:sz w:val="11"/>
                <w:szCs w:val="11"/>
                <w:color w:val="auto"/>
              </w:rPr>
              <w:t>—</w:t>
            </w:r>
          </w:p>
        </w:tc>
        <w:tc>
          <w:tcPr>
            <w:tcW w:w="750" w:type="dxa"/>
            <w:vAlign w:val="bottom"/>
          </w:tcPr>
          <w:p>
            <w:pPr>
              <w:jc w:val="right"/>
              <w:ind w:right="13"/>
              <w:spacing w:after="0"/>
              <w:rPr>
                <w:sz w:val="20"/>
                <w:szCs w:val="20"/>
                <w:color w:val="auto"/>
              </w:rPr>
            </w:pPr>
            <w:r>
              <w:rPr>
                <w:rFonts w:ascii="Arial" w:cs="Arial" w:eastAsia="Arial" w:hAnsi="Arial"/>
                <w:sz w:val="11"/>
                <w:szCs w:val="11"/>
                <w:color w:val="auto"/>
              </w:rPr>
              <w:t>500,000</w:t>
            </w:r>
          </w:p>
        </w:tc>
        <w:tc>
          <w:tcPr>
            <w:tcW w:w="750" w:type="dxa"/>
            <w:vAlign w:val="bottom"/>
          </w:tcPr>
          <w:p>
            <w:pPr>
              <w:jc w:val="right"/>
              <w:ind w:right="3"/>
              <w:spacing w:after="0"/>
              <w:rPr>
                <w:sz w:val="20"/>
                <w:szCs w:val="20"/>
                <w:color w:val="auto"/>
              </w:rPr>
            </w:pPr>
            <w:r>
              <w:rPr>
                <w:rFonts w:ascii="Arial" w:cs="Arial" w:eastAsia="Arial" w:hAnsi="Arial"/>
                <w:sz w:val="11"/>
                <w:szCs w:val="11"/>
                <w:color w:val="auto"/>
              </w:rPr>
              <w:t>500,000</w:t>
            </w:r>
          </w:p>
        </w:tc>
        <w:tc>
          <w:tcPr>
            <w:tcW w:w="1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(7,702)</w:t>
            </w:r>
          </w:p>
        </w:tc>
        <w:tc>
          <w:tcPr>
            <w:tcW w:w="720" w:type="dxa"/>
            <w:vAlign w:val="bottom"/>
          </w:tcPr>
          <w:p>
            <w:pPr>
              <w:jc w:val="right"/>
              <w:spacing w:after="0"/>
              <w:rPr>
                <w:sz w:val="20"/>
                <w:szCs w:val="20"/>
                <w:color w:val="auto"/>
              </w:rPr>
            </w:pPr>
            <w:r>
              <w:rPr>
                <w:rFonts w:ascii="Arial" w:cs="Arial" w:eastAsia="Arial" w:hAnsi="Arial"/>
                <w:sz w:val="11"/>
                <w:szCs w:val="11"/>
                <w:color w:val="auto"/>
              </w:rPr>
              <w:t>492,298</w:t>
            </w:r>
          </w:p>
        </w:tc>
      </w:tr>
      <w:tr>
        <w:trPr>
          <w:trHeight w:val="172"/>
        </w:trPr>
        <w:tc>
          <w:tcPr>
            <w:tcW w:w="2560" w:type="dxa"/>
            <w:vAlign w:val="bottom"/>
          </w:tcPr>
          <w:p>
            <w:pPr>
              <w:ind w:left="40"/>
              <w:spacing w:after="0"/>
              <w:rPr>
                <w:sz w:val="20"/>
                <w:szCs w:val="20"/>
                <w:color w:val="auto"/>
              </w:rPr>
            </w:pPr>
            <w:r>
              <w:rPr>
                <w:rFonts w:ascii="Arial" w:cs="Arial" w:eastAsia="Arial" w:hAnsi="Arial"/>
                <w:sz w:val="11"/>
                <w:szCs w:val="11"/>
                <w:color w:val="auto"/>
              </w:rPr>
              <w:t>Unsecured senior notes payable</w:t>
            </w:r>
          </w:p>
        </w:tc>
        <w:tc>
          <w:tcPr>
            <w:tcW w:w="900" w:type="dxa"/>
            <w:vAlign w:val="bottom"/>
          </w:tcPr>
          <w:p>
            <w:pPr>
              <w:jc w:val="right"/>
              <w:ind w:right="3"/>
              <w:spacing w:after="0"/>
              <w:rPr>
                <w:sz w:val="20"/>
                <w:szCs w:val="20"/>
                <w:color w:val="auto"/>
              </w:rPr>
            </w:pPr>
            <w:r>
              <w:rPr>
                <w:rFonts w:ascii="Arial" w:cs="Arial" w:eastAsia="Arial" w:hAnsi="Arial"/>
                <w:sz w:val="11"/>
                <w:szCs w:val="11"/>
                <w:color w:val="auto"/>
              </w:rPr>
              <w:t>5.625%</w:t>
            </w:r>
          </w:p>
        </w:tc>
        <w:tc>
          <w:tcPr>
            <w:tcW w:w="540" w:type="dxa"/>
            <w:vAlign w:val="bottom"/>
          </w:tcPr>
          <w:p>
            <w:pPr>
              <w:ind w:left="160"/>
              <w:spacing w:after="0"/>
              <w:rPr>
                <w:sz w:val="20"/>
                <w:szCs w:val="20"/>
                <w:color w:val="auto"/>
              </w:rPr>
            </w:pPr>
            <w:r>
              <w:rPr>
                <w:rFonts w:ascii="Arial" w:cs="Arial" w:eastAsia="Arial" w:hAnsi="Arial"/>
                <w:sz w:val="11"/>
                <w:szCs w:val="11"/>
                <w:color w:val="auto"/>
              </w:rPr>
              <w:t>5.71</w:t>
            </w:r>
          </w:p>
        </w:tc>
        <w:tc>
          <w:tcPr>
            <w:tcW w:w="760" w:type="dxa"/>
            <w:vAlign w:val="bottom"/>
          </w:tcPr>
          <w:p>
            <w:pPr>
              <w:jc w:val="right"/>
              <w:ind w:right="43"/>
              <w:spacing w:after="0"/>
              <w:rPr>
                <w:sz w:val="20"/>
                <w:szCs w:val="20"/>
                <w:color w:val="auto"/>
              </w:rPr>
            </w:pPr>
            <w:r>
              <w:rPr>
                <w:rFonts w:ascii="Arial" w:cs="Arial" w:eastAsia="Arial" w:hAnsi="Arial"/>
                <w:sz w:val="11"/>
                <w:szCs w:val="11"/>
                <w:color w:val="auto"/>
              </w:rPr>
              <w:t>5/15/54</w:t>
            </w:r>
          </w:p>
        </w:tc>
        <w:tc>
          <w:tcPr>
            <w:tcW w:w="300" w:type="dxa"/>
            <w:vAlign w:val="bottom"/>
          </w:tcPr>
          <w:p>
            <w:pPr>
              <w:spacing w:after="0"/>
              <w:rPr>
                <w:sz w:val="14"/>
                <w:szCs w:val="14"/>
                <w:color w:val="auto"/>
              </w:rPr>
            </w:pPr>
          </w:p>
        </w:tc>
        <w:tc>
          <w:tcPr>
            <w:tcW w:w="320" w:type="dxa"/>
            <w:vAlign w:val="bottom"/>
          </w:tcPr>
          <w:p>
            <w:pPr>
              <w:jc w:val="right"/>
              <w:ind w:right="24"/>
              <w:spacing w:after="0"/>
              <w:rPr>
                <w:sz w:val="20"/>
                <w:szCs w:val="20"/>
                <w:color w:val="auto"/>
              </w:rPr>
            </w:pPr>
            <w:r>
              <w:rPr>
                <w:rFonts w:ascii="Arial" w:cs="Arial" w:eastAsia="Arial" w:hAnsi="Arial"/>
                <w:sz w:val="11"/>
                <w:szCs w:val="11"/>
                <w:color w:val="auto"/>
              </w:rPr>
              <w:t>—</w:t>
            </w:r>
          </w:p>
        </w:tc>
        <w:tc>
          <w:tcPr>
            <w:tcW w:w="640" w:type="dxa"/>
            <w:vAlign w:val="bottom"/>
          </w:tcPr>
          <w:p>
            <w:pPr>
              <w:jc w:val="right"/>
              <w:ind w:right="44"/>
              <w:spacing w:after="0"/>
              <w:rPr>
                <w:sz w:val="20"/>
                <w:szCs w:val="20"/>
                <w:color w:val="auto"/>
              </w:rPr>
            </w:pPr>
            <w:r>
              <w:rPr>
                <w:rFonts w:ascii="Arial" w:cs="Arial" w:eastAsia="Arial" w:hAnsi="Arial"/>
                <w:sz w:val="11"/>
                <w:szCs w:val="11"/>
                <w:color w:val="auto"/>
              </w:rPr>
              <w:t>—</w:t>
            </w:r>
          </w:p>
        </w:tc>
        <w:tc>
          <w:tcPr>
            <w:tcW w:w="620" w:type="dxa"/>
            <w:vAlign w:val="bottom"/>
          </w:tcPr>
          <w:p>
            <w:pPr>
              <w:jc w:val="right"/>
              <w:ind w:right="24"/>
              <w:spacing w:after="0"/>
              <w:rPr>
                <w:sz w:val="20"/>
                <w:szCs w:val="20"/>
                <w:color w:val="auto"/>
              </w:rPr>
            </w:pPr>
            <w:r>
              <w:rPr>
                <w:rFonts w:ascii="Arial" w:cs="Arial" w:eastAsia="Arial" w:hAnsi="Arial"/>
                <w:sz w:val="11"/>
                <w:szCs w:val="11"/>
                <w:color w:val="auto"/>
              </w:rPr>
              <w:t>—</w:t>
            </w:r>
          </w:p>
        </w:tc>
        <w:tc>
          <w:tcPr>
            <w:tcW w:w="620" w:type="dxa"/>
            <w:vAlign w:val="bottom"/>
          </w:tcPr>
          <w:p>
            <w:pPr>
              <w:jc w:val="right"/>
              <w:ind w:right="24"/>
              <w:spacing w:after="0"/>
              <w:rPr>
                <w:sz w:val="20"/>
                <w:szCs w:val="20"/>
                <w:color w:val="auto"/>
              </w:rPr>
            </w:pPr>
            <w:r>
              <w:rPr>
                <w:rFonts w:ascii="Arial" w:cs="Arial" w:eastAsia="Arial" w:hAnsi="Arial"/>
                <w:sz w:val="11"/>
                <w:szCs w:val="11"/>
                <w:color w:val="auto"/>
              </w:rPr>
              <w:t>—</w:t>
            </w:r>
          </w:p>
        </w:tc>
        <w:tc>
          <w:tcPr>
            <w:tcW w:w="620" w:type="dxa"/>
            <w:vAlign w:val="bottom"/>
          </w:tcPr>
          <w:p>
            <w:pPr>
              <w:jc w:val="right"/>
              <w:ind w:right="24"/>
              <w:spacing w:after="0"/>
              <w:rPr>
                <w:sz w:val="20"/>
                <w:szCs w:val="20"/>
                <w:color w:val="auto"/>
              </w:rPr>
            </w:pPr>
            <w:r>
              <w:rPr>
                <w:rFonts w:ascii="Arial" w:cs="Arial" w:eastAsia="Arial" w:hAnsi="Arial"/>
                <w:sz w:val="11"/>
                <w:szCs w:val="11"/>
                <w:color w:val="auto"/>
              </w:rPr>
              <w:t>—</w:t>
            </w:r>
          </w:p>
        </w:tc>
        <w:tc>
          <w:tcPr>
            <w:tcW w:w="750" w:type="dxa"/>
            <w:vAlign w:val="bottom"/>
          </w:tcPr>
          <w:p>
            <w:pPr>
              <w:jc w:val="right"/>
              <w:ind w:right="13"/>
              <w:spacing w:after="0"/>
              <w:rPr>
                <w:sz w:val="20"/>
                <w:szCs w:val="20"/>
                <w:color w:val="auto"/>
              </w:rPr>
            </w:pPr>
            <w:r>
              <w:rPr>
                <w:rFonts w:ascii="Arial" w:cs="Arial" w:eastAsia="Arial" w:hAnsi="Arial"/>
                <w:sz w:val="11"/>
                <w:szCs w:val="11"/>
                <w:color w:val="auto"/>
              </w:rPr>
              <w:t>600,000</w:t>
            </w:r>
          </w:p>
        </w:tc>
        <w:tc>
          <w:tcPr>
            <w:tcW w:w="750" w:type="dxa"/>
            <w:vAlign w:val="bottom"/>
          </w:tcPr>
          <w:p>
            <w:pPr>
              <w:jc w:val="right"/>
              <w:ind w:right="3"/>
              <w:spacing w:after="0"/>
              <w:rPr>
                <w:sz w:val="20"/>
                <w:szCs w:val="20"/>
                <w:color w:val="auto"/>
              </w:rPr>
            </w:pPr>
            <w:r>
              <w:rPr>
                <w:rFonts w:ascii="Arial" w:cs="Arial" w:eastAsia="Arial" w:hAnsi="Arial"/>
                <w:sz w:val="11"/>
                <w:szCs w:val="11"/>
                <w:color w:val="auto"/>
              </w:rPr>
              <w:t>600,000</w:t>
            </w:r>
          </w:p>
        </w:tc>
        <w:tc>
          <w:tcPr>
            <w:tcW w:w="1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(6,801)</w:t>
            </w:r>
          </w:p>
        </w:tc>
        <w:tc>
          <w:tcPr>
            <w:tcW w:w="720" w:type="dxa"/>
            <w:vAlign w:val="bottom"/>
          </w:tcPr>
          <w:p>
            <w:pPr>
              <w:jc w:val="right"/>
              <w:spacing w:after="0"/>
              <w:rPr>
                <w:sz w:val="20"/>
                <w:szCs w:val="20"/>
                <w:color w:val="auto"/>
              </w:rPr>
            </w:pPr>
            <w:r>
              <w:rPr>
                <w:rFonts w:ascii="Arial" w:cs="Arial" w:eastAsia="Arial" w:hAnsi="Arial"/>
                <w:sz w:val="11"/>
                <w:szCs w:val="11"/>
                <w:color w:val="auto"/>
              </w:rPr>
              <w:t>593,199</w:t>
            </w:r>
          </w:p>
        </w:tc>
      </w:tr>
      <w:tr>
        <w:trPr>
          <w:trHeight w:val="147"/>
        </w:trPr>
        <w:tc>
          <w:tcPr>
            <w:tcW w:w="2560" w:type="dxa"/>
            <w:vAlign w:val="bottom"/>
          </w:tcPr>
          <w:p>
            <w:pPr>
              <w:ind w:left="40"/>
              <w:spacing w:after="0"/>
              <w:rPr>
                <w:sz w:val="20"/>
                <w:szCs w:val="20"/>
                <w:color w:val="auto"/>
              </w:rPr>
            </w:pPr>
            <w:r>
              <w:rPr>
                <w:rFonts w:ascii="Arial" w:cs="Arial" w:eastAsia="Arial" w:hAnsi="Arial"/>
                <w:sz w:val="11"/>
                <w:szCs w:val="11"/>
                <w:color w:val="auto"/>
              </w:rPr>
              <w:t>Unsecured debt weighted-average interest rate/</w:t>
            </w:r>
          </w:p>
        </w:tc>
        <w:tc>
          <w:tcPr>
            <w:tcW w:w="9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50" w:type="dxa"/>
            <w:vAlign w:val="bottom"/>
          </w:tcPr>
          <w:p>
            <w:pPr>
              <w:spacing w:after="0"/>
              <w:rPr>
                <w:sz w:val="12"/>
                <w:szCs w:val="12"/>
                <w:color w:val="auto"/>
              </w:rPr>
            </w:pPr>
          </w:p>
        </w:tc>
        <w:tc>
          <w:tcPr>
            <w:tcW w:w="75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50"/>
        </w:trPr>
        <w:tc>
          <w:tcPr>
            <w:tcW w:w="2560" w:type="dxa"/>
            <w:vAlign w:val="bottom"/>
          </w:tcPr>
          <w:p>
            <w:pPr>
              <w:ind w:left="160"/>
              <w:spacing w:after="0"/>
              <w:rPr>
                <w:sz w:val="20"/>
                <w:szCs w:val="20"/>
                <w:color w:val="auto"/>
              </w:rPr>
            </w:pPr>
            <w:r>
              <w:rPr>
                <w:rFonts w:ascii="Arial" w:cs="Arial" w:eastAsia="Arial" w:hAnsi="Arial"/>
                <w:sz w:val="11"/>
                <w:szCs w:val="11"/>
                <w:color w:val="auto"/>
              </w:rPr>
              <w:t>subtotal</w:t>
            </w:r>
          </w:p>
        </w:tc>
        <w:tc>
          <w:tcPr>
            <w:tcW w:w="900" w:type="dxa"/>
            <w:vAlign w:val="bottom"/>
          </w:tcPr>
          <w:p>
            <w:pPr>
              <w:spacing w:after="0"/>
              <w:rPr>
                <w:sz w:val="13"/>
                <w:szCs w:val="13"/>
                <w:color w:val="auto"/>
              </w:rPr>
            </w:pPr>
          </w:p>
        </w:tc>
        <w:tc>
          <w:tcPr>
            <w:tcW w:w="540" w:type="dxa"/>
            <w:vAlign w:val="bottom"/>
          </w:tcPr>
          <w:p>
            <w:pPr>
              <w:ind w:left="160"/>
              <w:spacing w:after="0"/>
              <w:rPr>
                <w:sz w:val="20"/>
                <w:szCs w:val="20"/>
                <w:color w:val="auto"/>
              </w:rPr>
            </w:pPr>
            <w:r>
              <w:rPr>
                <w:rFonts w:ascii="Arial" w:cs="Arial" w:eastAsia="Arial" w:hAnsi="Arial"/>
                <w:sz w:val="11"/>
                <w:szCs w:val="11"/>
                <w:color w:val="auto"/>
              </w:rPr>
              <w:t>3.84</w:t>
            </w: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jc w:val="right"/>
              <w:ind w:right="24"/>
              <w:spacing w:after="0"/>
              <w:rPr>
                <w:sz w:val="20"/>
                <w:szCs w:val="20"/>
                <w:color w:val="auto"/>
              </w:rPr>
            </w:pPr>
            <w:r>
              <w:rPr>
                <w:rFonts w:ascii="Arial" w:cs="Arial" w:eastAsia="Arial" w:hAnsi="Arial"/>
                <w:sz w:val="11"/>
                <w:szCs w:val="11"/>
                <w:color w:val="auto"/>
              </w:rPr>
              <w:t>—</w:t>
            </w:r>
          </w:p>
        </w:tc>
        <w:tc>
          <w:tcPr>
            <w:tcW w:w="640" w:type="dxa"/>
            <w:vAlign w:val="bottom"/>
          </w:tcPr>
          <w:p>
            <w:pPr>
              <w:jc w:val="right"/>
              <w:ind w:right="44"/>
              <w:spacing w:after="0"/>
              <w:rPr>
                <w:sz w:val="20"/>
                <w:szCs w:val="20"/>
                <w:color w:val="auto"/>
              </w:rPr>
            </w:pPr>
            <w:r>
              <w:rPr>
                <w:rFonts w:ascii="Arial" w:cs="Arial" w:eastAsia="Arial" w:hAnsi="Arial"/>
                <w:sz w:val="11"/>
                <w:szCs w:val="11"/>
                <w:color w:val="auto"/>
              </w:rPr>
              <w:t>600,000</w:t>
            </w:r>
          </w:p>
        </w:tc>
        <w:tc>
          <w:tcPr>
            <w:tcW w:w="620" w:type="dxa"/>
            <w:vAlign w:val="bottom"/>
          </w:tcPr>
          <w:p>
            <w:pPr>
              <w:jc w:val="right"/>
              <w:ind w:right="24"/>
              <w:spacing w:after="0"/>
              <w:rPr>
                <w:sz w:val="20"/>
                <w:szCs w:val="20"/>
                <w:color w:val="auto"/>
              </w:rPr>
            </w:pPr>
            <w:r>
              <w:rPr>
                <w:rFonts w:ascii="Arial" w:cs="Arial" w:eastAsia="Arial" w:hAnsi="Arial"/>
                <w:sz w:val="11"/>
                <w:szCs w:val="11"/>
                <w:color w:val="auto"/>
              </w:rPr>
              <w:t>650,000</w:t>
            </w:r>
          </w:p>
        </w:tc>
        <w:tc>
          <w:tcPr>
            <w:tcW w:w="620" w:type="dxa"/>
            <w:vAlign w:val="bottom"/>
          </w:tcPr>
          <w:p>
            <w:pPr>
              <w:jc w:val="right"/>
              <w:ind w:right="24"/>
              <w:spacing w:after="0"/>
              <w:rPr>
                <w:sz w:val="20"/>
                <w:szCs w:val="20"/>
                <w:color w:val="auto"/>
              </w:rPr>
            </w:pPr>
            <w:r>
              <w:rPr>
                <w:rFonts w:ascii="Arial" w:cs="Arial" w:eastAsia="Arial" w:hAnsi="Arial"/>
                <w:sz w:val="11"/>
                <w:szCs w:val="11"/>
                <w:color w:val="auto"/>
              </w:rPr>
              <w:t>350,000</w:t>
            </w:r>
          </w:p>
        </w:tc>
        <w:tc>
          <w:tcPr>
            <w:tcW w:w="620" w:type="dxa"/>
            <w:vAlign w:val="bottom"/>
          </w:tcPr>
          <w:p>
            <w:pPr>
              <w:jc w:val="right"/>
              <w:ind w:right="24"/>
              <w:spacing w:after="0"/>
              <w:rPr>
                <w:sz w:val="20"/>
                <w:szCs w:val="20"/>
                <w:color w:val="auto"/>
              </w:rPr>
            </w:pPr>
            <w:r>
              <w:rPr>
                <w:rFonts w:ascii="Arial" w:cs="Arial" w:eastAsia="Arial" w:hAnsi="Arial"/>
                <w:sz w:val="11"/>
                <w:szCs w:val="11"/>
                <w:color w:val="auto"/>
              </w:rPr>
              <w:t>625,000</w:t>
            </w:r>
          </w:p>
        </w:tc>
        <w:tc>
          <w:tcPr>
            <w:tcW w:w="750" w:type="dxa"/>
            <w:vAlign w:val="bottom"/>
          </w:tcPr>
          <w:p>
            <w:pPr>
              <w:jc w:val="right"/>
              <w:ind w:right="13"/>
              <w:spacing w:after="0"/>
              <w:rPr>
                <w:sz w:val="20"/>
                <w:szCs w:val="20"/>
                <w:color w:val="auto"/>
              </w:rPr>
            </w:pPr>
            <w:r>
              <w:rPr>
                <w:rFonts w:ascii="Arial" w:cs="Arial" w:eastAsia="Arial" w:hAnsi="Arial"/>
                <w:sz w:val="11"/>
                <w:szCs w:val="11"/>
                <w:color w:val="auto"/>
              </w:rPr>
              <w:t>10,150,000</w:t>
            </w:r>
          </w:p>
        </w:tc>
        <w:tc>
          <w:tcPr>
            <w:tcW w:w="750" w:type="dxa"/>
            <w:vAlign w:val="bottom"/>
          </w:tcPr>
          <w:p>
            <w:pPr>
              <w:jc w:val="right"/>
              <w:ind w:right="3"/>
              <w:spacing w:after="0"/>
              <w:rPr>
                <w:sz w:val="20"/>
                <w:szCs w:val="20"/>
                <w:color w:val="auto"/>
              </w:rPr>
            </w:pPr>
            <w:r>
              <w:rPr>
                <w:rFonts w:ascii="Arial" w:cs="Arial" w:eastAsia="Arial" w:hAnsi="Arial"/>
                <w:sz w:val="11"/>
                <w:szCs w:val="11"/>
                <w:color w:val="auto"/>
              </w:rPr>
              <w:t>12,375,000</w:t>
            </w:r>
          </w:p>
        </w:tc>
        <w:tc>
          <w:tcPr>
            <w:tcW w:w="1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(85,887)</w:t>
            </w:r>
          </w:p>
        </w:tc>
        <w:tc>
          <w:tcPr>
            <w:tcW w:w="720" w:type="dxa"/>
            <w:vAlign w:val="bottom"/>
          </w:tcPr>
          <w:p>
            <w:pPr>
              <w:jc w:val="right"/>
              <w:spacing w:after="0"/>
              <w:rPr>
                <w:sz w:val="20"/>
                <w:szCs w:val="20"/>
                <w:color w:val="auto"/>
              </w:rPr>
            </w:pPr>
            <w:r>
              <w:rPr>
                <w:rFonts w:ascii="Arial" w:cs="Arial" w:eastAsia="Arial" w:hAnsi="Arial"/>
                <w:sz w:val="11"/>
                <w:szCs w:val="11"/>
                <w:color w:val="auto"/>
              </w:rPr>
              <w:t>12,289,113</w:t>
            </w:r>
          </w:p>
        </w:tc>
      </w:tr>
      <w:tr>
        <w:trPr>
          <w:trHeight w:val="166"/>
        </w:trPr>
        <w:tc>
          <w:tcPr>
            <w:tcW w:w="2560" w:type="dxa"/>
            <w:vAlign w:val="bottom"/>
          </w:tcPr>
          <w:p>
            <w:pPr>
              <w:ind w:left="40"/>
              <w:spacing w:after="0"/>
              <w:rPr>
                <w:sz w:val="20"/>
                <w:szCs w:val="20"/>
                <w:color w:val="auto"/>
              </w:rPr>
            </w:pPr>
            <w:r>
              <w:rPr>
                <w:rFonts w:ascii="Arial" w:cs="Arial" w:eastAsia="Arial" w:hAnsi="Arial"/>
                <w:sz w:val="11"/>
                <w:szCs w:val="11"/>
                <w:color w:val="auto"/>
              </w:rPr>
              <w:t>Weighted-average interest rate/total</w:t>
            </w:r>
          </w:p>
        </w:tc>
        <w:tc>
          <w:tcPr>
            <w:tcW w:w="900" w:type="dxa"/>
            <w:vAlign w:val="bottom"/>
          </w:tcPr>
          <w:p>
            <w:pPr>
              <w:spacing w:after="0"/>
              <w:rPr>
                <w:sz w:val="14"/>
                <w:szCs w:val="14"/>
                <w:color w:val="auto"/>
              </w:rPr>
            </w:pPr>
          </w:p>
        </w:tc>
        <w:tc>
          <w:tcPr>
            <w:tcW w:w="540" w:type="dxa"/>
            <w:vAlign w:val="bottom"/>
          </w:tcPr>
          <w:p>
            <w:pPr>
              <w:ind w:left="160"/>
              <w:spacing w:after="0"/>
              <w:rPr>
                <w:sz w:val="20"/>
                <w:szCs w:val="20"/>
                <w:color w:val="auto"/>
              </w:rPr>
            </w:pPr>
            <w:r>
              <w:rPr>
                <w:rFonts w:ascii="Arial" w:cs="Arial" w:eastAsia="Arial" w:hAnsi="Arial"/>
                <w:sz w:val="11"/>
                <w:szCs w:val="11"/>
                <w:color w:val="auto"/>
              </w:rPr>
              <w:t>3.89%</w:t>
            </w:r>
          </w:p>
        </w:tc>
        <w:tc>
          <w:tcPr>
            <w:tcW w:w="760" w:type="dxa"/>
            <w:vAlign w:val="bottom"/>
          </w:tcPr>
          <w:p>
            <w:pPr>
              <w:spacing w:after="0"/>
              <w:rPr>
                <w:sz w:val="14"/>
                <w:szCs w:val="14"/>
                <w:color w:val="auto"/>
              </w:rPr>
            </w:pPr>
          </w:p>
        </w:tc>
        <w:tc>
          <w:tcPr>
            <w:tcW w:w="300" w:type="dxa"/>
            <w:vAlign w:val="bottom"/>
          </w:tcPr>
          <w:p>
            <w:pPr>
              <w:jc w:val="right"/>
              <w:ind w:right="63"/>
              <w:spacing w:after="0"/>
              <w:rPr>
                <w:sz w:val="20"/>
                <w:szCs w:val="20"/>
                <w:color w:val="auto"/>
              </w:rPr>
            </w:pPr>
            <w:r>
              <w:rPr>
                <w:rFonts w:ascii="Arial" w:cs="Arial" w:eastAsia="Arial" w:hAnsi="Arial"/>
                <w:sz w:val="11"/>
                <w:szCs w:val="11"/>
                <w:color w:val="auto"/>
              </w:rPr>
              <w:t>$</w:t>
            </w:r>
          </w:p>
        </w:tc>
        <w:tc>
          <w:tcPr>
            <w:tcW w:w="320" w:type="dxa"/>
            <w:vAlign w:val="bottom"/>
          </w:tcPr>
          <w:p>
            <w:pPr>
              <w:jc w:val="right"/>
              <w:ind w:right="24"/>
              <w:spacing w:after="0"/>
              <w:rPr>
                <w:sz w:val="20"/>
                <w:szCs w:val="20"/>
                <w:color w:val="auto"/>
              </w:rPr>
            </w:pPr>
            <w:r>
              <w:rPr>
                <w:rFonts w:ascii="Arial" w:cs="Arial" w:eastAsia="Arial" w:hAnsi="Arial"/>
                <w:sz w:val="11"/>
                <w:szCs w:val="11"/>
                <w:color w:val="auto"/>
              </w:rPr>
              <w:t>32</w:t>
            </w:r>
          </w:p>
        </w:tc>
        <w:tc>
          <w:tcPr>
            <w:tcW w:w="640" w:type="dxa"/>
            <w:vAlign w:val="bottom"/>
          </w:tcPr>
          <w:p>
            <w:pPr>
              <w:jc w:val="right"/>
              <w:ind w:right="44"/>
              <w:spacing w:after="0"/>
              <w:rPr>
                <w:sz w:val="20"/>
                <w:szCs w:val="20"/>
                <w:color w:val="auto"/>
              </w:rPr>
            </w:pPr>
            <w:r>
              <w:rPr>
                <w:rFonts w:ascii="Arial" w:cs="Arial" w:eastAsia="Arial" w:hAnsi="Arial"/>
                <w:sz w:val="11"/>
                <w:szCs w:val="11"/>
                <w:color w:val="auto"/>
              </w:rPr>
              <w:t>$ 600,034</w:t>
            </w:r>
          </w:p>
        </w:tc>
        <w:tc>
          <w:tcPr>
            <w:tcW w:w="620" w:type="dxa"/>
            <w:vAlign w:val="bottom"/>
          </w:tcPr>
          <w:p>
            <w:pPr>
              <w:jc w:val="right"/>
              <w:ind w:right="24"/>
              <w:spacing w:after="0"/>
              <w:rPr>
                <w:sz w:val="20"/>
                <w:szCs w:val="20"/>
                <w:color w:val="auto"/>
              </w:rPr>
            </w:pPr>
            <w:r>
              <w:rPr>
                <w:rFonts w:ascii="Arial" w:cs="Arial" w:eastAsia="Arial" w:hAnsi="Arial"/>
                <w:sz w:val="11"/>
                <w:szCs w:val="11"/>
                <w:color w:val="auto"/>
              </w:rPr>
              <w:t>$ 784,684</w:t>
            </w:r>
          </w:p>
        </w:tc>
        <w:tc>
          <w:tcPr>
            <w:tcW w:w="620" w:type="dxa"/>
            <w:vAlign w:val="bottom"/>
          </w:tcPr>
          <w:p>
            <w:pPr>
              <w:jc w:val="right"/>
              <w:ind w:right="24"/>
              <w:spacing w:after="0"/>
              <w:rPr>
                <w:sz w:val="20"/>
                <w:szCs w:val="20"/>
                <w:color w:val="auto"/>
              </w:rPr>
            </w:pPr>
            <w:r>
              <w:rPr>
                <w:rFonts w:ascii="Arial" w:cs="Arial" w:eastAsia="Arial" w:hAnsi="Arial"/>
                <w:sz w:val="11"/>
                <w:szCs w:val="11"/>
                <w:color w:val="auto"/>
              </w:rPr>
              <w:t>$ 350,038</w:t>
            </w:r>
          </w:p>
        </w:tc>
        <w:tc>
          <w:tcPr>
            <w:tcW w:w="620" w:type="dxa"/>
            <w:vAlign w:val="bottom"/>
          </w:tcPr>
          <w:p>
            <w:pPr>
              <w:jc w:val="right"/>
              <w:ind w:right="24"/>
              <w:spacing w:after="0"/>
              <w:rPr>
                <w:sz w:val="20"/>
                <w:szCs w:val="20"/>
                <w:color w:val="auto"/>
              </w:rPr>
            </w:pPr>
            <w:r>
              <w:rPr>
                <w:rFonts w:ascii="Arial" w:cs="Arial" w:eastAsia="Arial" w:hAnsi="Arial"/>
                <w:sz w:val="11"/>
                <w:szCs w:val="11"/>
                <w:color w:val="auto"/>
              </w:rPr>
              <w:t>$ 625,041</w:t>
            </w:r>
          </w:p>
        </w:tc>
        <w:tc>
          <w:tcPr>
            <w:tcW w:w="750" w:type="dxa"/>
            <w:vAlign w:val="bottom"/>
          </w:tcPr>
          <w:p>
            <w:pPr>
              <w:jc w:val="right"/>
              <w:ind w:right="13"/>
              <w:spacing w:after="0"/>
              <w:rPr>
                <w:sz w:val="20"/>
                <w:szCs w:val="20"/>
                <w:color w:val="auto"/>
              </w:rPr>
            </w:pPr>
            <w:r>
              <w:rPr>
                <w:rFonts w:ascii="Arial" w:cs="Arial" w:eastAsia="Arial" w:hAnsi="Arial"/>
                <w:sz w:val="11"/>
                <w:szCs w:val="11"/>
                <w:color w:val="auto"/>
              </w:rPr>
              <w:t>$10,150,438</w:t>
            </w:r>
          </w:p>
        </w:tc>
        <w:tc>
          <w:tcPr>
            <w:tcW w:w="750" w:type="dxa"/>
            <w:vAlign w:val="bottom"/>
          </w:tcPr>
          <w:p>
            <w:pPr>
              <w:jc w:val="right"/>
              <w:ind w:right="3"/>
              <w:spacing w:after="0"/>
              <w:rPr>
                <w:sz w:val="20"/>
                <w:szCs w:val="20"/>
                <w:color w:val="auto"/>
              </w:rPr>
            </w:pPr>
            <w:r>
              <w:rPr>
                <w:rFonts w:ascii="Arial" w:cs="Arial" w:eastAsia="Arial" w:hAnsi="Arial"/>
                <w:sz w:val="11"/>
                <w:szCs w:val="11"/>
                <w:color w:val="auto"/>
              </w:rPr>
              <w:t>$12,510,267</w:t>
            </w:r>
          </w:p>
        </w:tc>
        <w:tc>
          <w:tcPr>
            <w:tcW w:w="18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(86,212)</w:t>
            </w:r>
          </w:p>
        </w:tc>
        <w:tc>
          <w:tcPr>
            <w:tcW w:w="720" w:type="dxa"/>
            <w:vAlign w:val="bottom"/>
          </w:tcPr>
          <w:p>
            <w:pPr>
              <w:jc w:val="right"/>
              <w:spacing w:after="0"/>
              <w:rPr>
                <w:sz w:val="20"/>
                <w:szCs w:val="20"/>
                <w:color w:val="auto"/>
              </w:rPr>
            </w:pPr>
            <w:r>
              <w:rPr>
                <w:rFonts w:ascii="Arial" w:cs="Arial" w:eastAsia="Arial" w:hAnsi="Arial"/>
                <w:sz w:val="11"/>
                <w:szCs w:val="11"/>
                <w:color w:val="auto"/>
              </w:rPr>
              <w:t>$12,424,055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-1092835</wp:posOffset>
            </wp:positionV>
            <wp:extent cx="7212965" cy="22809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12965" cy="2280920"/>
                    </a:xfrm>
                    <a:prstGeom prst="rect">
                      <a:avLst/>
                    </a:prstGeom>
                    <a:noFill/>
                  </pic:spPr>
                </pic:pic>
              </a:graphicData>
            </a:graphic>
          </wp:anchor>
        </w:drawing>
      </w:r>
    </w:p>
    <w:p>
      <w:pPr>
        <w:spacing w:after="0" w:line="90" w:lineRule="exact"/>
        <w:rPr>
          <w:sz w:val="20"/>
          <w:szCs w:val="20"/>
          <w:color w:val="auto"/>
        </w:rPr>
      </w:pPr>
    </w:p>
    <w:p>
      <w:pPr>
        <w:ind w:left="266" w:hanging="266"/>
        <w:spacing w:after="0"/>
        <w:tabs>
          <w:tab w:leader="none" w:pos="266" w:val="left"/>
        </w:tabs>
        <w:numPr>
          <w:ilvl w:val="0"/>
          <w:numId w:val="56"/>
        </w:numPr>
        <w:rPr>
          <w:rFonts w:ascii="Arial" w:cs="Arial" w:eastAsia="Arial" w:hAnsi="Arial"/>
          <w:sz w:val="10"/>
          <w:szCs w:val="10"/>
          <w:color w:val="auto"/>
        </w:rPr>
      </w:pPr>
      <w:r>
        <w:rPr>
          <w:rFonts w:ascii="Arial" w:cs="Arial" w:eastAsia="Arial" w:hAnsi="Arial"/>
          <w:sz w:val="10"/>
          <w:szCs w:val="10"/>
          <w:color w:val="auto"/>
        </w:rPr>
        <w:t>Represents the weighted-average interest rate as of the end of the applicable period, including amortization of loan fees, amortization of debt premiums (discounts), and other bank fees.</w:t>
      </w:r>
    </w:p>
    <w:p>
      <w:pPr>
        <w:spacing w:after="0" w:line="17" w:lineRule="exact"/>
        <w:rPr>
          <w:rFonts w:ascii="Arial" w:cs="Arial" w:eastAsia="Arial" w:hAnsi="Arial"/>
          <w:sz w:val="10"/>
          <w:szCs w:val="10"/>
          <w:color w:val="auto"/>
        </w:rPr>
      </w:pPr>
    </w:p>
    <w:p>
      <w:pPr>
        <w:ind w:left="266" w:hanging="266"/>
        <w:spacing w:after="0"/>
        <w:tabs>
          <w:tab w:leader="none" w:pos="266" w:val="left"/>
        </w:tabs>
        <w:numPr>
          <w:ilvl w:val="0"/>
          <w:numId w:val="56"/>
        </w:numPr>
        <w:rPr>
          <w:rFonts w:ascii="Arial" w:cs="Arial" w:eastAsia="Arial" w:hAnsi="Arial"/>
          <w:sz w:val="10"/>
          <w:szCs w:val="10"/>
          <w:color w:val="auto"/>
        </w:rPr>
      </w:pPr>
      <w:r>
        <w:rPr>
          <w:rFonts w:ascii="Arial" w:cs="Arial" w:eastAsia="Arial" w:hAnsi="Arial"/>
          <w:sz w:val="10"/>
          <w:szCs w:val="10"/>
          <w:color w:val="auto"/>
        </w:rPr>
        <w:t>Reflects any extension options that we control.</w:t>
      </w:r>
    </w:p>
    <w:p>
      <w:pPr>
        <w:spacing w:after="0" w:line="9" w:lineRule="exact"/>
        <w:rPr>
          <w:rFonts w:ascii="Arial" w:cs="Arial" w:eastAsia="Arial" w:hAnsi="Arial"/>
          <w:sz w:val="10"/>
          <w:szCs w:val="10"/>
          <w:color w:val="auto"/>
        </w:rPr>
      </w:pPr>
    </w:p>
    <w:p>
      <w:pPr>
        <w:ind w:left="266" w:right="100" w:hanging="266"/>
        <w:spacing w:after="0" w:line="246" w:lineRule="auto"/>
        <w:tabs>
          <w:tab w:leader="none" w:pos="266" w:val="left"/>
        </w:tabs>
        <w:numPr>
          <w:ilvl w:val="0"/>
          <w:numId w:val="56"/>
        </w:numPr>
        <w:rPr>
          <w:rFonts w:ascii="Arial" w:cs="Arial" w:eastAsia="Arial" w:hAnsi="Arial"/>
          <w:sz w:val="10"/>
          <w:szCs w:val="10"/>
          <w:color w:val="auto"/>
        </w:rPr>
      </w:pPr>
      <w:r>
        <w:rPr>
          <w:rFonts w:ascii="Arial" w:cs="Arial" w:eastAsia="Arial" w:hAnsi="Arial"/>
          <w:sz w:val="10"/>
          <w:szCs w:val="10"/>
          <w:color w:val="auto"/>
        </w:rPr>
        <w:t>Represents a secured construction loan held by our consolidated real estate joint venture for 99 Coolidge Avenue, of which we own a 75.0% interest. As of June 30, 2024, this joint venture has $60.7 million available under existing lender commitments. The interest rate shall be reduced from SOFR+2.70% to SOFR+2.10% over time upon the completion of certain leasing, construction, and financial covenant milestones.</w:t>
      </w:r>
    </w:p>
    <w:p>
      <w:pPr>
        <w:ind w:left="266" w:right="140" w:hanging="266"/>
        <w:spacing w:after="0" w:line="265" w:lineRule="auto"/>
        <w:tabs>
          <w:tab w:leader="none" w:pos="266" w:val="left"/>
        </w:tabs>
        <w:numPr>
          <w:ilvl w:val="0"/>
          <w:numId w:val="56"/>
        </w:numPr>
        <w:rPr>
          <w:rFonts w:ascii="Arial" w:cs="Arial" w:eastAsia="Arial" w:hAnsi="Arial"/>
          <w:sz w:val="10"/>
          <w:szCs w:val="10"/>
          <w:color w:val="auto"/>
        </w:rPr>
      </w:pPr>
      <w:r>
        <w:rPr>
          <w:rFonts w:ascii="Arial" w:cs="Arial" w:eastAsia="Arial" w:hAnsi="Arial"/>
          <w:sz w:val="10"/>
          <w:szCs w:val="10"/>
          <w:color w:val="auto"/>
        </w:rPr>
        <w:t>Refer to “$5.0 billion unsecured senior line of credit” and “$2.5 billion commercial paper program” on the following page. In July 2024, we executed an agreement with the lender group to amend and restate our unsecured senior line of credit to, among other changes, extend the maturity date from January 22, 2028 to January 22, 2030, including extension options that we control. We expect that the amendment and restatement will become effective in September 2024 upon the satisfaction of certain conditions.</w:t>
      </w:r>
    </w:p>
    <w:p>
      <w:pPr>
        <w:spacing w:after="0" w:line="200" w:lineRule="exact"/>
        <w:rPr>
          <w:sz w:val="20"/>
          <w:szCs w:val="20"/>
          <w:color w:val="auto"/>
        </w:rPr>
      </w:pPr>
    </w:p>
    <w:p>
      <w:pPr>
        <w:spacing w:after="0" w:line="337" w:lineRule="exact"/>
        <w:rPr>
          <w:sz w:val="20"/>
          <w:szCs w:val="20"/>
          <w:color w:val="auto"/>
        </w:rPr>
      </w:pPr>
    </w:p>
    <w:p>
      <w:pPr>
        <w:jc w:val="center"/>
        <w:ind w:right="-25"/>
        <w:spacing w:after="0"/>
        <w:rPr>
          <w:sz w:val="20"/>
          <w:szCs w:val="20"/>
          <w:color w:val="auto"/>
        </w:rPr>
      </w:pPr>
      <w:r>
        <w:rPr>
          <w:rFonts w:ascii="Arial" w:cs="Arial" w:eastAsia="Arial" w:hAnsi="Arial"/>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617855</wp:posOffset>
            </wp:positionH>
            <wp:positionV relativeFrom="paragraph">
              <wp:posOffset>188595</wp:posOffset>
            </wp:positionV>
            <wp:extent cx="5584190" cy="72205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1506"/>
        <w:spacing w:after="0"/>
        <w:rPr>
          <w:sz w:val="20"/>
          <w:szCs w:val="20"/>
          <w:color w:val="auto"/>
        </w:rPr>
      </w:pPr>
      <w:r>
        <w:rPr>
          <w:rFonts w:ascii="Arial" w:cs="Arial" w:eastAsia="Arial" w:hAnsi="Arial"/>
          <w:sz w:val="13"/>
          <w:szCs w:val="13"/>
          <w:b w:val="1"/>
          <w:bCs w:val="1"/>
          <w:color w:val="00497F"/>
        </w:rPr>
        <w:t>10. SECURED AND UNSECURED SENIOR DEBT (continued)</w:t>
      </w:r>
    </w:p>
    <w:p>
      <w:pPr>
        <w:spacing w:after="0" w:line="151" w:lineRule="exact"/>
        <w:rPr>
          <w:sz w:val="20"/>
          <w:szCs w:val="20"/>
          <w:color w:val="auto"/>
        </w:rPr>
      </w:pPr>
    </w:p>
    <w:p>
      <w:pPr>
        <w:ind w:left="1506" w:right="1600" w:firstLine="516"/>
        <w:spacing w:after="0" w:line="272" w:lineRule="auto"/>
        <w:rPr>
          <w:sz w:val="20"/>
          <w:szCs w:val="20"/>
          <w:color w:val="auto"/>
        </w:rPr>
      </w:pPr>
      <w:r>
        <w:rPr>
          <w:rFonts w:ascii="Arial" w:cs="Arial" w:eastAsia="Arial" w:hAnsi="Arial"/>
          <w:sz w:val="13"/>
          <w:szCs w:val="13"/>
          <w:color w:val="auto"/>
        </w:rPr>
        <w:t>The following table summarizes our secured and unsecured senior debt and amounts outstanding under our unsecured senior line of credit and commercial paper program as of June 30, 2024 (dollars in thousands):</w:t>
      </w:r>
    </w:p>
    <w:p>
      <w:pPr>
        <w:spacing w:after="0" w:line="37" w:lineRule="exact"/>
        <w:rPr>
          <w:sz w:val="20"/>
          <w:szCs w:val="20"/>
          <w:color w:val="auto"/>
        </w:rPr>
      </w:pPr>
    </w:p>
    <w:tbl>
      <w:tblPr>
        <w:tblLayout w:type="fixed"/>
        <w:tblInd w:w="1506" w:type="dxa"/>
        <w:tblCellMar>
          <w:top w:w="0" w:type="dxa"/>
          <w:left w:w="0" w:type="dxa"/>
          <w:bottom w:w="0" w:type="dxa"/>
          <w:right w:w="0" w:type="dxa"/>
        </w:tblCellMar>
      </w:tblPr>
      <w:tr>
        <w:trPr>
          <w:trHeight w:val="161"/>
        </w:trPr>
        <w:tc>
          <w:tcPr>
            <w:tcW w:w="2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20" w:type="dxa"/>
            <w:vAlign w:val="bottom"/>
            <w:tcBorders>
              <w:bottom w:val="single" w:sz="8" w:color="auto"/>
            </w:tcBorders>
            <w:gridSpan w:val="3"/>
          </w:tcPr>
          <w:p>
            <w:pPr>
              <w:ind w:left="280"/>
              <w:spacing w:after="0"/>
              <w:rPr>
                <w:sz w:val="20"/>
                <w:szCs w:val="20"/>
                <w:color w:val="auto"/>
              </w:rPr>
            </w:pPr>
            <w:r>
              <w:rPr>
                <w:rFonts w:ascii="Arial" w:cs="Arial" w:eastAsia="Arial" w:hAnsi="Arial"/>
                <w:sz w:val="13"/>
                <w:szCs w:val="13"/>
                <w:color w:val="auto"/>
              </w:rPr>
              <w:t>Weighted-Average</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2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vMerge w:val="restart"/>
          </w:tcPr>
          <w:p>
            <w:pPr>
              <w:ind w:left="160"/>
              <w:spacing w:after="0"/>
              <w:rPr>
                <w:sz w:val="20"/>
                <w:szCs w:val="20"/>
                <w:color w:val="auto"/>
              </w:rPr>
            </w:pPr>
            <w:r>
              <w:rPr>
                <w:rFonts w:ascii="Arial" w:cs="Arial" w:eastAsia="Arial" w:hAnsi="Arial"/>
                <w:sz w:val="13"/>
                <w:szCs w:val="13"/>
                <w:color w:val="auto"/>
              </w:rPr>
              <w:t>Interest</w:t>
            </w:r>
          </w:p>
        </w:tc>
        <w:tc>
          <w:tcPr>
            <w:tcW w:w="720" w:type="dxa"/>
            <w:vAlign w:val="bottom"/>
          </w:tcPr>
          <w:p>
            <w:pPr>
              <w:jc w:val="center"/>
              <w:spacing w:after="0" w:line="120" w:lineRule="exact"/>
              <w:rPr>
                <w:sz w:val="20"/>
                <w:szCs w:val="20"/>
                <w:color w:val="auto"/>
              </w:rPr>
            </w:pPr>
            <w:r>
              <w:rPr>
                <w:rFonts w:ascii="Arial" w:cs="Arial" w:eastAsia="Arial" w:hAnsi="Arial"/>
                <w:sz w:val="13"/>
                <w:szCs w:val="13"/>
                <w:color w:val="auto"/>
                <w:w w:val="99"/>
              </w:rPr>
              <w:t>Remaining</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center"/>
              <w:ind w:right="160"/>
              <w:spacing w:after="0" w:line="119" w:lineRule="exact"/>
              <w:rPr>
                <w:sz w:val="20"/>
                <w:szCs w:val="20"/>
                <w:color w:val="auto"/>
              </w:rPr>
            </w:pPr>
            <w:r>
              <w:rPr>
                <w:rFonts w:ascii="Arial" w:cs="Arial" w:eastAsia="Arial" w:hAnsi="Arial"/>
                <w:sz w:val="13"/>
                <w:szCs w:val="13"/>
                <w:color w:val="auto"/>
                <w:w w:val="97"/>
              </w:rPr>
              <w:t>Fixed-Rate</w:t>
            </w:r>
          </w:p>
        </w:tc>
        <w:tc>
          <w:tcPr>
            <w:tcW w:w="920" w:type="dxa"/>
            <w:vAlign w:val="bottom"/>
            <w:gridSpan w:val="3"/>
          </w:tcPr>
          <w:p>
            <w:pPr>
              <w:ind w:left="60"/>
              <w:spacing w:after="0" w:line="119" w:lineRule="exact"/>
              <w:rPr>
                <w:sz w:val="20"/>
                <w:szCs w:val="20"/>
                <w:color w:val="auto"/>
              </w:rPr>
            </w:pPr>
            <w:r>
              <w:rPr>
                <w:rFonts w:ascii="Arial" w:cs="Arial" w:eastAsia="Arial" w:hAnsi="Arial"/>
                <w:sz w:val="13"/>
                <w:szCs w:val="13"/>
                <w:color w:val="auto"/>
              </w:rPr>
              <w:t>Variable-Rate</w:t>
            </w: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720" w:type="dxa"/>
            <w:vAlign w:val="bottom"/>
          </w:tcPr>
          <w:p>
            <w:pPr>
              <w:jc w:val="center"/>
              <w:spacing w:after="0" w:line="119" w:lineRule="exact"/>
              <w:rPr>
                <w:sz w:val="20"/>
                <w:szCs w:val="20"/>
                <w:color w:val="auto"/>
              </w:rPr>
            </w:pPr>
            <w:r>
              <w:rPr>
                <w:rFonts w:ascii="Arial" w:cs="Arial" w:eastAsia="Arial" w:hAnsi="Arial"/>
                <w:sz w:val="13"/>
                <w:szCs w:val="13"/>
                <w:color w:val="auto"/>
                <w:w w:val="98"/>
              </w:rPr>
              <w:t>Term</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3"/>
                <w:szCs w:val="13"/>
                <w:color w:val="auto"/>
                <w:w w:val="94"/>
              </w:rPr>
              <w:t>Debt</w:t>
            </w:r>
          </w:p>
        </w:tc>
        <w:tc>
          <w:tcPr>
            <w:tcW w:w="180" w:type="dxa"/>
            <w:vAlign w:val="bottom"/>
          </w:tcPr>
          <w:p>
            <w:pPr>
              <w:spacing w:after="0"/>
              <w:rPr>
                <w:sz w:val="14"/>
                <w:szCs w:val="14"/>
                <w:color w:val="auto"/>
              </w:rPr>
            </w:pPr>
          </w:p>
        </w:tc>
        <w:tc>
          <w:tcPr>
            <w:tcW w:w="740" w:type="dxa"/>
            <w:vAlign w:val="bottom"/>
            <w:gridSpan w:val="2"/>
          </w:tcPr>
          <w:p>
            <w:pPr>
              <w:ind w:left="120"/>
              <w:spacing w:after="0"/>
              <w:rPr>
                <w:sz w:val="20"/>
                <w:szCs w:val="20"/>
                <w:color w:val="auto"/>
              </w:rPr>
            </w:pPr>
            <w:r>
              <w:rPr>
                <w:rFonts w:ascii="Arial" w:cs="Arial" w:eastAsia="Arial" w:hAnsi="Arial"/>
                <w:sz w:val="13"/>
                <w:szCs w:val="13"/>
                <w:color w:val="auto"/>
              </w:rPr>
              <w:t>Debt</w:t>
            </w:r>
          </w:p>
        </w:tc>
        <w:tc>
          <w:tcPr>
            <w:tcW w:w="140" w:type="dxa"/>
            <w:vAlign w:val="bottom"/>
          </w:tcPr>
          <w:p>
            <w:pPr>
              <w:spacing w:after="0"/>
              <w:rPr>
                <w:sz w:val="14"/>
                <w:szCs w:val="14"/>
                <w:color w:val="auto"/>
              </w:rPr>
            </w:pPr>
          </w:p>
        </w:tc>
        <w:tc>
          <w:tcPr>
            <w:tcW w:w="940" w:type="dxa"/>
            <w:vAlign w:val="bottom"/>
            <w:gridSpan w:val="2"/>
          </w:tcPr>
          <w:p>
            <w:pPr>
              <w:jc w:val="right"/>
              <w:ind w:right="500"/>
              <w:spacing w:after="0"/>
              <w:rPr>
                <w:sz w:val="20"/>
                <w:szCs w:val="20"/>
                <w:color w:val="auto"/>
              </w:rPr>
            </w:pPr>
            <w:r>
              <w:rPr>
                <w:rFonts w:ascii="Arial" w:cs="Arial" w:eastAsia="Arial" w:hAnsi="Arial"/>
                <w:sz w:val="13"/>
                <w:szCs w:val="13"/>
                <w:color w:val="auto"/>
              </w:rPr>
              <w:t>Total</w:t>
            </w:r>
          </w:p>
        </w:tc>
        <w:tc>
          <w:tcPr>
            <w:tcW w:w="900" w:type="dxa"/>
            <w:vAlign w:val="bottom"/>
            <w:gridSpan w:val="2"/>
          </w:tcPr>
          <w:p>
            <w:pPr>
              <w:ind w:left="80"/>
              <w:spacing w:after="0"/>
              <w:rPr>
                <w:sz w:val="20"/>
                <w:szCs w:val="20"/>
                <w:color w:val="auto"/>
              </w:rPr>
            </w:pPr>
            <w:r>
              <w:rPr>
                <w:rFonts w:ascii="Arial" w:cs="Arial" w:eastAsia="Arial" w:hAnsi="Arial"/>
                <w:sz w:val="13"/>
                <w:szCs w:val="13"/>
                <w:color w:val="auto"/>
              </w:rPr>
              <w:t>Percentage</w:t>
            </w:r>
          </w:p>
        </w:tc>
        <w:tc>
          <w:tcPr>
            <w:tcW w:w="900" w:type="dxa"/>
            <w:vAlign w:val="bottom"/>
            <w:gridSpan w:val="2"/>
          </w:tcPr>
          <w:p>
            <w:pPr>
              <w:ind w:left="180"/>
              <w:spacing w:after="0" w:line="171" w:lineRule="exact"/>
              <w:rPr>
                <w:sz w:val="20"/>
                <w:szCs w:val="20"/>
                <w:color w:val="auto"/>
              </w:rPr>
            </w:pPr>
            <w:r>
              <w:rPr>
                <w:rFonts w:ascii="Arial" w:cs="Arial" w:eastAsia="Arial" w:hAnsi="Arial"/>
                <w:sz w:val="13"/>
                <w:szCs w:val="13"/>
                <w:color w:val="auto"/>
              </w:rPr>
              <w:t>Rate</w:t>
            </w:r>
            <w:r>
              <w:rPr>
                <w:rFonts w:ascii="Arial" w:cs="Arial" w:eastAsia="Arial" w:hAnsi="Arial"/>
                <w:sz w:val="16"/>
                <w:szCs w:val="16"/>
                <w:color w:val="auto"/>
                <w:vertAlign w:val="superscript"/>
              </w:rPr>
              <w:t>(1)</w:t>
            </w:r>
          </w:p>
        </w:tc>
        <w:tc>
          <w:tcPr>
            <w:tcW w:w="720" w:type="dxa"/>
            <w:vAlign w:val="bottom"/>
          </w:tcPr>
          <w:p>
            <w:pPr>
              <w:jc w:val="center"/>
              <w:spacing w:after="0"/>
              <w:rPr>
                <w:sz w:val="20"/>
                <w:szCs w:val="20"/>
                <w:color w:val="auto"/>
              </w:rPr>
            </w:pPr>
            <w:r>
              <w:rPr>
                <w:rFonts w:ascii="Arial" w:cs="Arial" w:eastAsia="Arial" w:hAnsi="Arial"/>
                <w:sz w:val="13"/>
                <w:szCs w:val="13"/>
                <w:color w:val="auto"/>
                <w:w w:val="99"/>
              </w:rPr>
              <w:t>(in years)</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60" w:type="dxa"/>
            <w:vAlign w:val="bottom"/>
            <w:tcBorders>
              <w:top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Secured notes payable</w:t>
            </w:r>
          </w:p>
        </w:tc>
        <w:tc>
          <w:tcPr>
            <w:tcW w:w="12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rPr>
              <w:t>619</w:t>
            </w:r>
          </w:p>
        </w:tc>
        <w:tc>
          <w:tcPr>
            <w:tcW w:w="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134,323</w:t>
            </w:r>
          </w:p>
        </w:tc>
        <w:tc>
          <w:tcPr>
            <w:tcW w:w="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w:t>
            </w:r>
          </w:p>
        </w:tc>
        <w:tc>
          <w:tcPr>
            <w:tcW w:w="7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3"/>
                <w:szCs w:val="13"/>
                <w:color w:val="auto"/>
              </w:rPr>
              <w:t>134,942</w:t>
            </w:r>
          </w:p>
        </w:tc>
        <w:tc>
          <w:tcPr>
            <w:tcW w:w="20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10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3"/>
                <w:szCs w:val="13"/>
                <w:color w:val="auto"/>
              </w:rPr>
              <w:t>8.13%</w:t>
            </w:r>
          </w:p>
        </w:tc>
        <w:tc>
          <w:tcPr>
            <w:tcW w:w="18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60" w:type="dxa"/>
            <w:vAlign w:val="bottom"/>
          </w:tcPr>
          <w:p>
            <w:pPr>
              <w:ind w:left="60"/>
              <w:spacing w:after="0"/>
              <w:rPr>
                <w:sz w:val="20"/>
                <w:szCs w:val="20"/>
                <w:color w:val="auto"/>
              </w:rPr>
            </w:pPr>
            <w:r>
              <w:rPr>
                <w:rFonts w:ascii="Arial" w:cs="Arial" w:eastAsia="Arial" w:hAnsi="Arial"/>
                <w:sz w:val="13"/>
                <w:szCs w:val="13"/>
                <w:color w:val="auto"/>
              </w:rPr>
              <w:t>Unsecured senior notes payable</w:t>
            </w:r>
          </w:p>
        </w:tc>
        <w:tc>
          <w:tcPr>
            <w:tcW w:w="900" w:type="dxa"/>
            <w:vAlign w:val="bottom"/>
            <w:gridSpan w:val="2"/>
          </w:tcPr>
          <w:p>
            <w:pPr>
              <w:jc w:val="right"/>
              <w:ind w:right="116"/>
              <w:spacing w:after="0"/>
              <w:rPr>
                <w:sz w:val="20"/>
                <w:szCs w:val="20"/>
                <w:color w:val="auto"/>
              </w:rPr>
            </w:pPr>
            <w:r>
              <w:rPr>
                <w:rFonts w:ascii="Arial" w:cs="Arial" w:eastAsia="Arial" w:hAnsi="Arial"/>
                <w:sz w:val="13"/>
                <w:szCs w:val="13"/>
                <w:color w:val="auto"/>
              </w:rPr>
              <w:t>12,089,561</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7"/>
                <w:szCs w:val="17"/>
                <w:color w:val="auto"/>
              </w:rPr>
            </w:pPr>
          </w:p>
        </w:tc>
        <w:tc>
          <w:tcPr>
            <w:tcW w:w="740" w:type="dxa"/>
            <w:vAlign w:val="bottom"/>
          </w:tcPr>
          <w:p>
            <w:pPr>
              <w:jc w:val="right"/>
              <w:ind w:right="19"/>
              <w:spacing w:after="0"/>
              <w:rPr>
                <w:sz w:val="20"/>
                <w:szCs w:val="20"/>
                <w:color w:val="auto"/>
              </w:rPr>
            </w:pPr>
            <w:r>
              <w:rPr>
                <w:rFonts w:ascii="Arial" w:cs="Arial" w:eastAsia="Arial" w:hAnsi="Arial"/>
                <w:sz w:val="13"/>
                <w:szCs w:val="13"/>
                <w:color w:val="auto"/>
                <w:w w:val="98"/>
              </w:rPr>
              <w:t>12,089,561</w:t>
            </w:r>
          </w:p>
        </w:tc>
        <w:tc>
          <w:tcPr>
            <w:tcW w:w="200" w:type="dxa"/>
            <w:vAlign w:val="bottom"/>
          </w:tcPr>
          <w:p>
            <w:pPr>
              <w:spacing w:after="0"/>
              <w:rPr>
                <w:sz w:val="17"/>
                <w:szCs w:val="17"/>
                <w:color w:val="auto"/>
              </w:rPr>
            </w:pPr>
          </w:p>
        </w:tc>
        <w:tc>
          <w:tcPr>
            <w:tcW w:w="800" w:type="dxa"/>
            <w:vAlign w:val="bottom"/>
          </w:tcPr>
          <w:p>
            <w:pPr>
              <w:jc w:val="right"/>
              <w:ind w:right="96"/>
              <w:spacing w:after="0"/>
              <w:rPr>
                <w:sz w:val="20"/>
                <w:szCs w:val="20"/>
                <w:color w:val="auto"/>
              </w:rPr>
            </w:pPr>
            <w:r>
              <w:rPr>
                <w:rFonts w:ascii="Arial" w:cs="Arial" w:eastAsia="Arial" w:hAnsi="Arial"/>
                <w:sz w:val="13"/>
                <w:szCs w:val="13"/>
                <w:color w:val="auto"/>
              </w:rPr>
              <w:t>97.3</w:t>
            </w:r>
          </w:p>
        </w:tc>
        <w:tc>
          <w:tcPr>
            <w:tcW w:w="100" w:type="dxa"/>
            <w:vAlign w:val="bottom"/>
          </w:tcPr>
          <w:p>
            <w:pPr>
              <w:spacing w:after="0"/>
              <w:rPr>
                <w:sz w:val="17"/>
                <w:szCs w:val="17"/>
                <w:color w:val="auto"/>
              </w:rPr>
            </w:pPr>
          </w:p>
        </w:tc>
        <w:tc>
          <w:tcPr>
            <w:tcW w:w="720" w:type="dxa"/>
            <w:vAlign w:val="bottom"/>
          </w:tcPr>
          <w:p>
            <w:pPr>
              <w:ind w:left="320"/>
              <w:spacing w:after="0"/>
              <w:rPr>
                <w:sz w:val="20"/>
                <w:szCs w:val="20"/>
                <w:color w:val="auto"/>
              </w:rPr>
            </w:pPr>
            <w:r>
              <w:rPr>
                <w:rFonts w:ascii="Arial" w:cs="Arial" w:eastAsia="Arial" w:hAnsi="Arial"/>
                <w:sz w:val="13"/>
                <w:szCs w:val="13"/>
                <w:color w:val="auto"/>
              </w:rPr>
              <w:t>3.81</w:t>
            </w: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13.3</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2060" w:type="dxa"/>
            <w:vAlign w:val="bottom"/>
            <w:shd w:val="clear" w:color="auto" w:fill="CCEEFF"/>
          </w:tcPr>
          <w:p>
            <w:pPr>
              <w:ind w:left="60"/>
              <w:spacing w:after="0"/>
              <w:rPr>
                <w:sz w:val="20"/>
                <w:szCs w:val="20"/>
                <w:color w:val="auto"/>
              </w:rPr>
            </w:pPr>
            <w:r>
              <w:rPr>
                <w:rFonts w:ascii="Arial" w:cs="Arial" w:eastAsia="Arial" w:hAnsi="Arial"/>
                <w:sz w:val="13"/>
                <w:szCs w:val="13"/>
                <w:color w:val="auto"/>
              </w:rPr>
              <w:t>Unsecured senior line of credit</w:t>
            </w:r>
          </w:p>
        </w:tc>
        <w:tc>
          <w:tcPr>
            <w:tcW w:w="12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ind w:right="96"/>
              <w:spacing w:after="0"/>
              <w:rPr>
                <w:sz w:val="20"/>
                <w:szCs w:val="20"/>
                <w:color w:val="auto"/>
              </w:rPr>
            </w:pPr>
            <w:r>
              <w:rPr>
                <w:rFonts w:ascii="Arial" w:cs="Arial" w:eastAsia="Arial" w:hAnsi="Arial"/>
                <w:sz w:val="13"/>
                <w:szCs w:val="13"/>
                <w:color w:val="auto"/>
              </w:rPr>
              <w:t>199,552</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8"/>
                <w:szCs w:val="8"/>
                <w:color w:val="auto"/>
              </w:rPr>
              <w:t>(2)</w:t>
            </w:r>
          </w:p>
        </w:tc>
        <w:tc>
          <w:tcPr>
            <w:tcW w:w="800" w:type="dxa"/>
            <w:vAlign w:val="bottom"/>
            <w:vMerge w:val="restart"/>
            <w:shd w:val="clear" w:color="auto" w:fill="CCEEFF"/>
          </w:tcPr>
          <w:p>
            <w:pPr>
              <w:jc w:val="right"/>
              <w:ind w:right="96"/>
              <w:spacing w:after="0"/>
              <w:rPr>
                <w:sz w:val="20"/>
                <w:szCs w:val="20"/>
                <w:color w:val="auto"/>
              </w:rPr>
            </w:pPr>
            <w:r>
              <w:rPr>
                <w:rFonts w:ascii="Arial" w:cs="Arial" w:eastAsia="Arial" w:hAnsi="Arial"/>
                <w:sz w:val="13"/>
                <w:szCs w:val="13"/>
                <w:color w:val="auto"/>
              </w:rPr>
              <w:t>1.6</w:t>
            </w: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ind w:left="760"/>
              <w:spacing w:after="0"/>
              <w:rPr>
                <w:sz w:val="20"/>
                <w:szCs w:val="20"/>
                <w:color w:val="auto"/>
              </w:rPr>
            </w:pPr>
            <w:r>
              <w:rPr>
                <w:rFonts w:ascii="Arial" w:cs="Arial" w:eastAsia="Arial" w:hAnsi="Arial"/>
                <w:sz w:val="8"/>
                <w:szCs w:val="8"/>
                <w:color w:val="auto"/>
              </w:rPr>
              <w:t>(2)</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3.6</w:t>
            </w:r>
          </w:p>
        </w:tc>
        <w:tc>
          <w:tcPr>
            <w:tcW w:w="160" w:type="dxa"/>
            <w:vAlign w:val="bottom"/>
          </w:tcPr>
          <w:p>
            <w:pPr>
              <w:jc w:val="right"/>
              <w:spacing w:after="0"/>
              <w:rPr>
                <w:sz w:val="20"/>
                <w:szCs w:val="20"/>
                <w:color w:val="auto"/>
              </w:rPr>
            </w:pPr>
            <w:r>
              <w:rPr>
                <w:rFonts w:ascii="Arial" w:cs="Arial" w:eastAsia="Arial" w:hAnsi="Arial"/>
                <w:sz w:val="8"/>
                <w:szCs w:val="8"/>
                <w:color w:val="auto"/>
              </w:rPr>
              <w:t>(3)</w:t>
            </w:r>
          </w:p>
        </w:tc>
        <w:tc>
          <w:tcPr>
            <w:tcW w:w="0" w:type="dxa"/>
            <w:vAlign w:val="bottom"/>
          </w:tcPr>
          <w:p>
            <w:pPr>
              <w:spacing w:after="0"/>
              <w:rPr>
                <w:sz w:val="1"/>
                <w:szCs w:val="1"/>
                <w:color w:val="auto"/>
              </w:rPr>
            </w:pPr>
          </w:p>
        </w:tc>
      </w:tr>
      <w:tr>
        <w:trPr>
          <w:trHeight w:val="161"/>
        </w:trPr>
        <w:tc>
          <w:tcPr>
            <w:tcW w:w="20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and commercial paper program</w:t>
            </w:r>
          </w:p>
        </w:tc>
        <w:tc>
          <w:tcPr>
            <w:tcW w:w="120" w:type="dxa"/>
            <w:vAlign w:val="bottom"/>
            <w:shd w:val="clear" w:color="auto" w:fill="CCEEFF"/>
          </w:tcPr>
          <w:p>
            <w:pPr>
              <w:spacing w:after="0"/>
              <w:rPr>
                <w:sz w:val="13"/>
                <w:szCs w:val="13"/>
                <w:color w:val="auto"/>
              </w:rPr>
            </w:pPr>
          </w:p>
        </w:tc>
        <w:tc>
          <w:tcPr>
            <w:tcW w:w="820" w:type="dxa"/>
            <w:vAlign w:val="bottom"/>
            <w:gridSpan w:val="2"/>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19"/>
              <w:spacing w:after="0"/>
              <w:rPr>
                <w:sz w:val="20"/>
                <w:szCs w:val="20"/>
                <w:color w:val="auto"/>
              </w:rPr>
            </w:pPr>
            <w:r>
              <w:rPr>
                <w:rFonts w:ascii="Arial" w:cs="Arial" w:eastAsia="Arial" w:hAnsi="Arial"/>
                <w:sz w:val="13"/>
                <w:szCs w:val="13"/>
                <w:color w:val="auto"/>
              </w:rPr>
              <w:t>199,552</w:t>
            </w:r>
          </w:p>
        </w:tc>
        <w:tc>
          <w:tcPr>
            <w:tcW w:w="200" w:type="dxa"/>
            <w:vAlign w:val="bottom"/>
            <w:shd w:val="clear" w:color="auto" w:fill="CCEEFF"/>
          </w:tcPr>
          <w:p>
            <w:pPr>
              <w:spacing w:after="0"/>
              <w:rPr>
                <w:sz w:val="13"/>
                <w:szCs w:val="13"/>
                <w:color w:val="auto"/>
              </w:rPr>
            </w:pPr>
          </w:p>
        </w:tc>
        <w:tc>
          <w:tcPr>
            <w:tcW w:w="80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ind w:left="300"/>
              <w:spacing w:after="0"/>
              <w:rPr>
                <w:sz w:val="20"/>
                <w:szCs w:val="20"/>
                <w:color w:val="auto"/>
              </w:rPr>
            </w:pPr>
            <w:r>
              <w:rPr>
                <w:rFonts w:ascii="Arial" w:cs="Arial" w:eastAsia="Arial" w:hAnsi="Arial"/>
                <w:sz w:val="13"/>
                <w:szCs w:val="13"/>
                <w:color w:val="auto"/>
              </w:rPr>
              <w:t>5.57</w:t>
            </w:r>
          </w:p>
        </w:tc>
        <w:tc>
          <w:tcPr>
            <w:tcW w:w="180" w:type="dxa"/>
            <w:vAlign w:val="bottom"/>
            <w:shd w:val="clear" w:color="auto" w:fill="CCEEFF"/>
          </w:tcPr>
          <w:p>
            <w:pPr>
              <w:spacing w:after="0"/>
              <w:rPr>
                <w:sz w:val="13"/>
                <w:szCs w:val="13"/>
                <w:color w:val="auto"/>
              </w:rPr>
            </w:pPr>
          </w:p>
        </w:tc>
        <w:tc>
          <w:tcPr>
            <w:tcW w:w="720" w:type="dxa"/>
            <w:vAlign w:val="bottom"/>
            <w:vMerge w:val="continue"/>
            <w:shd w:val="clear" w:color="auto" w:fill="CCEEFF"/>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60" w:type="dxa"/>
            <w:vAlign w:val="bottom"/>
            <w:tcBorders>
              <w:top w:val="single" w:sz="8" w:color="CCEEFF"/>
            </w:tcBorders>
          </w:tcPr>
          <w:p>
            <w:pPr>
              <w:ind w:left="60"/>
              <w:spacing w:after="0"/>
              <w:rPr>
                <w:sz w:val="20"/>
                <w:szCs w:val="20"/>
                <w:color w:val="auto"/>
              </w:rPr>
            </w:pPr>
            <w:r>
              <w:rPr>
                <w:rFonts w:ascii="Arial" w:cs="Arial" w:eastAsia="Arial" w:hAnsi="Arial"/>
                <w:sz w:val="13"/>
                <w:szCs w:val="13"/>
                <w:color w:val="auto"/>
              </w:rPr>
              <w:t>Total/weighted average</w:t>
            </w:r>
          </w:p>
        </w:tc>
        <w:tc>
          <w:tcPr>
            <w:tcW w:w="900" w:type="dxa"/>
            <w:vAlign w:val="bottom"/>
            <w:tcBorders>
              <w:top w:val="single" w:sz="8" w:color="auto"/>
              <w:bottom w:val="single" w:sz="8" w:color="auto"/>
            </w:tcBorders>
            <w:gridSpan w:val="2"/>
          </w:tcPr>
          <w:p>
            <w:pPr>
              <w:ind w:left="40"/>
              <w:spacing w:after="0"/>
              <w:rPr>
                <w:sz w:val="20"/>
                <w:szCs w:val="20"/>
                <w:color w:val="auto"/>
              </w:rPr>
            </w:pPr>
            <w:r>
              <w:rPr>
                <w:rFonts w:ascii="Arial" w:cs="Arial" w:eastAsia="Arial" w:hAnsi="Arial"/>
                <w:sz w:val="13"/>
                <w:szCs w:val="13"/>
                <w:color w:val="auto"/>
              </w:rPr>
              <w:t>$12,090,180</w:t>
            </w:r>
          </w:p>
        </w:tc>
        <w:tc>
          <w:tcPr>
            <w:tcW w:w="40" w:type="dxa"/>
            <w:vAlign w:val="bottom"/>
            <w:tcBorders>
              <w:top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3"/>
                <w:szCs w:val="13"/>
                <w:color w:val="auto"/>
              </w:rPr>
              <w:t>333,875</w:t>
            </w:r>
          </w:p>
        </w:tc>
        <w:tc>
          <w:tcPr>
            <w:tcW w:w="60" w:type="dxa"/>
            <w:vAlign w:val="bottom"/>
            <w:tcBorders>
              <w:top w:val="single" w:sz="8" w:color="CCEEFF"/>
            </w:tcBorders>
          </w:tcPr>
          <w:p>
            <w:pPr>
              <w:spacing w:after="0"/>
              <w:rPr>
                <w:sz w:val="15"/>
                <w:szCs w:val="15"/>
                <w:color w:val="auto"/>
              </w:rPr>
            </w:pPr>
          </w:p>
        </w:tc>
        <w:tc>
          <w:tcPr>
            <w:tcW w:w="880" w:type="dxa"/>
            <w:vAlign w:val="bottom"/>
            <w:tcBorders>
              <w:top w:val="single" w:sz="8" w:color="auto"/>
              <w:bottom w:val="single" w:sz="8" w:color="auto"/>
            </w:tcBorders>
            <w:gridSpan w:val="2"/>
          </w:tcPr>
          <w:p>
            <w:pPr>
              <w:ind w:left="40"/>
              <w:spacing w:after="0"/>
              <w:rPr>
                <w:sz w:val="20"/>
                <w:szCs w:val="20"/>
                <w:color w:val="auto"/>
              </w:rPr>
            </w:pPr>
            <w:r>
              <w:rPr>
                <w:rFonts w:ascii="Arial" w:cs="Arial" w:eastAsia="Arial" w:hAnsi="Arial"/>
                <w:sz w:val="13"/>
                <w:szCs w:val="13"/>
                <w:color w:val="auto"/>
              </w:rPr>
              <w:t>$12,424,055</w:t>
            </w:r>
          </w:p>
        </w:tc>
        <w:tc>
          <w:tcPr>
            <w:tcW w:w="200" w:type="dxa"/>
            <w:vAlign w:val="bottom"/>
            <w:tcBorders>
              <w:top w:val="single" w:sz="8" w:color="CCEEFF"/>
            </w:tcBorders>
          </w:tcPr>
          <w:p>
            <w:pPr>
              <w:spacing w:after="0"/>
              <w:rPr>
                <w:sz w:val="15"/>
                <w:szCs w:val="15"/>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100.0%</w:t>
            </w:r>
          </w:p>
        </w:tc>
        <w:tc>
          <w:tcPr>
            <w:tcW w:w="100" w:type="dxa"/>
            <w:vAlign w:val="bottom"/>
            <w:tcBorders>
              <w:top w:val="single" w:sz="8" w:color="CCEEFF"/>
            </w:tcBorders>
          </w:tcPr>
          <w:p>
            <w:pPr>
              <w:spacing w:after="0"/>
              <w:rPr>
                <w:sz w:val="15"/>
                <w:szCs w:val="15"/>
                <w:color w:val="auto"/>
              </w:rPr>
            </w:pPr>
          </w:p>
        </w:tc>
        <w:tc>
          <w:tcPr>
            <w:tcW w:w="72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3"/>
                <w:szCs w:val="13"/>
                <w:color w:val="auto"/>
              </w:rPr>
              <w:t>3.89%</w:t>
            </w:r>
          </w:p>
        </w:tc>
        <w:tc>
          <w:tcPr>
            <w:tcW w:w="180" w:type="dxa"/>
            <w:vAlign w:val="bottom"/>
            <w:tcBorders>
              <w:top w:val="single" w:sz="8" w:color="CCEEFF"/>
            </w:tcBorders>
          </w:tcPr>
          <w:p>
            <w:pPr>
              <w:spacing w:after="0"/>
              <w:rPr>
                <w:sz w:val="15"/>
                <w:szCs w:val="15"/>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13.0</w:t>
            </w:r>
          </w:p>
        </w:tc>
        <w:tc>
          <w:tcPr>
            <w:tcW w:w="160" w:type="dxa"/>
            <w:vAlign w:val="bottom"/>
          </w:tcPr>
          <w:p>
            <w:pPr>
              <w:jc w:val="right"/>
              <w:spacing w:after="0"/>
              <w:rPr>
                <w:sz w:val="20"/>
                <w:szCs w:val="20"/>
                <w:color w:val="auto"/>
              </w:rPr>
            </w:pPr>
            <w:r>
              <w:rPr>
                <w:rFonts w:ascii="Arial" w:cs="Arial" w:eastAsia="Arial" w:hAnsi="Arial"/>
                <w:sz w:val="8"/>
                <w:szCs w:val="8"/>
                <w:color w:val="auto"/>
              </w:rPr>
              <w:t>(3)</w:t>
            </w:r>
          </w:p>
        </w:tc>
        <w:tc>
          <w:tcPr>
            <w:tcW w:w="0" w:type="dxa"/>
            <w:vAlign w:val="bottom"/>
          </w:tcPr>
          <w:p>
            <w:pPr>
              <w:spacing w:after="0"/>
              <w:rPr>
                <w:sz w:val="1"/>
                <w:szCs w:val="1"/>
                <w:color w:val="auto"/>
              </w:rPr>
            </w:pPr>
          </w:p>
        </w:tc>
      </w:tr>
      <w:tr>
        <w:trPr>
          <w:trHeight w:val="20"/>
        </w:trPr>
        <w:tc>
          <w:tcPr>
            <w:tcW w:w="20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60" w:type="dxa"/>
            <w:vAlign w:val="bottom"/>
            <w:shd w:val="clear" w:color="auto" w:fill="CCEEFF"/>
          </w:tcPr>
          <w:p>
            <w:pPr>
              <w:ind w:left="60"/>
              <w:spacing w:after="0"/>
              <w:rPr>
                <w:sz w:val="20"/>
                <w:szCs w:val="20"/>
                <w:color w:val="auto"/>
              </w:rPr>
            </w:pPr>
            <w:r>
              <w:rPr>
                <w:rFonts w:ascii="Arial" w:cs="Arial" w:eastAsia="Arial" w:hAnsi="Arial"/>
                <w:sz w:val="13"/>
                <w:szCs w:val="13"/>
                <w:color w:val="auto"/>
              </w:rPr>
              <w:t>Percentage of total debt</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97.3%</w:t>
            </w: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ind w:left="1766" w:right="1660" w:hanging="262"/>
        <w:spacing w:after="0" w:line="256" w:lineRule="auto"/>
        <w:tabs>
          <w:tab w:leader="none" w:pos="1766" w:val="left"/>
        </w:tabs>
        <w:numPr>
          <w:ilvl w:val="0"/>
          <w:numId w:val="57"/>
        </w:numPr>
        <w:rPr>
          <w:rFonts w:ascii="Arial" w:cs="Arial" w:eastAsia="Arial" w:hAnsi="Arial"/>
          <w:sz w:val="10"/>
          <w:szCs w:val="10"/>
          <w:color w:val="auto"/>
        </w:rPr>
      </w:pPr>
      <w:r>
        <w:rPr>
          <w:rFonts w:ascii="Arial" w:cs="Arial" w:eastAsia="Arial" w:hAnsi="Arial"/>
          <w:sz w:val="10"/>
          <w:szCs w:val="10"/>
          <w:color w:val="auto"/>
        </w:rPr>
        <w:t>Represents the weighted-average interest rate as of the end of the applicable period, including expense/income related to the amortization of loan fees, amortization of debt premiums (discounts), and other bank fees.</w:t>
      </w:r>
    </w:p>
    <w:p>
      <w:pPr>
        <w:ind w:left="1766" w:right="1700" w:hanging="262"/>
        <w:spacing w:after="0" w:line="251" w:lineRule="auto"/>
        <w:tabs>
          <w:tab w:leader="none" w:pos="1766" w:val="left"/>
        </w:tabs>
        <w:numPr>
          <w:ilvl w:val="0"/>
          <w:numId w:val="57"/>
        </w:numPr>
        <w:rPr>
          <w:rFonts w:ascii="Arial" w:cs="Arial" w:eastAsia="Arial" w:hAnsi="Arial"/>
          <w:sz w:val="10"/>
          <w:szCs w:val="10"/>
          <w:color w:val="auto"/>
        </w:rPr>
      </w:pPr>
      <w:r>
        <w:rPr>
          <w:rFonts w:ascii="Arial" w:cs="Arial" w:eastAsia="Arial" w:hAnsi="Arial"/>
          <w:sz w:val="10"/>
          <w:szCs w:val="10"/>
          <w:color w:val="auto"/>
        </w:rPr>
        <w:t>As of June 30, 2024, we had no outstanding balance on our unsecured senior line of credit and $199.6 million of commercial paper notes outstanding with a weighted-average interest rate of 5.57%.</w:t>
      </w:r>
    </w:p>
    <w:p>
      <w:pPr>
        <w:ind w:left="1766" w:right="1680" w:hanging="262"/>
        <w:spacing w:after="0" w:line="261" w:lineRule="auto"/>
        <w:tabs>
          <w:tab w:leader="none" w:pos="1766" w:val="left"/>
        </w:tabs>
        <w:numPr>
          <w:ilvl w:val="0"/>
          <w:numId w:val="57"/>
        </w:numPr>
        <w:rPr>
          <w:rFonts w:ascii="Arial" w:cs="Arial" w:eastAsia="Arial" w:hAnsi="Arial"/>
          <w:sz w:val="10"/>
          <w:szCs w:val="10"/>
          <w:color w:val="auto"/>
        </w:rPr>
      </w:pPr>
      <w:r>
        <w:rPr>
          <w:rFonts w:ascii="Arial" w:cs="Arial" w:eastAsia="Arial" w:hAnsi="Arial"/>
          <w:sz w:val="10"/>
          <w:szCs w:val="10"/>
          <w:color w:val="auto"/>
        </w:rPr>
        <w:t>We calculate the weighted-average remaining term of our commercial paper notes by using the maturity date of our unsecured senior line of credit. Using the maturity date of our outstanding commercial paper notes, the consolidated weighted-average maturity of our debt is 13.0 years. The commercial paper notes sold during the six months ended June 30, 2024 were issued at a weighted-average yield to maturity of 5.59% and had a weighted-average maturity term of 16 days.</w:t>
      </w:r>
    </w:p>
    <w:p>
      <w:pPr>
        <w:spacing w:after="0" w:line="141" w:lineRule="exact"/>
        <w:rPr>
          <w:sz w:val="20"/>
          <w:szCs w:val="20"/>
          <w:color w:val="auto"/>
        </w:rPr>
      </w:pPr>
    </w:p>
    <w:p>
      <w:pPr>
        <w:ind w:left="1506"/>
        <w:spacing w:after="0"/>
        <w:rPr>
          <w:sz w:val="20"/>
          <w:szCs w:val="20"/>
          <w:color w:val="auto"/>
        </w:rPr>
      </w:pPr>
      <w:r>
        <w:rPr>
          <w:rFonts w:ascii="Arial" w:cs="Arial" w:eastAsia="Arial" w:hAnsi="Arial"/>
          <w:sz w:val="13"/>
          <w:szCs w:val="13"/>
          <w:b w:val="1"/>
          <w:bCs w:val="1"/>
          <w:color w:val="00497F"/>
        </w:rPr>
        <w:t>Unsecured senior notes payable</w:t>
      </w:r>
    </w:p>
    <w:p>
      <w:pPr>
        <w:spacing w:after="0" w:line="151" w:lineRule="exact"/>
        <w:rPr>
          <w:sz w:val="20"/>
          <w:szCs w:val="20"/>
          <w:color w:val="auto"/>
        </w:rPr>
      </w:pPr>
    </w:p>
    <w:p>
      <w:pPr>
        <w:jc w:val="both"/>
        <w:ind w:left="1506" w:right="1820" w:firstLine="516"/>
        <w:spacing w:after="0" w:line="265" w:lineRule="auto"/>
        <w:rPr>
          <w:sz w:val="20"/>
          <w:szCs w:val="20"/>
          <w:color w:val="auto"/>
        </w:rPr>
      </w:pPr>
      <w:r>
        <w:rPr>
          <w:rFonts w:ascii="Arial" w:cs="Arial" w:eastAsia="Arial" w:hAnsi="Arial"/>
          <w:sz w:val="13"/>
          <w:szCs w:val="13"/>
          <w:color w:val="auto"/>
        </w:rPr>
        <w:t>In February 2024, we issued $1.0 billion of unsecured senior notes payable with a weighted-average interest rate of 5.48% and a weighted-average maturity of 23.1 years. The unsecured senior notes consisted of $400.0 million of 5.25% unsecured senior notes due 2036 and $600.0 million of 5.625% unsecured senior notes due 2054.</w:t>
      </w:r>
    </w:p>
    <w:p>
      <w:pPr>
        <w:spacing w:after="0" w:line="128" w:lineRule="exact"/>
        <w:rPr>
          <w:sz w:val="20"/>
          <w:szCs w:val="20"/>
          <w:color w:val="auto"/>
        </w:rPr>
      </w:pPr>
    </w:p>
    <w:p>
      <w:pPr>
        <w:ind w:left="1506"/>
        <w:spacing w:after="0"/>
        <w:rPr>
          <w:sz w:val="20"/>
          <w:szCs w:val="20"/>
          <w:color w:val="auto"/>
        </w:rPr>
      </w:pPr>
      <w:r>
        <w:rPr>
          <w:rFonts w:ascii="Arial" w:cs="Arial" w:eastAsia="Arial" w:hAnsi="Arial"/>
          <w:sz w:val="13"/>
          <w:szCs w:val="13"/>
          <w:b w:val="1"/>
          <w:bCs w:val="1"/>
          <w:color w:val="1F497D"/>
        </w:rPr>
        <w:t>$5.0 billion unsecured senior line of credit</w:t>
      </w:r>
    </w:p>
    <w:p>
      <w:pPr>
        <w:spacing w:after="0" w:line="162" w:lineRule="exact"/>
        <w:rPr>
          <w:sz w:val="20"/>
          <w:szCs w:val="20"/>
          <w:color w:val="auto"/>
        </w:rPr>
      </w:pPr>
    </w:p>
    <w:p>
      <w:pPr>
        <w:ind w:left="1506" w:right="1580" w:firstLine="516"/>
        <w:spacing w:after="0" w:line="253" w:lineRule="auto"/>
        <w:rPr>
          <w:sz w:val="20"/>
          <w:szCs w:val="20"/>
          <w:color w:val="auto"/>
        </w:rPr>
      </w:pPr>
      <w:r>
        <w:rPr>
          <w:rFonts w:ascii="Arial" w:cs="Arial" w:eastAsia="Arial" w:hAnsi="Arial"/>
          <w:sz w:val="13"/>
          <w:szCs w:val="13"/>
          <w:color w:val="auto"/>
        </w:rPr>
        <w:t>As of June 30, 2024, our unsecured senior line of credit had aggregate commitments of $5.0 billion and bore an interest rate of SOFR plus 0.855%. In addition to the cost of borrowing, the unsecured senior line of credit is subject to an annual facility fee of 0.145% based on the aggregate commitments outstanding. Based upon our ability to achieve certain annual sustainability metrics, the interest rate and facility fee rate are also subject to upward or downward adjustments of up to four basis points with respect to the interest rate and up to one basis point with respect to the facility fee rate.</w:t>
      </w:r>
    </w:p>
    <w:p>
      <w:pPr>
        <w:spacing w:after="0" w:line="136" w:lineRule="exact"/>
        <w:rPr>
          <w:sz w:val="20"/>
          <w:szCs w:val="20"/>
          <w:color w:val="auto"/>
        </w:rPr>
      </w:pPr>
    </w:p>
    <w:p>
      <w:pPr>
        <w:ind w:left="1506" w:right="1680" w:firstLine="516"/>
        <w:spacing w:after="0" w:line="257" w:lineRule="auto"/>
        <w:rPr>
          <w:sz w:val="20"/>
          <w:szCs w:val="20"/>
          <w:color w:val="auto"/>
        </w:rPr>
      </w:pPr>
      <w:r>
        <w:rPr>
          <w:rFonts w:ascii="Arial" w:cs="Arial" w:eastAsia="Arial" w:hAnsi="Arial"/>
          <w:sz w:val="13"/>
          <w:szCs w:val="13"/>
          <w:color w:val="auto"/>
        </w:rPr>
        <w:t>Based on certain sustainability metrics achieved in accordance with the terms of our unsecured senior line of credit agreement, the borrowing rate was reduced for a one-year period by two basis points to SOFR plus 0.855%, from SOFR plus 0.875%, and the facility fee was reduced by 0.5 basis point to 0.145% from 0.15%. As of June 30, 2024, we had no outstanding balance on our unsecured line of credit.</w:t>
      </w:r>
    </w:p>
    <w:p>
      <w:pPr>
        <w:spacing w:after="0" w:line="133" w:lineRule="exact"/>
        <w:rPr>
          <w:sz w:val="20"/>
          <w:szCs w:val="20"/>
          <w:color w:val="auto"/>
        </w:rPr>
      </w:pPr>
    </w:p>
    <w:p>
      <w:pPr>
        <w:ind w:left="1506" w:right="1580" w:firstLine="516"/>
        <w:spacing w:after="0" w:line="297" w:lineRule="auto"/>
        <w:rPr>
          <w:sz w:val="20"/>
          <w:szCs w:val="20"/>
          <w:color w:val="auto"/>
        </w:rPr>
      </w:pPr>
      <w:r>
        <w:rPr>
          <w:rFonts w:ascii="Arial" w:cs="Arial" w:eastAsia="Arial" w:hAnsi="Arial"/>
          <w:sz w:val="12"/>
          <w:szCs w:val="12"/>
          <w:color w:val="auto"/>
        </w:rPr>
        <w:t>In July 2024, we executed an agreement with the lender group to amend and restate our unsecured senior line of credit to, among other changes, extend the maturity date from January 22, 2028 to January 22, 2030, including extension options that we control. We expect that the amendment and restatement will become effective in September 2024 upon the satisfaction of certain conditions.</w:t>
      </w:r>
    </w:p>
    <w:p>
      <w:pPr>
        <w:spacing w:after="0" w:line="111" w:lineRule="exact"/>
        <w:rPr>
          <w:sz w:val="20"/>
          <w:szCs w:val="20"/>
          <w:color w:val="auto"/>
        </w:rPr>
      </w:pPr>
    </w:p>
    <w:p>
      <w:pPr>
        <w:ind w:left="1506"/>
        <w:spacing w:after="0"/>
        <w:rPr>
          <w:sz w:val="20"/>
          <w:szCs w:val="20"/>
          <w:color w:val="auto"/>
        </w:rPr>
      </w:pPr>
      <w:r>
        <w:rPr>
          <w:rFonts w:ascii="Arial" w:cs="Arial" w:eastAsia="Arial" w:hAnsi="Arial"/>
          <w:sz w:val="13"/>
          <w:szCs w:val="13"/>
          <w:b w:val="1"/>
          <w:bCs w:val="1"/>
          <w:color w:val="1F497D"/>
        </w:rPr>
        <w:t>$2.5 billion co</w:t>
      </w:r>
      <w:r>
        <w:rPr>
          <w:rFonts w:ascii="Arial" w:cs="Arial" w:eastAsia="Arial" w:hAnsi="Arial"/>
          <w:sz w:val="13"/>
          <w:szCs w:val="13"/>
          <w:b w:val="1"/>
          <w:bCs w:val="1"/>
          <w:color w:val="00497F"/>
        </w:rPr>
        <w:t>mmercial paper program</w:t>
      </w:r>
    </w:p>
    <w:p>
      <w:pPr>
        <w:spacing w:after="0" w:line="162" w:lineRule="exact"/>
        <w:rPr>
          <w:sz w:val="20"/>
          <w:szCs w:val="20"/>
          <w:color w:val="auto"/>
        </w:rPr>
      </w:pPr>
    </w:p>
    <w:p>
      <w:pPr>
        <w:ind w:left="1506" w:right="1600" w:firstLine="516"/>
        <w:spacing w:after="0" w:line="275" w:lineRule="auto"/>
        <w:rPr>
          <w:sz w:val="20"/>
          <w:szCs w:val="20"/>
          <w:color w:val="auto"/>
        </w:rPr>
      </w:pPr>
      <w:r>
        <w:rPr>
          <w:rFonts w:ascii="Arial" w:cs="Arial" w:eastAsia="Arial" w:hAnsi="Arial"/>
          <w:sz w:val="12"/>
          <w:szCs w:val="12"/>
          <w:color w:val="auto"/>
        </w:rPr>
        <w:t>Our commercial paper program provides us with the ability to issue up to $2.5 billion of commercial paper notes that bear interest at short-term fixed rates with a maturity of generally 30 days or less and a maximum maturity of 397 days from the date of issuance. Our commercial paper program is backed by our unsecured senior line of credit, and at all times we expect to retain a minimum undrawn amount of borrowing capacity under our unsecured senior line of credit equal to any outstanding notes issued under our commercial paper program. We use the net proceeds from the issuances of the notes for general working capital and other general corporate purposes. General corporate purposes may include, but are not limited to, the repayment of other debt and selective development, redevelopment, or acquisition of properties. During the six months ended June 30, 2024, the commercial paper notes were issued at a weighted-average yield to maturity of 5.59% and had a weighted-average maturity term of 16 days. As of June 30, 2024, the outstanding balance under our commercial paper program was $199.6 million with a weighted-average interest rate of 5.57%.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74"/>
        <w:spacing w:after="0"/>
        <w:rPr>
          <w:sz w:val="20"/>
          <w:szCs w:val="20"/>
          <w:color w:val="auto"/>
        </w:rPr>
      </w:pPr>
      <w:r>
        <w:rPr>
          <w:rFonts w:ascii="Arial" w:cs="Arial" w:eastAsia="Arial" w:hAnsi="Arial"/>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617855</wp:posOffset>
            </wp:positionH>
            <wp:positionV relativeFrom="paragraph">
              <wp:posOffset>188595</wp:posOffset>
            </wp:positionV>
            <wp:extent cx="5584190" cy="8896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584190" cy="889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1506" w:right="5600" w:hanging="2"/>
        <w:spacing w:after="0" w:line="491" w:lineRule="auto"/>
        <w:tabs>
          <w:tab w:leader="none" w:pos="1763" w:val="left"/>
        </w:tabs>
        <w:numPr>
          <w:ilvl w:val="0"/>
          <w:numId w:val="58"/>
        </w:numPr>
        <w:rPr>
          <w:rFonts w:ascii="Arial" w:cs="Arial" w:eastAsia="Arial" w:hAnsi="Arial"/>
          <w:sz w:val="13"/>
          <w:szCs w:val="13"/>
          <w:b w:val="1"/>
          <w:bCs w:val="1"/>
          <w:color w:val="00497F"/>
        </w:rPr>
      </w:pPr>
      <w:r>
        <w:rPr>
          <w:rFonts w:ascii="Arial" w:cs="Arial" w:eastAsia="Arial" w:hAnsi="Arial"/>
          <w:sz w:val="13"/>
          <w:szCs w:val="13"/>
          <w:b w:val="1"/>
          <w:bCs w:val="1"/>
          <w:color w:val="00497F"/>
        </w:rPr>
        <w:t>SECURED AND UNSECURED SENIOR DEBT (continued) Interest expense</w:t>
      </w:r>
    </w:p>
    <w:p>
      <w:pPr>
        <w:ind w:left="2026"/>
        <w:spacing w:after="0"/>
        <w:rPr>
          <w:rFonts w:ascii="Arial" w:cs="Arial" w:eastAsia="Arial" w:hAnsi="Arial"/>
          <w:sz w:val="13"/>
          <w:szCs w:val="13"/>
          <w:b w:val="1"/>
          <w:bCs w:val="1"/>
          <w:color w:val="00497F"/>
        </w:rPr>
      </w:pPr>
      <w:r>
        <w:rPr>
          <w:rFonts w:ascii="Arial" w:cs="Arial" w:eastAsia="Arial" w:hAnsi="Arial"/>
          <w:sz w:val="13"/>
          <w:szCs w:val="13"/>
          <w:color w:val="auto"/>
        </w:rPr>
        <w:t>The following table summarizes interest expense for the three and six months ended June 30, 2024 and 2023 (in thousands):</w:t>
      </w:r>
    </w:p>
    <w:p>
      <w:pPr>
        <w:sectPr>
          <w:pgSz w:w="11900" w:h="16838" w:orient="portrait"/>
          <w:cols w:equalWidth="0" w:num="1">
            <w:col w:w="10806"/>
          </w:cols>
          <w:pgMar w:left="574" w:top="110" w:right="519" w:bottom="0" w:gutter="0" w:footer="0" w:header="0"/>
        </w:sectPr>
      </w:pPr>
    </w:p>
    <w:bookmarkStart w:id="27" w:name="page28"/>
    <w:bookmarkEnd w:id="27"/>
    <w:tbl>
      <w:tblPr>
        <w:tblLayout w:type="fixed"/>
        <w:tblInd w:w="660" w:type="dxa"/>
        <w:tblCellMar>
          <w:top w:w="0" w:type="dxa"/>
          <w:left w:w="0" w:type="dxa"/>
          <w:bottom w:w="0" w:type="dxa"/>
          <w:right w:w="0" w:type="dxa"/>
        </w:tblCellMar>
      </w:tblPr>
      <w:tr>
        <w:trPr>
          <w:trHeight w:val="169"/>
        </w:trPr>
        <w:tc>
          <w:tcPr>
            <w:tcW w:w="3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00" w:type="dxa"/>
            <w:vAlign w:val="bottom"/>
            <w:gridSpan w:val="5"/>
          </w:tcPr>
          <w:p>
            <w:pPr>
              <w:ind w:left="100"/>
              <w:spacing w:after="0"/>
              <w:rPr>
                <w:sz w:val="20"/>
                <w:szCs w:val="20"/>
                <w:color w:val="auto"/>
              </w:rPr>
            </w:pPr>
            <w:r>
              <w:rPr>
                <w:rFonts w:ascii="Arial" w:cs="Arial" w:eastAsia="Arial" w:hAnsi="Arial"/>
                <w:sz w:val="13"/>
                <w:szCs w:val="13"/>
                <w:color w:val="auto"/>
              </w:rPr>
              <w:t>Three Months Ended June 30,</w:t>
            </w:r>
          </w:p>
        </w:tc>
        <w:tc>
          <w:tcPr>
            <w:tcW w:w="180" w:type="dxa"/>
            <w:vAlign w:val="bottom"/>
          </w:tcPr>
          <w:p>
            <w:pPr>
              <w:spacing w:after="0"/>
              <w:rPr>
                <w:sz w:val="14"/>
                <w:szCs w:val="14"/>
                <w:color w:val="auto"/>
              </w:rPr>
            </w:pPr>
          </w:p>
        </w:tc>
        <w:tc>
          <w:tcPr>
            <w:tcW w:w="1900" w:type="dxa"/>
            <w:vAlign w:val="bottom"/>
            <w:gridSpan w:val="4"/>
          </w:tcPr>
          <w:p>
            <w:pPr>
              <w:jc w:val="right"/>
              <w:ind w:right="176"/>
              <w:spacing w:after="0"/>
              <w:rPr>
                <w:sz w:val="20"/>
                <w:szCs w:val="20"/>
                <w:color w:val="auto"/>
              </w:rPr>
            </w:pPr>
            <w:r>
              <w:rPr>
                <w:rFonts w:ascii="Arial" w:cs="Arial" w:eastAsia="Arial" w:hAnsi="Arial"/>
                <w:sz w:val="13"/>
                <w:szCs w:val="13"/>
                <w:color w:val="auto"/>
              </w:rPr>
              <w:t>Six Months Ended June 30,</w:t>
            </w:r>
          </w:p>
        </w:tc>
      </w:tr>
      <w:tr>
        <w:trPr>
          <w:trHeight w:val="57"/>
        </w:trPr>
        <w:tc>
          <w:tcPr>
            <w:tcW w:w="310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r>
      <w:tr>
        <w:trPr>
          <w:trHeight w:val="159"/>
        </w:trPr>
        <w:tc>
          <w:tcPr>
            <w:tcW w:w="3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jc w:val="right"/>
              <w:ind w:right="356"/>
              <w:spacing w:after="0"/>
              <w:rPr>
                <w:sz w:val="20"/>
                <w:szCs w:val="20"/>
                <w:color w:val="auto"/>
              </w:rPr>
            </w:pPr>
            <w:r>
              <w:rPr>
                <w:rFonts w:ascii="Arial" w:cs="Arial" w:eastAsia="Arial" w:hAnsi="Arial"/>
                <w:sz w:val="13"/>
                <w:szCs w:val="13"/>
                <w:color w:val="auto"/>
              </w:rPr>
              <w:t>2024</w:t>
            </w: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jc w:val="right"/>
              <w:ind w:right="356"/>
              <w:spacing w:after="0"/>
              <w:rPr>
                <w:sz w:val="20"/>
                <w:szCs w:val="20"/>
                <w:color w:val="auto"/>
              </w:rPr>
            </w:pPr>
            <w:r>
              <w:rPr>
                <w:rFonts w:ascii="Arial" w:cs="Arial" w:eastAsia="Arial" w:hAnsi="Arial"/>
                <w:sz w:val="13"/>
                <w:szCs w:val="13"/>
                <w:color w:val="auto"/>
              </w:rPr>
              <w:t>2023</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jc w:val="right"/>
              <w:ind w:right="276"/>
              <w:spacing w:after="0"/>
              <w:rPr>
                <w:sz w:val="20"/>
                <w:szCs w:val="20"/>
                <w:color w:val="auto"/>
              </w:rPr>
            </w:pPr>
            <w:r>
              <w:rPr>
                <w:rFonts w:ascii="Arial" w:cs="Arial" w:eastAsia="Arial" w:hAnsi="Arial"/>
                <w:sz w:val="13"/>
                <w:szCs w:val="13"/>
                <w:color w:val="auto"/>
              </w:rPr>
              <w:t>2024</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jc w:val="right"/>
              <w:ind w:right="296"/>
              <w:spacing w:after="0"/>
              <w:rPr>
                <w:sz w:val="20"/>
                <w:szCs w:val="20"/>
                <w:color w:val="auto"/>
              </w:rPr>
            </w:pPr>
            <w:r>
              <w:rPr>
                <w:rFonts w:ascii="Arial" w:cs="Arial" w:eastAsia="Arial" w:hAnsi="Arial"/>
                <w:sz w:val="13"/>
                <w:szCs w:val="13"/>
                <w:color w:val="auto"/>
              </w:rPr>
              <w:t>2023</w:t>
            </w:r>
          </w:p>
        </w:tc>
      </w:tr>
      <w:tr>
        <w:trPr>
          <w:trHeight w:val="25"/>
        </w:trPr>
        <w:tc>
          <w:tcPr>
            <w:tcW w:w="3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164"/>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Interest incurred</w:t>
            </w:r>
          </w:p>
        </w:tc>
        <w:tc>
          <w:tcPr>
            <w:tcW w:w="2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126,828</w:t>
            </w:r>
          </w:p>
        </w:tc>
        <w:tc>
          <w:tcPr>
            <w:tcW w:w="6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108,746</w:t>
            </w:r>
          </w:p>
        </w:tc>
        <w:tc>
          <w:tcPr>
            <w:tcW w:w="16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249,508</w:t>
            </w:r>
          </w:p>
        </w:tc>
        <w:tc>
          <w:tcPr>
            <w:tcW w:w="6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209,570</w:t>
            </w:r>
          </w:p>
        </w:tc>
      </w:tr>
      <w:tr>
        <w:trPr>
          <w:trHeight w:val="169"/>
        </w:trPr>
        <w:tc>
          <w:tcPr>
            <w:tcW w:w="3100" w:type="dxa"/>
            <w:vAlign w:val="bottom"/>
          </w:tcPr>
          <w:p>
            <w:pPr>
              <w:ind w:left="40"/>
              <w:spacing w:after="0"/>
              <w:rPr>
                <w:sz w:val="20"/>
                <w:szCs w:val="20"/>
                <w:color w:val="auto"/>
              </w:rPr>
            </w:pPr>
            <w:r>
              <w:rPr>
                <w:rFonts w:ascii="Arial" w:cs="Arial" w:eastAsia="Arial" w:hAnsi="Arial"/>
                <w:sz w:val="13"/>
                <w:szCs w:val="13"/>
                <w:color w:val="auto"/>
              </w:rPr>
              <w:t>Capitalized interest</w:t>
            </w: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(81,039)</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(91,674)</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(162,879)</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(178,744)</w:t>
            </w:r>
          </w:p>
        </w:tc>
      </w:tr>
      <w:tr>
        <w:trPr>
          <w:trHeight w:val="35"/>
        </w:trPr>
        <w:tc>
          <w:tcPr>
            <w:tcW w:w="3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r>
      <w:tr>
        <w:trPr>
          <w:trHeight w:val="186"/>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Interest expense</w:t>
            </w: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45,789</w:t>
            </w:r>
          </w:p>
        </w:tc>
        <w:tc>
          <w:tcPr>
            <w:tcW w:w="6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17,072</w:t>
            </w:r>
          </w:p>
        </w:tc>
        <w:tc>
          <w:tcPr>
            <w:tcW w:w="1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86,629</w:t>
            </w:r>
          </w:p>
        </w:tc>
        <w:tc>
          <w:tcPr>
            <w:tcW w:w="6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30,826</w:t>
            </w: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-661035</wp:posOffset>
            </wp:positionV>
            <wp:extent cx="5584190" cy="63246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584190" cy="6324600"/>
                    </a:xfrm>
                    <a:prstGeom prst="rect">
                      <a:avLst/>
                    </a:prstGeom>
                    <a:noFill/>
                  </pic:spPr>
                </pic:pic>
              </a:graphicData>
            </a:graphic>
          </wp:anchor>
        </w:drawing>
      </w:r>
    </w:p>
    <w:p>
      <w:pPr>
        <w:spacing w:after="0" w:line="238"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00497F"/>
        </w:rPr>
        <w:t>11. ACCOUNTS PAYABLE, ACCRUED EXPENSES, AND OTHER LIABILITIES</w:t>
      </w:r>
    </w:p>
    <w:p>
      <w:pPr>
        <w:spacing w:after="0" w:line="162" w:lineRule="exact"/>
        <w:rPr>
          <w:sz w:val="20"/>
          <w:szCs w:val="20"/>
          <w:color w:val="auto"/>
        </w:rPr>
      </w:pPr>
    </w:p>
    <w:p>
      <w:pPr>
        <w:ind w:left="640" w:right="839" w:firstLine="516"/>
        <w:spacing w:after="0" w:line="289" w:lineRule="auto"/>
        <w:rPr>
          <w:sz w:val="20"/>
          <w:szCs w:val="20"/>
          <w:color w:val="auto"/>
        </w:rPr>
      </w:pPr>
      <w:r>
        <w:rPr>
          <w:rFonts w:ascii="Arial" w:cs="Arial" w:eastAsia="Arial" w:hAnsi="Arial"/>
          <w:sz w:val="13"/>
          <w:szCs w:val="13"/>
          <w:color w:val="auto"/>
        </w:rPr>
        <w:t>The following table summarizes the components of accounts payable, accrued expenses, and other liabilities as of June 30, 2024 and December 31, 2023 (in thousands):</w:t>
      </w:r>
    </w:p>
    <w:p>
      <w:pPr>
        <w:spacing w:after="0" w:line="16"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4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gridSpan w:val="2"/>
          </w:tcPr>
          <w:p>
            <w:pPr>
              <w:ind w:left="100"/>
              <w:spacing w:after="0"/>
              <w:rPr>
                <w:sz w:val="20"/>
                <w:szCs w:val="20"/>
                <w:color w:val="auto"/>
              </w:rPr>
            </w:pPr>
            <w:r>
              <w:rPr>
                <w:rFonts w:ascii="Arial" w:cs="Arial" w:eastAsia="Arial" w:hAnsi="Arial"/>
                <w:sz w:val="13"/>
                <w:szCs w:val="13"/>
                <w:color w:val="auto"/>
              </w:rPr>
              <w:t>June 30, 2024</w:t>
            </w:r>
          </w:p>
        </w:tc>
        <w:tc>
          <w:tcPr>
            <w:tcW w:w="140" w:type="dxa"/>
            <w:vAlign w:val="bottom"/>
          </w:tcPr>
          <w:p>
            <w:pPr>
              <w:spacing w:after="0"/>
              <w:rPr>
                <w:sz w:val="13"/>
                <w:szCs w:val="13"/>
                <w:color w:val="auto"/>
              </w:rPr>
            </w:pPr>
          </w:p>
        </w:tc>
        <w:tc>
          <w:tcPr>
            <w:tcW w:w="1300" w:type="dxa"/>
            <w:vAlign w:val="bottom"/>
          </w:tcPr>
          <w:p>
            <w:pPr>
              <w:jc w:val="right"/>
              <w:ind w:right="96"/>
              <w:spacing w:after="0"/>
              <w:rPr>
                <w:sz w:val="20"/>
                <w:szCs w:val="20"/>
                <w:color w:val="auto"/>
              </w:rPr>
            </w:pPr>
            <w:r>
              <w:rPr>
                <w:rFonts w:ascii="Arial" w:cs="Arial" w:eastAsia="Arial" w:hAnsi="Arial"/>
                <w:sz w:val="13"/>
                <w:szCs w:val="13"/>
                <w:color w:val="auto"/>
                <w:w w:val="98"/>
              </w:rPr>
              <w:t>December 31, 2023</w:t>
            </w:r>
          </w:p>
        </w:tc>
      </w:tr>
      <w:tr>
        <w:trPr>
          <w:trHeight w:val="184"/>
        </w:trPr>
        <w:tc>
          <w:tcPr>
            <w:tcW w:w="46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Accounts payable and accrued expenses</w:t>
            </w:r>
          </w:p>
        </w:tc>
        <w:tc>
          <w:tcPr>
            <w:tcW w:w="22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434,668</w:t>
            </w:r>
          </w:p>
        </w:tc>
        <w:tc>
          <w:tcPr>
            <w:tcW w:w="2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524,439</w:t>
            </w:r>
          </w:p>
        </w:tc>
      </w:tr>
      <w:tr>
        <w:trPr>
          <w:trHeight w:val="204"/>
        </w:trPr>
        <w:tc>
          <w:tcPr>
            <w:tcW w:w="4620" w:type="dxa"/>
            <w:vAlign w:val="bottom"/>
          </w:tcPr>
          <w:p>
            <w:pPr>
              <w:ind w:left="40"/>
              <w:spacing w:after="0"/>
              <w:rPr>
                <w:sz w:val="20"/>
                <w:szCs w:val="20"/>
                <w:color w:val="auto"/>
              </w:rPr>
            </w:pPr>
            <w:r>
              <w:rPr>
                <w:rFonts w:ascii="Arial" w:cs="Arial" w:eastAsia="Arial" w:hAnsi="Arial"/>
                <w:sz w:val="13"/>
                <w:szCs w:val="13"/>
                <w:color w:val="auto"/>
              </w:rPr>
              <w:t>Accrued construction</w:t>
            </w:r>
          </w:p>
        </w:tc>
        <w:tc>
          <w:tcPr>
            <w:tcW w:w="2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612,663</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606,333</w:t>
            </w:r>
          </w:p>
        </w:tc>
      </w:tr>
      <w:tr>
        <w:trPr>
          <w:trHeight w:val="204"/>
        </w:trPr>
        <w:tc>
          <w:tcPr>
            <w:tcW w:w="4620" w:type="dxa"/>
            <w:vAlign w:val="bottom"/>
            <w:shd w:val="clear" w:color="auto" w:fill="CCEEFF"/>
          </w:tcPr>
          <w:p>
            <w:pPr>
              <w:ind w:left="40"/>
              <w:spacing w:after="0"/>
              <w:rPr>
                <w:sz w:val="20"/>
                <w:szCs w:val="20"/>
                <w:color w:val="auto"/>
              </w:rPr>
            </w:pPr>
            <w:r>
              <w:rPr>
                <w:rFonts w:ascii="Arial" w:cs="Arial" w:eastAsia="Arial" w:hAnsi="Arial"/>
                <w:sz w:val="13"/>
                <w:szCs w:val="13"/>
                <w:color w:val="auto"/>
              </w:rPr>
              <w:t>Acquired below-market leases</w:t>
            </w: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267,137</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322,040</w:t>
            </w:r>
          </w:p>
        </w:tc>
      </w:tr>
      <w:tr>
        <w:trPr>
          <w:trHeight w:val="204"/>
        </w:trPr>
        <w:tc>
          <w:tcPr>
            <w:tcW w:w="4620" w:type="dxa"/>
            <w:vAlign w:val="bottom"/>
          </w:tcPr>
          <w:p>
            <w:pPr>
              <w:ind w:left="40"/>
              <w:spacing w:after="0"/>
              <w:rPr>
                <w:sz w:val="20"/>
                <w:szCs w:val="20"/>
                <w:color w:val="auto"/>
              </w:rPr>
            </w:pPr>
            <w:r>
              <w:rPr>
                <w:rFonts w:ascii="Arial" w:cs="Arial" w:eastAsia="Arial" w:hAnsi="Arial"/>
                <w:sz w:val="13"/>
                <w:szCs w:val="13"/>
                <w:color w:val="auto"/>
              </w:rPr>
              <w:t>Conditional asset retirement obligations</w:t>
            </w:r>
          </w:p>
        </w:tc>
        <w:tc>
          <w:tcPr>
            <w:tcW w:w="2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55,709</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53,083</w:t>
            </w:r>
          </w:p>
        </w:tc>
      </w:tr>
      <w:tr>
        <w:trPr>
          <w:trHeight w:val="204"/>
        </w:trPr>
        <w:tc>
          <w:tcPr>
            <w:tcW w:w="4620" w:type="dxa"/>
            <w:vAlign w:val="bottom"/>
            <w:shd w:val="clear" w:color="auto" w:fill="CCEEFF"/>
          </w:tcPr>
          <w:p>
            <w:pPr>
              <w:ind w:left="40"/>
              <w:spacing w:after="0"/>
              <w:rPr>
                <w:sz w:val="20"/>
                <w:szCs w:val="20"/>
                <w:color w:val="auto"/>
              </w:rPr>
            </w:pPr>
            <w:r>
              <w:rPr>
                <w:rFonts w:ascii="Arial" w:cs="Arial" w:eastAsia="Arial" w:hAnsi="Arial"/>
                <w:sz w:val="13"/>
                <w:szCs w:val="13"/>
                <w:color w:val="auto"/>
              </w:rPr>
              <w:t>Deferred rent liabilities</w:t>
            </w: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12,223</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15,183</w:t>
            </w:r>
          </w:p>
        </w:tc>
      </w:tr>
      <w:tr>
        <w:trPr>
          <w:trHeight w:val="204"/>
        </w:trPr>
        <w:tc>
          <w:tcPr>
            <w:tcW w:w="4620" w:type="dxa"/>
            <w:vAlign w:val="bottom"/>
          </w:tcPr>
          <w:p>
            <w:pPr>
              <w:ind w:left="40"/>
              <w:spacing w:after="0"/>
              <w:rPr>
                <w:sz w:val="20"/>
                <w:szCs w:val="20"/>
                <w:color w:val="auto"/>
              </w:rPr>
            </w:pPr>
            <w:r>
              <w:rPr>
                <w:rFonts w:ascii="Arial" w:cs="Arial" w:eastAsia="Arial" w:hAnsi="Arial"/>
                <w:sz w:val="13"/>
                <w:szCs w:val="13"/>
                <w:color w:val="auto"/>
              </w:rPr>
              <w:t>Operating lease liability</w:t>
            </w:r>
          </w:p>
        </w:tc>
        <w:tc>
          <w:tcPr>
            <w:tcW w:w="2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379,223</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382,883</w:t>
            </w:r>
          </w:p>
        </w:tc>
      </w:tr>
      <w:tr>
        <w:trPr>
          <w:trHeight w:val="204"/>
        </w:trPr>
        <w:tc>
          <w:tcPr>
            <w:tcW w:w="4620" w:type="dxa"/>
            <w:vAlign w:val="bottom"/>
            <w:shd w:val="clear" w:color="auto" w:fill="CCEEFF"/>
          </w:tcPr>
          <w:p>
            <w:pPr>
              <w:ind w:left="40"/>
              <w:spacing w:after="0"/>
              <w:rPr>
                <w:sz w:val="20"/>
                <w:szCs w:val="20"/>
                <w:color w:val="auto"/>
              </w:rPr>
            </w:pPr>
            <w:r>
              <w:rPr>
                <w:rFonts w:ascii="Arial" w:cs="Arial" w:eastAsia="Arial" w:hAnsi="Arial"/>
                <w:sz w:val="13"/>
                <w:szCs w:val="13"/>
                <w:color w:val="auto"/>
              </w:rPr>
              <w:t>Unearned rent and tenant security deposits</w:t>
            </w: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583,625</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548,529</w:t>
            </w:r>
          </w:p>
        </w:tc>
      </w:tr>
      <w:tr>
        <w:trPr>
          <w:trHeight w:val="204"/>
        </w:trPr>
        <w:tc>
          <w:tcPr>
            <w:tcW w:w="462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Other liabilities</w:t>
            </w: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184,287</w:t>
            </w:r>
          </w:p>
        </w:tc>
        <w:tc>
          <w:tcPr>
            <w:tcW w:w="2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158,453</w:t>
            </w:r>
          </w:p>
        </w:tc>
      </w:tr>
      <w:tr>
        <w:trPr>
          <w:trHeight w:val="188"/>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Total</w:t>
            </w:r>
          </w:p>
        </w:tc>
        <w:tc>
          <w:tcPr>
            <w:tcW w:w="2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2,529,535</w:t>
            </w:r>
          </w:p>
        </w:tc>
        <w:tc>
          <w:tcPr>
            <w:tcW w:w="2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2,610,943</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640" w:right="659" w:firstLine="516"/>
        <w:spacing w:after="0" w:line="251" w:lineRule="auto"/>
        <w:rPr>
          <w:sz w:val="20"/>
          <w:szCs w:val="20"/>
          <w:color w:val="auto"/>
        </w:rPr>
      </w:pPr>
      <w:r>
        <w:rPr>
          <w:rFonts w:ascii="Arial" w:cs="Arial" w:eastAsia="Arial" w:hAnsi="Arial"/>
          <w:sz w:val="13"/>
          <w:szCs w:val="13"/>
          <w:color w:val="auto"/>
        </w:rPr>
        <w:t>As of June 30, 2024 and December 31, 2023, our conditional asset retirement obligations liability primarily consisted of the soil and groundwater remediation liabilities associated with certain of our properties. Some of our properties may contain asbestos or may be subjected to other hazardous or toxic substances, which, under certain conditions, requires remediation. We engage independent environmental consultants to conduct Phase I or similar environmental assessments at our properties. This type of assessment generally includes a site inspection, interviews, and a public records review; asbestos, lead-based paint, and mold surveys; subsurface sampling; and other testing. We recognize a liability for the fair value of a conditional asset retirement obligation (including asbestos) when the fair value of the liability can be reasonably estimated. In addition, environmental laws and regulations subject our tenants, and potentially us, to liability that may result from our tenants’ routine handling of hazardous substances and wastes as part of their operations at our properties. These assessments and investigations of our properties have not to date revealed any additional environmental liability we believe would have a material adverse effect on our business and financial statements or that would require additional disclosures or recognition in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188595</wp:posOffset>
            </wp:positionV>
            <wp:extent cx="5584190" cy="412877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584190" cy="4128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00497F"/>
        </w:rPr>
        <w:t>12. EARNINGS PER SHARE</w:t>
      </w:r>
    </w:p>
    <w:p>
      <w:pPr>
        <w:spacing w:after="0" w:line="119" w:lineRule="exact"/>
        <w:rPr>
          <w:sz w:val="20"/>
          <w:szCs w:val="20"/>
          <w:color w:val="auto"/>
        </w:rPr>
      </w:pPr>
    </w:p>
    <w:p>
      <w:pPr>
        <w:ind w:left="640" w:right="719" w:firstLine="516"/>
        <w:spacing w:after="0" w:line="252" w:lineRule="auto"/>
        <w:rPr>
          <w:sz w:val="20"/>
          <w:szCs w:val="20"/>
          <w:color w:val="auto"/>
        </w:rPr>
      </w:pPr>
      <w:r>
        <w:rPr>
          <w:rFonts w:ascii="Arial" w:cs="Arial" w:eastAsia="Arial" w:hAnsi="Arial"/>
          <w:sz w:val="13"/>
          <w:szCs w:val="13"/>
          <w:color w:val="auto"/>
        </w:rPr>
        <w:t>From time to time, we enter into forward equity sales agreements, which are discussed in Note 13 – “Stockholders’ equity” to our unaudited consolidated financial statements. We consider the potential dilution resulting from the forward equity sales agreements on the EPS calculations. At inception, the agreements do not have an effect on the computation of basic EPS as no shares are delivered until settlement. The common shares issued upon the settlement of the forward equity sales agreements, weighted for the period these common shares were outstanding, are included in the denominator of basic EPS. To determine the dilution resulting from the forward equity sales agreements during the period of time prior to settlement, we calculate the number of weighted-average shares outstanding – diluted using the treasury stock method.</w:t>
      </w:r>
    </w:p>
    <w:p>
      <w:pPr>
        <w:spacing w:after="0" w:line="136" w:lineRule="exact"/>
        <w:rPr>
          <w:sz w:val="20"/>
          <w:szCs w:val="20"/>
          <w:color w:val="auto"/>
        </w:rPr>
      </w:pPr>
    </w:p>
    <w:p>
      <w:pPr>
        <w:ind w:left="640" w:right="679" w:firstLine="516"/>
        <w:spacing w:after="0" w:line="254" w:lineRule="auto"/>
        <w:rPr>
          <w:sz w:val="20"/>
          <w:szCs w:val="20"/>
          <w:color w:val="auto"/>
        </w:rPr>
      </w:pPr>
      <w:r>
        <w:rPr>
          <w:rFonts w:ascii="Arial" w:cs="Arial" w:eastAsia="Arial" w:hAnsi="Arial"/>
          <w:sz w:val="13"/>
          <w:szCs w:val="13"/>
          <w:color w:val="auto"/>
        </w:rPr>
        <w:t>We account for unvested restricted stock awards that contain nonforfeitable rights to dividends as participating securities and include these securities in the computation of EPS using the two-class method. Our forward equity sales agreements are not participating securities and are therefore not included in the computation of EPS using the two-class method. Under the two-class method, we allocate net income (after amounts attributable to noncontrolling interests) to common stockholders and unvested restricted stock awards by using the weighted-average shares of each class outstanding for quarter-to-date and year-to-date periods independently, based on their respective participation rights to dividends declared (or accumulated) and undistributed earnings.</w:t>
      </w:r>
    </w:p>
    <w:p>
      <w:pPr>
        <w:spacing w:after="0" w:line="135" w:lineRule="exact"/>
        <w:rPr>
          <w:sz w:val="20"/>
          <w:szCs w:val="20"/>
          <w:color w:val="auto"/>
        </w:rPr>
      </w:pPr>
    </w:p>
    <w:p>
      <w:pPr>
        <w:ind w:left="640" w:right="739" w:firstLine="516"/>
        <w:spacing w:after="0" w:line="272" w:lineRule="auto"/>
        <w:rPr>
          <w:sz w:val="20"/>
          <w:szCs w:val="20"/>
          <w:color w:val="auto"/>
        </w:rPr>
      </w:pPr>
      <w:r>
        <w:rPr>
          <w:rFonts w:ascii="Arial" w:cs="Arial" w:eastAsia="Arial" w:hAnsi="Arial"/>
          <w:sz w:val="13"/>
          <w:szCs w:val="13"/>
          <w:color w:val="auto"/>
        </w:rPr>
        <w:t>The table below reconciles the numerators and denominators of the basic and diluted EPS computations for the three and six months ended June 30, 2024 and 2023 (in thousands, except per share amounts):</w:t>
      </w:r>
    </w:p>
    <w:p>
      <w:pPr>
        <w:spacing w:after="0" w:line="80" w:lineRule="exact"/>
        <w:rPr>
          <w:sz w:val="20"/>
          <w:szCs w:val="20"/>
          <w:color w:val="auto"/>
        </w:rPr>
      </w:pPr>
    </w:p>
    <w:tbl>
      <w:tblPr>
        <w:tblLayout w:type="fixed"/>
        <w:tblInd w:w="760" w:type="dxa"/>
        <w:tblCellMar>
          <w:top w:w="0" w:type="dxa"/>
          <w:left w:w="0" w:type="dxa"/>
          <w:bottom w:w="0" w:type="dxa"/>
          <w:right w:w="0" w:type="dxa"/>
        </w:tblCellMar>
      </w:tblPr>
      <w:tr>
        <w:trPr>
          <w:trHeight w:val="169"/>
        </w:trPr>
        <w:tc>
          <w:tcPr>
            <w:tcW w:w="3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00" w:type="dxa"/>
            <w:vAlign w:val="bottom"/>
            <w:gridSpan w:val="3"/>
          </w:tcPr>
          <w:p>
            <w:pPr>
              <w:jc w:val="right"/>
              <w:ind w:right="96"/>
              <w:spacing w:after="0"/>
              <w:rPr>
                <w:sz w:val="20"/>
                <w:szCs w:val="20"/>
                <w:color w:val="auto"/>
              </w:rPr>
            </w:pPr>
            <w:r>
              <w:rPr>
                <w:rFonts w:ascii="Arial" w:cs="Arial" w:eastAsia="Arial" w:hAnsi="Arial"/>
                <w:sz w:val="13"/>
                <w:szCs w:val="13"/>
                <w:color w:val="auto"/>
                <w:w w:val="98"/>
              </w:rPr>
              <w:t>Three Months Ended June 30,</w:t>
            </w:r>
          </w:p>
        </w:tc>
        <w:tc>
          <w:tcPr>
            <w:tcW w:w="160" w:type="dxa"/>
            <w:vAlign w:val="bottom"/>
          </w:tcPr>
          <w:p>
            <w:pPr>
              <w:spacing w:after="0"/>
              <w:rPr>
                <w:sz w:val="14"/>
                <w:szCs w:val="14"/>
                <w:color w:val="auto"/>
              </w:rPr>
            </w:pPr>
          </w:p>
        </w:tc>
        <w:tc>
          <w:tcPr>
            <w:tcW w:w="1800" w:type="dxa"/>
            <w:vAlign w:val="bottom"/>
            <w:gridSpan w:val="3"/>
          </w:tcPr>
          <w:p>
            <w:pPr>
              <w:jc w:val="right"/>
              <w:ind w:right="116"/>
              <w:spacing w:after="0"/>
              <w:rPr>
                <w:sz w:val="20"/>
                <w:szCs w:val="20"/>
                <w:color w:val="auto"/>
              </w:rPr>
            </w:pPr>
            <w:r>
              <w:rPr>
                <w:rFonts w:ascii="Arial" w:cs="Arial" w:eastAsia="Arial" w:hAnsi="Arial"/>
                <w:sz w:val="13"/>
                <w:szCs w:val="13"/>
                <w:color w:val="auto"/>
              </w:rPr>
              <w:t>Six Months Ended June 30,</w:t>
            </w:r>
          </w:p>
        </w:tc>
        <w:tc>
          <w:tcPr>
            <w:tcW w:w="0" w:type="dxa"/>
            <w:vAlign w:val="bottom"/>
          </w:tcPr>
          <w:p>
            <w:pPr>
              <w:spacing w:after="0"/>
              <w:rPr>
                <w:sz w:val="1"/>
                <w:szCs w:val="1"/>
                <w:color w:val="auto"/>
              </w:rPr>
            </w:pPr>
          </w:p>
        </w:tc>
      </w:tr>
      <w:tr>
        <w:trPr>
          <w:trHeight w:val="204"/>
        </w:trPr>
        <w:tc>
          <w:tcPr>
            <w:tcW w:w="3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ind w:right="316"/>
              <w:spacing w:after="0"/>
              <w:rPr>
                <w:sz w:val="20"/>
                <w:szCs w:val="20"/>
                <w:color w:val="auto"/>
              </w:rPr>
            </w:pPr>
            <w:r>
              <w:rPr>
                <w:rFonts w:ascii="Arial" w:cs="Arial" w:eastAsia="Arial" w:hAnsi="Arial"/>
                <w:sz w:val="13"/>
                <w:szCs w:val="13"/>
                <w:color w:val="auto"/>
              </w:rPr>
              <w:t>2024</w:t>
            </w:r>
          </w:p>
        </w:tc>
        <w:tc>
          <w:tcPr>
            <w:tcW w:w="220" w:type="dxa"/>
            <w:vAlign w:val="bottom"/>
          </w:tcPr>
          <w:p>
            <w:pPr>
              <w:spacing w:after="0"/>
              <w:rPr>
                <w:sz w:val="17"/>
                <w:szCs w:val="17"/>
                <w:color w:val="auto"/>
              </w:rPr>
            </w:pPr>
          </w:p>
        </w:tc>
        <w:tc>
          <w:tcPr>
            <w:tcW w:w="780" w:type="dxa"/>
            <w:vAlign w:val="bottom"/>
          </w:tcPr>
          <w:p>
            <w:pPr>
              <w:jc w:val="right"/>
              <w:ind w:right="316"/>
              <w:spacing w:after="0"/>
              <w:rPr>
                <w:sz w:val="20"/>
                <w:szCs w:val="20"/>
                <w:color w:val="auto"/>
              </w:rPr>
            </w:pPr>
            <w:r>
              <w:rPr>
                <w:rFonts w:ascii="Arial" w:cs="Arial" w:eastAsia="Arial" w:hAnsi="Arial"/>
                <w:sz w:val="13"/>
                <w:szCs w:val="13"/>
                <w:color w:val="auto"/>
              </w:rPr>
              <w:t>2023</w:t>
            </w:r>
          </w:p>
        </w:tc>
        <w:tc>
          <w:tcPr>
            <w:tcW w:w="160" w:type="dxa"/>
            <w:vAlign w:val="bottom"/>
          </w:tcPr>
          <w:p>
            <w:pPr>
              <w:spacing w:after="0"/>
              <w:rPr>
                <w:sz w:val="17"/>
                <w:szCs w:val="17"/>
                <w:color w:val="auto"/>
              </w:rPr>
            </w:pPr>
          </w:p>
        </w:tc>
        <w:tc>
          <w:tcPr>
            <w:tcW w:w="840" w:type="dxa"/>
            <w:vAlign w:val="bottom"/>
          </w:tcPr>
          <w:p>
            <w:pPr>
              <w:jc w:val="right"/>
              <w:ind w:right="296"/>
              <w:spacing w:after="0"/>
              <w:rPr>
                <w:sz w:val="20"/>
                <w:szCs w:val="20"/>
                <w:color w:val="auto"/>
              </w:rPr>
            </w:pPr>
            <w:r>
              <w:rPr>
                <w:rFonts w:ascii="Arial" w:cs="Arial" w:eastAsia="Arial" w:hAnsi="Arial"/>
                <w:sz w:val="13"/>
                <w:szCs w:val="13"/>
                <w:color w:val="auto"/>
              </w:rPr>
              <w:t>2024</w:t>
            </w:r>
          </w:p>
        </w:tc>
        <w:tc>
          <w:tcPr>
            <w:tcW w:w="260" w:type="dxa"/>
            <w:vAlign w:val="bottom"/>
          </w:tcPr>
          <w:p>
            <w:pPr>
              <w:spacing w:after="0"/>
              <w:rPr>
                <w:sz w:val="17"/>
                <w:szCs w:val="17"/>
                <w:color w:val="auto"/>
              </w:rPr>
            </w:pPr>
          </w:p>
        </w:tc>
        <w:tc>
          <w:tcPr>
            <w:tcW w:w="700" w:type="dxa"/>
            <w:vAlign w:val="bottom"/>
          </w:tcPr>
          <w:p>
            <w:pPr>
              <w:jc w:val="right"/>
              <w:ind w:right="236"/>
              <w:spacing w:after="0"/>
              <w:rPr>
                <w:sz w:val="20"/>
                <w:szCs w:val="20"/>
                <w:color w:val="auto"/>
              </w:rPr>
            </w:pPr>
            <w:r>
              <w:rPr>
                <w:rFonts w:ascii="Arial" w:cs="Arial" w:eastAsia="Arial" w:hAnsi="Arial"/>
                <w:sz w:val="13"/>
                <w:szCs w:val="13"/>
                <w:color w:val="auto"/>
              </w:rPr>
              <w:t>2023</w:t>
            </w:r>
          </w:p>
        </w:tc>
        <w:tc>
          <w:tcPr>
            <w:tcW w:w="0" w:type="dxa"/>
            <w:vAlign w:val="bottom"/>
          </w:tcPr>
          <w:p>
            <w:pPr>
              <w:spacing w:after="0"/>
              <w:rPr>
                <w:sz w:val="1"/>
                <w:szCs w:val="1"/>
                <w:color w:val="auto"/>
              </w:rPr>
            </w:pPr>
          </w:p>
        </w:tc>
      </w:tr>
      <w:tr>
        <w:trPr>
          <w:trHeight w:val="204"/>
        </w:trPr>
        <w:tc>
          <w:tcPr>
            <w:tcW w:w="3480" w:type="dxa"/>
            <w:vAlign w:val="bottom"/>
          </w:tcPr>
          <w:p>
            <w:pPr>
              <w:spacing w:after="0"/>
              <w:rPr>
                <w:sz w:val="20"/>
                <w:szCs w:val="20"/>
                <w:color w:val="auto"/>
              </w:rPr>
            </w:pPr>
            <w:r>
              <w:rPr>
                <w:rFonts w:ascii="Arial" w:cs="Arial" w:eastAsia="Arial" w:hAnsi="Arial"/>
                <w:sz w:val="13"/>
                <w:szCs w:val="13"/>
                <w:color w:val="auto"/>
              </w:rPr>
              <w:t>Net income</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36"/>
              <w:spacing w:after="0"/>
              <w:rPr>
                <w:sz w:val="20"/>
                <w:szCs w:val="20"/>
                <w:color w:val="auto"/>
              </w:rPr>
            </w:pPr>
            <w:r>
              <w:rPr>
                <w:rFonts w:ascii="Arial" w:cs="Arial" w:eastAsia="Arial" w:hAnsi="Arial"/>
                <w:sz w:val="13"/>
                <w:szCs w:val="13"/>
                <w:color w:val="auto"/>
              </w:rPr>
              <w:t>94,049</w:t>
            </w:r>
          </w:p>
        </w:tc>
        <w:tc>
          <w:tcPr>
            <w:tcW w:w="22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6"/>
              <w:spacing w:after="0"/>
              <w:rPr>
                <w:sz w:val="20"/>
                <w:szCs w:val="20"/>
                <w:color w:val="auto"/>
              </w:rPr>
            </w:pPr>
            <w:r>
              <w:rPr>
                <w:rFonts w:ascii="Arial" w:cs="Arial" w:eastAsia="Arial" w:hAnsi="Arial"/>
                <w:sz w:val="13"/>
                <w:szCs w:val="13"/>
                <w:color w:val="auto"/>
              </w:rPr>
              <w:t>133,705</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313,225</w:t>
            </w:r>
          </w:p>
        </w:tc>
        <w:tc>
          <w:tcPr>
            <w:tcW w:w="26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255,398</w:t>
            </w:r>
          </w:p>
        </w:tc>
        <w:tc>
          <w:tcPr>
            <w:tcW w:w="0" w:type="dxa"/>
            <w:vAlign w:val="bottom"/>
          </w:tcPr>
          <w:p>
            <w:pPr>
              <w:spacing w:after="0"/>
              <w:rPr>
                <w:sz w:val="1"/>
                <w:szCs w:val="1"/>
                <w:color w:val="auto"/>
              </w:rPr>
            </w:pPr>
          </w:p>
        </w:tc>
      </w:tr>
      <w:tr>
        <w:trPr>
          <w:trHeight w:val="204"/>
        </w:trPr>
        <w:tc>
          <w:tcPr>
            <w:tcW w:w="3480" w:type="dxa"/>
            <w:vAlign w:val="bottom"/>
          </w:tcPr>
          <w:p>
            <w:pPr>
              <w:spacing w:after="0"/>
              <w:rPr>
                <w:sz w:val="20"/>
                <w:szCs w:val="20"/>
                <w:color w:val="auto"/>
              </w:rPr>
            </w:pPr>
            <w:r>
              <w:rPr>
                <w:rFonts w:ascii="Arial" w:cs="Arial" w:eastAsia="Arial" w:hAnsi="Arial"/>
                <w:sz w:val="13"/>
                <w:szCs w:val="13"/>
                <w:color w:val="auto"/>
              </w:rPr>
              <w:t>Net income attributable to noncontrolling interests</w:t>
            </w: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(47,347)</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(43,768)</w:t>
            </w: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(95,978)</w:t>
            </w:r>
          </w:p>
        </w:tc>
        <w:tc>
          <w:tcPr>
            <w:tcW w:w="2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(87,599)</w:t>
            </w:r>
          </w:p>
        </w:tc>
        <w:tc>
          <w:tcPr>
            <w:tcW w:w="0" w:type="dxa"/>
            <w:vAlign w:val="bottom"/>
          </w:tcPr>
          <w:p>
            <w:pPr>
              <w:spacing w:after="0"/>
              <w:rPr>
                <w:sz w:val="1"/>
                <w:szCs w:val="1"/>
                <w:color w:val="auto"/>
              </w:rPr>
            </w:pPr>
          </w:p>
        </w:tc>
      </w:tr>
      <w:tr>
        <w:trPr>
          <w:trHeight w:val="204"/>
        </w:trPr>
        <w:tc>
          <w:tcPr>
            <w:tcW w:w="3480" w:type="dxa"/>
            <w:vAlign w:val="bottom"/>
          </w:tcPr>
          <w:p>
            <w:pPr>
              <w:spacing w:after="0"/>
              <w:rPr>
                <w:sz w:val="20"/>
                <w:szCs w:val="20"/>
                <w:color w:val="auto"/>
              </w:rPr>
            </w:pPr>
            <w:r>
              <w:rPr>
                <w:rFonts w:ascii="Arial" w:cs="Arial" w:eastAsia="Arial" w:hAnsi="Arial"/>
                <w:sz w:val="13"/>
                <w:szCs w:val="13"/>
                <w:color w:val="auto"/>
              </w:rPr>
              <w:t>Net income attributable to unvested restricted stock awards</w:t>
            </w: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(3,785)</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(2,677)</w:t>
            </w: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(7,444)</w:t>
            </w:r>
          </w:p>
        </w:tc>
        <w:tc>
          <w:tcPr>
            <w:tcW w:w="2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(5,283)</w:t>
            </w:r>
          </w:p>
        </w:tc>
        <w:tc>
          <w:tcPr>
            <w:tcW w:w="0" w:type="dxa"/>
            <w:vAlign w:val="bottom"/>
          </w:tcPr>
          <w:p>
            <w:pPr>
              <w:spacing w:after="0"/>
              <w:rPr>
                <w:sz w:val="1"/>
                <w:szCs w:val="1"/>
                <w:color w:val="auto"/>
              </w:rPr>
            </w:pPr>
          </w:p>
        </w:tc>
      </w:tr>
      <w:tr>
        <w:trPr>
          <w:trHeight w:val="164"/>
        </w:trPr>
        <w:tc>
          <w:tcPr>
            <w:tcW w:w="3480" w:type="dxa"/>
            <w:vAlign w:val="bottom"/>
          </w:tcPr>
          <w:p>
            <w:pPr>
              <w:spacing w:after="0"/>
              <w:rPr>
                <w:sz w:val="20"/>
                <w:szCs w:val="20"/>
                <w:color w:val="auto"/>
              </w:rPr>
            </w:pPr>
            <w:r>
              <w:rPr>
                <w:rFonts w:ascii="Arial" w:cs="Arial" w:eastAsia="Arial" w:hAnsi="Arial"/>
                <w:sz w:val="13"/>
                <w:szCs w:val="13"/>
                <w:color w:val="auto"/>
              </w:rPr>
              <w:t>Numerator for basic and diluted EPS – net income</w:t>
            </w: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480" w:type="dxa"/>
            <w:vAlign w:val="bottom"/>
          </w:tcPr>
          <w:p>
            <w:pPr>
              <w:ind w:left="140"/>
              <w:spacing w:after="0" w:line="129" w:lineRule="exact"/>
              <w:rPr>
                <w:sz w:val="20"/>
                <w:szCs w:val="20"/>
                <w:color w:val="auto"/>
              </w:rPr>
            </w:pPr>
            <w:r>
              <w:rPr>
                <w:rFonts w:ascii="Arial" w:cs="Arial" w:eastAsia="Arial" w:hAnsi="Arial"/>
                <w:sz w:val="13"/>
                <w:szCs w:val="13"/>
                <w:color w:val="auto"/>
              </w:rPr>
              <w:t>attributable to Alexandria Real Estate Equities, Inc.’s</w:t>
            </w:r>
          </w:p>
        </w:tc>
        <w:tc>
          <w:tcPr>
            <w:tcW w:w="1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900" w:type="dxa"/>
            <w:vAlign w:val="bottom"/>
            <w:vMerge w:val="restart"/>
          </w:tcPr>
          <w:p>
            <w:pPr>
              <w:jc w:val="right"/>
              <w:ind w:right="36"/>
              <w:spacing w:after="0"/>
              <w:rPr>
                <w:sz w:val="20"/>
                <w:szCs w:val="20"/>
                <w:color w:val="auto"/>
              </w:rPr>
            </w:pPr>
            <w:r>
              <w:rPr>
                <w:rFonts w:ascii="Arial" w:cs="Arial" w:eastAsia="Arial" w:hAnsi="Arial"/>
                <w:sz w:val="13"/>
                <w:szCs w:val="13"/>
                <w:color w:val="auto"/>
              </w:rPr>
              <w:t>42,917</w:t>
            </w:r>
          </w:p>
        </w:tc>
        <w:tc>
          <w:tcPr>
            <w:tcW w:w="220" w:type="dxa"/>
            <w:vAlign w:val="bottom"/>
            <w:vMerge w:val="restart"/>
          </w:tcPr>
          <w:p>
            <w:pPr>
              <w:jc w:val="right"/>
              <w:ind w:right="36"/>
              <w:spacing w:after="0"/>
              <w:rPr>
                <w:sz w:val="20"/>
                <w:szCs w:val="20"/>
                <w:color w:val="auto"/>
              </w:rPr>
            </w:pPr>
            <w:r>
              <w:rPr>
                <w:rFonts w:ascii="Arial" w:cs="Arial" w:eastAsia="Arial" w:hAnsi="Arial"/>
                <w:sz w:val="13"/>
                <w:szCs w:val="13"/>
                <w:color w:val="auto"/>
              </w:rPr>
              <w:t>$</w:t>
            </w:r>
          </w:p>
        </w:tc>
        <w:tc>
          <w:tcPr>
            <w:tcW w:w="780" w:type="dxa"/>
            <w:vAlign w:val="bottom"/>
            <w:vMerge w:val="restart"/>
          </w:tcPr>
          <w:p>
            <w:pPr>
              <w:jc w:val="right"/>
              <w:ind w:right="36"/>
              <w:spacing w:after="0"/>
              <w:rPr>
                <w:sz w:val="20"/>
                <w:szCs w:val="20"/>
                <w:color w:val="auto"/>
              </w:rPr>
            </w:pPr>
            <w:r>
              <w:rPr>
                <w:rFonts w:ascii="Arial" w:cs="Arial" w:eastAsia="Arial" w:hAnsi="Arial"/>
                <w:sz w:val="13"/>
                <w:szCs w:val="13"/>
                <w:color w:val="auto"/>
              </w:rPr>
              <w:t>87,260</w:t>
            </w:r>
          </w:p>
        </w:tc>
        <w:tc>
          <w:tcPr>
            <w:tcW w:w="1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40" w:type="dxa"/>
            <w:vAlign w:val="bottom"/>
            <w:vMerge w:val="restart"/>
          </w:tcPr>
          <w:p>
            <w:pPr>
              <w:jc w:val="right"/>
              <w:ind w:right="16"/>
              <w:spacing w:after="0"/>
              <w:rPr>
                <w:sz w:val="20"/>
                <w:szCs w:val="20"/>
                <w:color w:val="auto"/>
              </w:rPr>
            </w:pPr>
            <w:r>
              <w:rPr>
                <w:rFonts w:ascii="Arial" w:cs="Arial" w:eastAsia="Arial" w:hAnsi="Arial"/>
                <w:sz w:val="13"/>
                <w:szCs w:val="13"/>
                <w:color w:val="auto"/>
              </w:rPr>
              <w:t>209,803</w:t>
            </w:r>
          </w:p>
        </w:tc>
        <w:tc>
          <w:tcPr>
            <w:tcW w:w="260" w:type="dxa"/>
            <w:vAlign w:val="bottom"/>
            <w:vMerge w:val="restart"/>
          </w:tcPr>
          <w:p>
            <w:pPr>
              <w:jc w:val="right"/>
              <w:ind w:right="56"/>
              <w:spacing w:after="0"/>
              <w:rPr>
                <w:sz w:val="20"/>
                <w:szCs w:val="20"/>
                <w:color w:val="auto"/>
              </w:rPr>
            </w:pPr>
            <w:r>
              <w:rPr>
                <w:rFonts w:ascii="Arial" w:cs="Arial" w:eastAsia="Arial" w:hAnsi="Arial"/>
                <w:sz w:val="13"/>
                <w:szCs w:val="13"/>
                <w:color w:val="auto"/>
              </w:rPr>
              <w:t>$</w:t>
            </w: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162,516</w:t>
            </w:r>
          </w:p>
        </w:tc>
        <w:tc>
          <w:tcPr>
            <w:tcW w:w="0" w:type="dxa"/>
            <w:vAlign w:val="bottom"/>
          </w:tcPr>
          <w:p>
            <w:pPr>
              <w:spacing w:after="0"/>
              <w:rPr>
                <w:sz w:val="1"/>
                <w:szCs w:val="1"/>
                <w:color w:val="auto"/>
              </w:rPr>
            </w:pPr>
          </w:p>
        </w:tc>
      </w:tr>
      <w:tr>
        <w:trPr>
          <w:trHeight w:val="169"/>
        </w:trPr>
        <w:tc>
          <w:tcPr>
            <w:tcW w:w="3480" w:type="dxa"/>
            <w:vAlign w:val="bottom"/>
          </w:tcPr>
          <w:p>
            <w:pPr>
              <w:ind w:left="140"/>
              <w:spacing w:after="0"/>
              <w:rPr>
                <w:sz w:val="20"/>
                <w:szCs w:val="20"/>
                <w:color w:val="auto"/>
              </w:rPr>
            </w:pPr>
            <w:r>
              <w:rPr>
                <w:rFonts w:ascii="Arial" w:cs="Arial" w:eastAsia="Arial" w:hAnsi="Arial"/>
                <w:sz w:val="13"/>
                <w:szCs w:val="13"/>
                <w:color w:val="auto"/>
              </w:rPr>
              <w:t>common stockholders</w:t>
            </w:r>
          </w:p>
        </w:tc>
        <w:tc>
          <w:tcPr>
            <w:tcW w:w="16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68"/>
        </w:trPr>
        <w:tc>
          <w:tcPr>
            <w:tcW w:w="3480" w:type="dxa"/>
            <w:vAlign w:val="bottom"/>
          </w:tcPr>
          <w:p>
            <w:pPr>
              <w:spacing w:after="0"/>
              <w:rPr>
                <w:sz w:val="20"/>
                <w:szCs w:val="20"/>
                <w:color w:val="auto"/>
              </w:rPr>
            </w:pPr>
            <w:r>
              <w:rPr>
                <w:rFonts w:ascii="Arial" w:cs="Arial" w:eastAsia="Arial" w:hAnsi="Arial"/>
                <w:sz w:val="13"/>
                <w:szCs w:val="13"/>
                <w:color w:val="auto"/>
              </w:rPr>
              <w:t>Denominator for basic EPS – weighted-average shares of</w:t>
            </w:r>
          </w:p>
        </w:tc>
        <w:tc>
          <w:tcPr>
            <w:tcW w:w="160" w:type="dxa"/>
            <w:vAlign w:val="bottom"/>
          </w:tcPr>
          <w:p>
            <w:pPr>
              <w:spacing w:after="0"/>
              <w:rPr>
                <w:sz w:val="24"/>
                <w:szCs w:val="24"/>
                <w:color w:val="auto"/>
              </w:rPr>
            </w:pPr>
          </w:p>
        </w:tc>
        <w:tc>
          <w:tcPr>
            <w:tcW w:w="900" w:type="dxa"/>
            <w:vAlign w:val="bottom"/>
            <w:vMerge w:val="restart"/>
          </w:tcPr>
          <w:p>
            <w:pPr>
              <w:jc w:val="right"/>
              <w:ind w:right="36"/>
              <w:spacing w:after="0"/>
              <w:rPr>
                <w:sz w:val="20"/>
                <w:szCs w:val="20"/>
                <w:color w:val="auto"/>
              </w:rPr>
            </w:pPr>
            <w:r>
              <w:rPr>
                <w:rFonts w:ascii="Arial" w:cs="Arial" w:eastAsia="Arial" w:hAnsi="Arial"/>
                <w:sz w:val="13"/>
                <w:szCs w:val="13"/>
                <w:color w:val="auto"/>
              </w:rPr>
              <w:t>172,013</w:t>
            </w:r>
          </w:p>
        </w:tc>
        <w:tc>
          <w:tcPr>
            <w:tcW w:w="220" w:type="dxa"/>
            <w:vAlign w:val="bottom"/>
          </w:tcPr>
          <w:p>
            <w:pPr>
              <w:spacing w:after="0"/>
              <w:rPr>
                <w:sz w:val="24"/>
                <w:szCs w:val="24"/>
                <w:color w:val="auto"/>
              </w:rPr>
            </w:pPr>
          </w:p>
        </w:tc>
        <w:tc>
          <w:tcPr>
            <w:tcW w:w="780" w:type="dxa"/>
            <w:vAlign w:val="bottom"/>
            <w:vMerge w:val="restart"/>
          </w:tcPr>
          <w:p>
            <w:pPr>
              <w:jc w:val="right"/>
              <w:ind w:right="36"/>
              <w:spacing w:after="0"/>
              <w:rPr>
                <w:sz w:val="20"/>
                <w:szCs w:val="20"/>
                <w:color w:val="auto"/>
              </w:rPr>
            </w:pPr>
            <w:r>
              <w:rPr>
                <w:rFonts w:ascii="Arial" w:cs="Arial" w:eastAsia="Arial" w:hAnsi="Arial"/>
                <w:sz w:val="13"/>
                <w:szCs w:val="13"/>
                <w:color w:val="auto"/>
              </w:rPr>
              <w:t>170,864</w:t>
            </w:r>
          </w:p>
        </w:tc>
        <w:tc>
          <w:tcPr>
            <w:tcW w:w="160" w:type="dxa"/>
            <w:vAlign w:val="bottom"/>
          </w:tcPr>
          <w:p>
            <w:pPr>
              <w:spacing w:after="0"/>
              <w:rPr>
                <w:sz w:val="24"/>
                <w:szCs w:val="24"/>
                <w:color w:val="auto"/>
              </w:rPr>
            </w:pPr>
          </w:p>
        </w:tc>
        <w:tc>
          <w:tcPr>
            <w:tcW w:w="840" w:type="dxa"/>
            <w:vAlign w:val="bottom"/>
            <w:vMerge w:val="restart"/>
          </w:tcPr>
          <w:p>
            <w:pPr>
              <w:jc w:val="right"/>
              <w:ind w:right="16"/>
              <w:spacing w:after="0"/>
              <w:rPr>
                <w:sz w:val="20"/>
                <w:szCs w:val="20"/>
                <w:color w:val="auto"/>
              </w:rPr>
            </w:pPr>
            <w:r>
              <w:rPr>
                <w:rFonts w:ascii="Arial" w:cs="Arial" w:eastAsia="Arial" w:hAnsi="Arial"/>
                <w:sz w:val="13"/>
                <w:szCs w:val="13"/>
                <w:color w:val="auto"/>
              </w:rPr>
              <w:t>171,981</w:t>
            </w:r>
          </w:p>
        </w:tc>
        <w:tc>
          <w:tcPr>
            <w:tcW w:w="260" w:type="dxa"/>
            <w:vAlign w:val="bottom"/>
          </w:tcPr>
          <w:p>
            <w:pPr>
              <w:spacing w:after="0"/>
              <w:rPr>
                <w:sz w:val="24"/>
                <w:szCs w:val="24"/>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170,824</w:t>
            </w:r>
          </w:p>
        </w:tc>
        <w:tc>
          <w:tcPr>
            <w:tcW w:w="0" w:type="dxa"/>
            <w:vAlign w:val="bottom"/>
          </w:tcPr>
          <w:p>
            <w:pPr>
              <w:spacing w:after="0"/>
              <w:rPr>
                <w:sz w:val="1"/>
                <w:szCs w:val="1"/>
                <w:color w:val="auto"/>
              </w:rPr>
            </w:pPr>
          </w:p>
        </w:tc>
      </w:tr>
      <w:tr>
        <w:trPr>
          <w:trHeight w:val="169"/>
        </w:trPr>
        <w:tc>
          <w:tcPr>
            <w:tcW w:w="3480" w:type="dxa"/>
            <w:vAlign w:val="bottom"/>
          </w:tcPr>
          <w:p>
            <w:pPr>
              <w:ind w:left="140"/>
              <w:spacing w:after="0"/>
              <w:rPr>
                <w:sz w:val="20"/>
                <w:szCs w:val="20"/>
                <w:color w:val="auto"/>
              </w:rPr>
            </w:pPr>
            <w:r>
              <w:rPr>
                <w:rFonts w:ascii="Arial" w:cs="Arial" w:eastAsia="Arial" w:hAnsi="Arial"/>
                <w:sz w:val="13"/>
                <w:szCs w:val="13"/>
                <w:color w:val="auto"/>
              </w:rPr>
              <w:t>common stock outstanding</w:t>
            </w:r>
          </w:p>
        </w:tc>
        <w:tc>
          <w:tcPr>
            <w:tcW w:w="1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3480" w:type="dxa"/>
            <w:vAlign w:val="bottom"/>
          </w:tcPr>
          <w:p>
            <w:pPr>
              <w:ind w:left="160"/>
              <w:spacing w:after="0"/>
              <w:rPr>
                <w:sz w:val="20"/>
                <w:szCs w:val="20"/>
                <w:color w:val="auto"/>
              </w:rPr>
            </w:pPr>
            <w:r>
              <w:rPr>
                <w:rFonts w:ascii="Arial" w:cs="Arial" w:eastAsia="Arial" w:hAnsi="Arial"/>
                <w:sz w:val="13"/>
                <w:szCs w:val="13"/>
                <w:color w:val="auto"/>
              </w:rPr>
              <w:t>Dilutive effect of forward equity sales agreements</w:t>
            </w:r>
          </w:p>
        </w:tc>
        <w:tc>
          <w:tcPr>
            <w:tcW w:w="160" w:type="dxa"/>
            <w:vAlign w:val="bottom"/>
          </w:tcPr>
          <w:p>
            <w:pPr>
              <w:spacing w:after="0"/>
              <w:rPr>
                <w:sz w:val="17"/>
                <w:szCs w:val="17"/>
                <w:color w:val="auto"/>
              </w:rPr>
            </w:pPr>
          </w:p>
        </w:tc>
        <w:tc>
          <w:tcPr>
            <w:tcW w:w="90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7"/>
                <w:szCs w:val="17"/>
                <w:color w:val="auto"/>
              </w:rPr>
            </w:pPr>
          </w:p>
        </w:tc>
        <w:tc>
          <w:tcPr>
            <w:tcW w:w="78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7"/>
                <w:szCs w:val="17"/>
                <w:color w:val="auto"/>
              </w:rPr>
            </w:pP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4"/>
        </w:trPr>
        <w:tc>
          <w:tcPr>
            <w:tcW w:w="3480" w:type="dxa"/>
            <w:vAlign w:val="bottom"/>
          </w:tcPr>
          <w:p>
            <w:pPr>
              <w:spacing w:after="0"/>
              <w:rPr>
                <w:sz w:val="20"/>
                <w:szCs w:val="20"/>
                <w:color w:val="auto"/>
              </w:rPr>
            </w:pPr>
            <w:r>
              <w:rPr>
                <w:rFonts w:ascii="Arial" w:cs="Arial" w:eastAsia="Arial" w:hAnsi="Arial"/>
                <w:sz w:val="13"/>
                <w:szCs w:val="13"/>
                <w:color w:val="auto"/>
              </w:rPr>
              <w:t>Denominator for diluted EPS – weighted-average shares of</w:t>
            </w:r>
          </w:p>
        </w:tc>
        <w:tc>
          <w:tcPr>
            <w:tcW w:w="160" w:type="dxa"/>
            <w:vAlign w:val="bottom"/>
          </w:tcPr>
          <w:p>
            <w:pPr>
              <w:spacing w:after="0"/>
              <w:rPr>
                <w:sz w:val="14"/>
                <w:szCs w:val="14"/>
                <w:color w:val="auto"/>
              </w:rPr>
            </w:pPr>
          </w:p>
        </w:tc>
        <w:tc>
          <w:tcPr>
            <w:tcW w:w="900" w:type="dxa"/>
            <w:vAlign w:val="bottom"/>
            <w:vMerge w:val="restart"/>
          </w:tcPr>
          <w:p>
            <w:pPr>
              <w:jc w:val="right"/>
              <w:ind w:right="36"/>
              <w:spacing w:after="0"/>
              <w:rPr>
                <w:sz w:val="20"/>
                <w:szCs w:val="20"/>
                <w:color w:val="auto"/>
              </w:rPr>
            </w:pPr>
            <w:r>
              <w:rPr>
                <w:rFonts w:ascii="Arial" w:cs="Arial" w:eastAsia="Arial" w:hAnsi="Arial"/>
                <w:sz w:val="13"/>
                <w:szCs w:val="13"/>
                <w:color w:val="auto"/>
              </w:rPr>
              <w:t>172,013</w:t>
            </w:r>
          </w:p>
        </w:tc>
        <w:tc>
          <w:tcPr>
            <w:tcW w:w="220" w:type="dxa"/>
            <w:vAlign w:val="bottom"/>
          </w:tcPr>
          <w:p>
            <w:pPr>
              <w:spacing w:after="0"/>
              <w:rPr>
                <w:sz w:val="14"/>
                <w:szCs w:val="14"/>
                <w:color w:val="auto"/>
              </w:rPr>
            </w:pPr>
          </w:p>
        </w:tc>
        <w:tc>
          <w:tcPr>
            <w:tcW w:w="780" w:type="dxa"/>
            <w:vAlign w:val="bottom"/>
            <w:vMerge w:val="restart"/>
          </w:tcPr>
          <w:p>
            <w:pPr>
              <w:jc w:val="right"/>
              <w:ind w:right="36"/>
              <w:spacing w:after="0"/>
              <w:rPr>
                <w:sz w:val="20"/>
                <w:szCs w:val="20"/>
                <w:color w:val="auto"/>
              </w:rPr>
            </w:pPr>
            <w:r>
              <w:rPr>
                <w:rFonts w:ascii="Arial" w:cs="Arial" w:eastAsia="Arial" w:hAnsi="Arial"/>
                <w:sz w:val="13"/>
                <w:szCs w:val="13"/>
                <w:color w:val="auto"/>
              </w:rPr>
              <w:t>170,864</w:t>
            </w:r>
          </w:p>
        </w:tc>
        <w:tc>
          <w:tcPr>
            <w:tcW w:w="160" w:type="dxa"/>
            <w:vAlign w:val="bottom"/>
          </w:tcPr>
          <w:p>
            <w:pPr>
              <w:spacing w:after="0"/>
              <w:rPr>
                <w:sz w:val="14"/>
                <w:szCs w:val="14"/>
                <w:color w:val="auto"/>
              </w:rPr>
            </w:pPr>
          </w:p>
        </w:tc>
        <w:tc>
          <w:tcPr>
            <w:tcW w:w="840" w:type="dxa"/>
            <w:vAlign w:val="bottom"/>
            <w:vMerge w:val="restart"/>
          </w:tcPr>
          <w:p>
            <w:pPr>
              <w:jc w:val="right"/>
              <w:ind w:right="16"/>
              <w:spacing w:after="0"/>
              <w:rPr>
                <w:sz w:val="20"/>
                <w:szCs w:val="20"/>
                <w:color w:val="auto"/>
              </w:rPr>
            </w:pPr>
            <w:r>
              <w:rPr>
                <w:rFonts w:ascii="Arial" w:cs="Arial" w:eastAsia="Arial" w:hAnsi="Arial"/>
                <w:sz w:val="13"/>
                <w:szCs w:val="13"/>
                <w:color w:val="auto"/>
              </w:rPr>
              <w:t>171,981</w:t>
            </w:r>
          </w:p>
        </w:tc>
        <w:tc>
          <w:tcPr>
            <w:tcW w:w="26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170,824</w:t>
            </w:r>
          </w:p>
        </w:tc>
        <w:tc>
          <w:tcPr>
            <w:tcW w:w="0" w:type="dxa"/>
            <w:vAlign w:val="bottom"/>
          </w:tcPr>
          <w:p>
            <w:pPr>
              <w:spacing w:after="0"/>
              <w:rPr>
                <w:sz w:val="1"/>
                <w:szCs w:val="1"/>
                <w:color w:val="auto"/>
              </w:rPr>
            </w:pPr>
          </w:p>
        </w:tc>
      </w:tr>
      <w:tr>
        <w:trPr>
          <w:trHeight w:val="169"/>
        </w:trPr>
        <w:tc>
          <w:tcPr>
            <w:tcW w:w="3480" w:type="dxa"/>
            <w:vAlign w:val="bottom"/>
          </w:tcPr>
          <w:p>
            <w:pPr>
              <w:ind w:left="140"/>
              <w:spacing w:after="0"/>
              <w:rPr>
                <w:sz w:val="20"/>
                <w:szCs w:val="20"/>
                <w:color w:val="auto"/>
              </w:rPr>
            </w:pPr>
            <w:r>
              <w:rPr>
                <w:rFonts w:ascii="Arial" w:cs="Arial" w:eastAsia="Arial" w:hAnsi="Arial"/>
                <w:sz w:val="13"/>
                <w:szCs w:val="13"/>
                <w:color w:val="auto"/>
              </w:rPr>
              <w:t>common stock outstanding</w:t>
            </w:r>
          </w:p>
        </w:tc>
        <w:tc>
          <w:tcPr>
            <w:tcW w:w="1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ind w:left="760"/>
        <w:spacing w:after="0"/>
        <w:rPr>
          <w:sz w:val="20"/>
          <w:szCs w:val="20"/>
          <w:color w:val="auto"/>
        </w:rPr>
      </w:pPr>
      <w:r>
        <w:rPr>
          <w:rFonts w:ascii="Arial" w:cs="Arial" w:eastAsia="Arial" w:hAnsi="Arial"/>
          <w:sz w:val="13"/>
          <w:szCs w:val="13"/>
          <w:color w:val="auto"/>
        </w:rPr>
        <w:t>Net income per share attributable to Alexandria Real Estate</w:t>
      </w:r>
    </w:p>
    <w:p>
      <w:pPr>
        <w:ind w:left="900"/>
        <w:spacing w:after="0"/>
        <w:rPr>
          <w:sz w:val="20"/>
          <w:szCs w:val="20"/>
          <w:color w:val="auto"/>
        </w:rPr>
      </w:pPr>
      <w:r>
        <w:rPr>
          <w:rFonts w:ascii="Arial" w:cs="Arial" w:eastAsia="Arial" w:hAnsi="Arial"/>
          <w:sz w:val="13"/>
          <w:szCs w:val="13"/>
          <w:color w:val="auto"/>
        </w:rPr>
        <w:t>Equities, Inc.’s common stockholders:</w:t>
      </w:r>
    </w:p>
    <w:p>
      <w:pPr>
        <w:sectPr>
          <w:pgSz w:w="11900" w:h="16838" w:orient="portrait"/>
          <w:cols w:equalWidth="0" w:num="1">
            <w:col w:w="9019"/>
          </w:cols>
          <w:pgMar w:left="1440" w:top="118" w:right="1440" w:bottom="0" w:gutter="0" w:footer="0" w:header="0"/>
        </w:sectPr>
      </w:pPr>
    </w:p>
    <w:bookmarkStart w:id="28" w:name="page29"/>
    <w:bookmarkEnd w:id="28"/>
    <w:tbl>
      <w:tblPr>
        <w:tblLayout w:type="fixed"/>
        <w:tblInd w:w="450" w:type="dxa"/>
        <w:tblCellMar>
          <w:top w:w="0" w:type="dxa"/>
          <w:left w:w="0" w:type="dxa"/>
          <w:bottom w:w="0" w:type="dxa"/>
          <w:right w:w="0" w:type="dxa"/>
        </w:tblCellMar>
      </w:tblPr>
      <w:tr>
        <w:trPr>
          <w:trHeight w:val="149"/>
        </w:trPr>
        <w:tc>
          <w:tcPr>
            <w:tcW w:w="280" w:type="dxa"/>
            <w:vAlign w:val="bottom"/>
            <w:tcBorders>
              <w:left w:val="single" w:sz="8" w:color="1F497D"/>
            </w:tcBorders>
          </w:tcPr>
          <w:p>
            <w:pPr>
              <w:spacing w:after="0"/>
              <w:rPr>
                <w:sz w:val="13"/>
                <w:szCs w:val="13"/>
                <w:color w:val="auto"/>
              </w:rPr>
            </w:pPr>
          </w:p>
        </w:tc>
        <w:tc>
          <w:tcPr>
            <w:tcW w:w="3560" w:type="dxa"/>
            <w:vAlign w:val="bottom"/>
          </w:tcPr>
          <w:p>
            <w:pPr>
              <w:ind w:left="200"/>
              <w:spacing w:after="0"/>
              <w:rPr>
                <w:sz w:val="20"/>
                <w:szCs w:val="20"/>
                <w:color w:val="auto"/>
              </w:rPr>
            </w:pPr>
            <w:r>
              <w:rPr>
                <w:rFonts w:ascii="Arial" w:cs="Arial" w:eastAsia="Arial" w:hAnsi="Arial"/>
                <w:sz w:val="13"/>
                <w:szCs w:val="13"/>
                <w:color w:val="auto"/>
              </w:rPr>
              <w:t>Basic</w:t>
            </w:r>
          </w:p>
        </w:tc>
        <w:tc>
          <w:tcPr>
            <w:tcW w:w="400" w:type="dxa"/>
            <w:vAlign w:val="bottom"/>
          </w:tcPr>
          <w:p>
            <w:pPr>
              <w:jc w:val="right"/>
              <w:ind w:right="216"/>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0.25</w:t>
            </w:r>
          </w:p>
        </w:tc>
        <w:tc>
          <w:tcPr>
            <w:tcW w:w="60" w:type="dxa"/>
            <w:vAlign w:val="bottom"/>
          </w:tcPr>
          <w:p>
            <w:pPr>
              <w:spacing w:after="0"/>
              <w:rPr>
                <w:sz w:val="13"/>
                <w:szCs w:val="13"/>
                <w:color w:val="auto"/>
              </w:rPr>
            </w:pPr>
          </w:p>
        </w:tc>
        <w:tc>
          <w:tcPr>
            <w:tcW w:w="380" w:type="dxa"/>
            <w:vAlign w:val="bottom"/>
          </w:tcPr>
          <w:p>
            <w:pPr>
              <w:jc w:val="right"/>
              <w:ind w:right="196"/>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0.51</w:t>
            </w:r>
          </w:p>
        </w:tc>
        <w:tc>
          <w:tcPr>
            <w:tcW w:w="40" w:type="dxa"/>
            <w:vAlign w:val="bottom"/>
          </w:tcPr>
          <w:p>
            <w:pPr>
              <w:spacing w:after="0"/>
              <w:rPr>
                <w:sz w:val="13"/>
                <w:szCs w:val="13"/>
                <w:color w:val="auto"/>
              </w:rPr>
            </w:pPr>
          </w:p>
        </w:tc>
        <w:tc>
          <w:tcPr>
            <w:tcW w:w="400" w:type="dxa"/>
            <w:vAlign w:val="bottom"/>
          </w:tcPr>
          <w:p>
            <w:pPr>
              <w:jc w:val="right"/>
              <w:ind w:right="216"/>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1.22</w:t>
            </w:r>
          </w:p>
        </w:tc>
        <w:tc>
          <w:tcPr>
            <w:tcW w:w="60" w:type="dxa"/>
            <w:vAlign w:val="bottom"/>
          </w:tcPr>
          <w:p>
            <w:pPr>
              <w:spacing w:after="0"/>
              <w:rPr>
                <w:sz w:val="13"/>
                <w:szCs w:val="13"/>
                <w:color w:val="auto"/>
              </w:rPr>
            </w:pPr>
          </w:p>
        </w:tc>
        <w:tc>
          <w:tcPr>
            <w:tcW w:w="380" w:type="dxa"/>
            <w:vAlign w:val="bottom"/>
          </w:tcPr>
          <w:p>
            <w:pPr>
              <w:jc w:val="right"/>
              <w:ind w:right="196"/>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0.95</w:t>
            </w:r>
          </w:p>
        </w:tc>
        <w:tc>
          <w:tcPr>
            <w:tcW w:w="280" w:type="dxa"/>
            <w:vAlign w:val="bottom"/>
            <w:tcBorders>
              <w:right w:val="single" w:sz="8" w:color="1F497D"/>
            </w:tcBorders>
          </w:tcPr>
          <w:p>
            <w:pPr>
              <w:spacing w:after="0"/>
              <w:rPr>
                <w:sz w:val="13"/>
                <w:szCs w:val="13"/>
                <w:color w:val="auto"/>
              </w:rPr>
            </w:pPr>
          </w:p>
        </w:tc>
      </w:tr>
      <w:tr>
        <w:trPr>
          <w:trHeight w:val="169"/>
        </w:trPr>
        <w:tc>
          <w:tcPr>
            <w:tcW w:w="280" w:type="dxa"/>
            <w:vAlign w:val="bottom"/>
            <w:tcBorders>
              <w:left w:val="single" w:sz="8" w:color="1F497D"/>
            </w:tcBorders>
          </w:tcPr>
          <w:p>
            <w:pPr>
              <w:spacing w:after="0"/>
              <w:rPr>
                <w:sz w:val="14"/>
                <w:szCs w:val="14"/>
                <w:color w:val="auto"/>
              </w:rPr>
            </w:pPr>
          </w:p>
        </w:tc>
        <w:tc>
          <w:tcPr>
            <w:tcW w:w="3560" w:type="dxa"/>
            <w:vAlign w:val="bottom"/>
          </w:tcPr>
          <w:p>
            <w:pPr>
              <w:ind w:left="200"/>
              <w:spacing w:after="0"/>
              <w:rPr>
                <w:sz w:val="20"/>
                <w:szCs w:val="20"/>
                <w:color w:val="auto"/>
              </w:rPr>
            </w:pPr>
            <w:r>
              <w:rPr>
                <w:rFonts w:ascii="Arial" w:cs="Arial" w:eastAsia="Arial" w:hAnsi="Arial"/>
                <w:sz w:val="13"/>
                <w:szCs w:val="13"/>
                <w:color w:val="auto"/>
              </w:rPr>
              <w:t>Diluted</w:t>
            </w:r>
          </w:p>
        </w:tc>
        <w:tc>
          <w:tcPr>
            <w:tcW w:w="400" w:type="dxa"/>
            <w:vAlign w:val="bottom"/>
          </w:tcPr>
          <w:p>
            <w:pPr>
              <w:jc w:val="right"/>
              <w:ind w:right="216"/>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0.25</w:t>
            </w:r>
          </w:p>
        </w:tc>
        <w:tc>
          <w:tcPr>
            <w:tcW w:w="60" w:type="dxa"/>
            <w:vAlign w:val="bottom"/>
          </w:tcPr>
          <w:p>
            <w:pPr>
              <w:spacing w:after="0"/>
              <w:rPr>
                <w:sz w:val="14"/>
                <w:szCs w:val="14"/>
                <w:color w:val="auto"/>
              </w:rPr>
            </w:pPr>
          </w:p>
        </w:tc>
        <w:tc>
          <w:tcPr>
            <w:tcW w:w="380" w:type="dxa"/>
            <w:vAlign w:val="bottom"/>
          </w:tcPr>
          <w:p>
            <w:pPr>
              <w:jc w:val="right"/>
              <w:ind w:right="196"/>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0.51</w:t>
            </w:r>
          </w:p>
        </w:tc>
        <w:tc>
          <w:tcPr>
            <w:tcW w:w="40" w:type="dxa"/>
            <w:vAlign w:val="bottom"/>
          </w:tcPr>
          <w:p>
            <w:pPr>
              <w:spacing w:after="0"/>
              <w:rPr>
                <w:sz w:val="14"/>
                <w:szCs w:val="14"/>
                <w:color w:val="auto"/>
              </w:rPr>
            </w:pPr>
          </w:p>
        </w:tc>
        <w:tc>
          <w:tcPr>
            <w:tcW w:w="400" w:type="dxa"/>
            <w:vAlign w:val="bottom"/>
          </w:tcPr>
          <w:p>
            <w:pPr>
              <w:jc w:val="right"/>
              <w:ind w:right="216"/>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1.22</w:t>
            </w:r>
          </w:p>
        </w:tc>
        <w:tc>
          <w:tcPr>
            <w:tcW w:w="60" w:type="dxa"/>
            <w:vAlign w:val="bottom"/>
          </w:tcPr>
          <w:p>
            <w:pPr>
              <w:spacing w:after="0"/>
              <w:rPr>
                <w:sz w:val="14"/>
                <w:szCs w:val="14"/>
                <w:color w:val="auto"/>
              </w:rPr>
            </w:pPr>
          </w:p>
        </w:tc>
        <w:tc>
          <w:tcPr>
            <w:tcW w:w="380" w:type="dxa"/>
            <w:vAlign w:val="bottom"/>
          </w:tcPr>
          <w:p>
            <w:pPr>
              <w:jc w:val="right"/>
              <w:ind w:right="196"/>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0.95</w:t>
            </w:r>
          </w:p>
        </w:tc>
        <w:tc>
          <w:tcPr>
            <w:tcW w:w="280" w:type="dxa"/>
            <w:vAlign w:val="bottom"/>
            <w:tcBorders>
              <w:right w:val="single" w:sz="8" w:color="1F497D"/>
            </w:tcBorders>
          </w:tcPr>
          <w:p>
            <w:pPr>
              <w:spacing w:after="0"/>
              <w:rPr>
                <w:sz w:val="14"/>
                <w:szCs w:val="14"/>
                <w:color w:val="auto"/>
              </w:rPr>
            </w:pPr>
          </w:p>
        </w:tc>
      </w:tr>
      <w:tr>
        <w:trPr>
          <w:trHeight w:val="132"/>
        </w:trPr>
        <w:tc>
          <w:tcPr>
            <w:tcW w:w="280" w:type="dxa"/>
            <w:vAlign w:val="bottom"/>
            <w:tcBorders>
              <w:left w:val="single" w:sz="8" w:color="1F497D"/>
            </w:tcBorders>
          </w:tcPr>
          <w:p>
            <w:pPr>
              <w:spacing w:after="0"/>
              <w:rPr>
                <w:sz w:val="11"/>
                <w:szCs w:val="11"/>
                <w:color w:val="auto"/>
              </w:rPr>
            </w:pPr>
          </w:p>
        </w:tc>
        <w:tc>
          <w:tcPr>
            <w:tcW w:w="3560" w:type="dxa"/>
            <w:vAlign w:val="bottom"/>
            <w:tcBorders>
              <w:bottom w:val="single" w:sz="8" w:color="CCEEFF"/>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80" w:type="dxa"/>
            <w:vAlign w:val="bottom"/>
            <w:tcBorders>
              <w:right w:val="single" w:sz="8" w:color="1F497D"/>
            </w:tcBorders>
          </w:tcPr>
          <w:p>
            <w:pPr>
              <w:spacing w:after="0"/>
              <w:rPr>
                <w:sz w:val="11"/>
                <w:szCs w:val="11"/>
                <w:color w:val="auto"/>
              </w:rPr>
            </w:pPr>
          </w:p>
        </w:tc>
      </w:tr>
      <w:tr>
        <w:trPr>
          <w:trHeight w:val="184"/>
        </w:trPr>
        <w:tc>
          <w:tcPr>
            <w:tcW w:w="280" w:type="dxa"/>
            <w:vAlign w:val="bottom"/>
            <w:tcBorders>
              <w:left w:val="single" w:sz="8" w:color="1F497D"/>
            </w:tcBorders>
          </w:tcPr>
          <w:p>
            <w:pPr>
              <w:spacing w:after="0"/>
              <w:rPr>
                <w:sz w:val="16"/>
                <w:szCs w:val="16"/>
                <w:color w:val="auto"/>
              </w:rPr>
            </w:pPr>
          </w:p>
        </w:tc>
        <w:tc>
          <w:tcPr>
            <w:tcW w:w="35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80" w:type="dxa"/>
            <w:vAlign w:val="bottom"/>
            <w:tcBorders>
              <w:right w:val="single" w:sz="8" w:color="1F497D"/>
            </w:tcBorders>
          </w:tcPr>
          <w:p>
            <w:pPr>
              <w:spacing w:after="0"/>
              <w:rPr>
                <w:sz w:val="16"/>
                <w:szCs w:val="16"/>
                <w:color w:val="auto"/>
              </w:rPr>
            </w:pPr>
          </w:p>
        </w:tc>
      </w:tr>
      <w:tr>
        <w:trPr>
          <w:trHeight w:val="204"/>
        </w:trPr>
        <w:tc>
          <w:tcPr>
            <w:tcW w:w="280" w:type="dxa"/>
            <w:vAlign w:val="bottom"/>
            <w:tcBorders>
              <w:left w:val="single" w:sz="8" w:color="1F497D"/>
            </w:tcBorders>
          </w:tcPr>
          <w:p>
            <w:pPr>
              <w:spacing w:after="0"/>
              <w:rPr>
                <w:sz w:val="17"/>
                <w:szCs w:val="17"/>
                <w:color w:val="auto"/>
              </w:rPr>
            </w:pPr>
          </w:p>
        </w:tc>
        <w:tc>
          <w:tcPr>
            <w:tcW w:w="35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Borders>
              <w:right w:val="single" w:sz="8" w:color="1F497D"/>
            </w:tcBorders>
          </w:tcPr>
          <w:p>
            <w:pPr>
              <w:spacing w:after="0"/>
              <w:rPr>
                <w:sz w:val="17"/>
                <w:szCs w:val="17"/>
                <w:color w:val="auto"/>
              </w:rPr>
            </w:pPr>
          </w:p>
        </w:tc>
      </w:tr>
      <w:tr>
        <w:trPr>
          <w:trHeight w:val="204"/>
        </w:trPr>
        <w:tc>
          <w:tcPr>
            <w:tcW w:w="280" w:type="dxa"/>
            <w:vAlign w:val="bottom"/>
            <w:tcBorders>
              <w:left w:val="single" w:sz="8" w:color="1F497D"/>
            </w:tcBorders>
          </w:tcPr>
          <w:p>
            <w:pPr>
              <w:spacing w:after="0"/>
              <w:rPr>
                <w:sz w:val="17"/>
                <w:szCs w:val="17"/>
                <w:color w:val="auto"/>
              </w:rPr>
            </w:pPr>
          </w:p>
        </w:tc>
        <w:tc>
          <w:tcPr>
            <w:tcW w:w="356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spacing w:after="0"/>
              <w:rPr>
                <w:sz w:val="17"/>
                <w:szCs w:val="17"/>
                <w:color w:val="auto"/>
              </w:rPr>
            </w:pPr>
          </w:p>
        </w:tc>
        <w:tc>
          <w:tcPr>
            <w:tcW w:w="280" w:type="dxa"/>
            <w:vAlign w:val="bottom"/>
            <w:tcBorders>
              <w:right w:val="single" w:sz="8" w:color="1F497D"/>
            </w:tcBorders>
          </w:tcPr>
          <w:p>
            <w:pPr>
              <w:spacing w:after="0"/>
              <w:rPr>
                <w:sz w:val="17"/>
                <w:szCs w:val="17"/>
                <w:color w:val="auto"/>
              </w:rPr>
            </w:pPr>
          </w:p>
        </w:tc>
      </w:tr>
      <w:tr>
        <w:trPr>
          <w:trHeight w:val="420"/>
        </w:trPr>
        <w:tc>
          <w:tcPr>
            <w:tcW w:w="280" w:type="dxa"/>
            <w:vAlign w:val="bottom"/>
            <w:tcBorders>
              <w:left w:val="single" w:sz="8" w:color="1F497D"/>
            </w:tcBorders>
          </w:tcPr>
          <w:p>
            <w:pPr>
              <w:spacing w:after="0"/>
              <w:rPr>
                <w:sz w:val="24"/>
                <w:szCs w:val="24"/>
                <w:color w:val="auto"/>
              </w:rPr>
            </w:pPr>
          </w:p>
        </w:tc>
        <w:tc>
          <w:tcPr>
            <w:tcW w:w="35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80" w:type="dxa"/>
            <w:vAlign w:val="bottom"/>
            <w:tcBorders>
              <w:right w:val="single" w:sz="8" w:color="1F497D"/>
            </w:tcBorders>
          </w:tcPr>
          <w:p>
            <w:pPr>
              <w:spacing w:after="0"/>
              <w:rPr>
                <w:sz w:val="24"/>
                <w:szCs w:val="24"/>
                <w:color w:val="auto"/>
              </w:rPr>
            </w:pPr>
          </w:p>
        </w:tc>
      </w:tr>
      <w:tr>
        <w:trPr>
          <w:trHeight w:val="20"/>
        </w:trPr>
        <w:tc>
          <w:tcPr>
            <w:tcW w:w="280" w:type="dxa"/>
            <w:vAlign w:val="bottom"/>
            <w:tcBorders>
              <w:left w:val="single" w:sz="8" w:color="1F497D"/>
            </w:tcBorders>
          </w:tcPr>
          <w:p>
            <w:pPr>
              <w:spacing w:after="0" w:line="20" w:lineRule="exact"/>
              <w:rPr>
                <w:sz w:val="1"/>
                <w:szCs w:val="1"/>
                <w:color w:val="auto"/>
              </w:rPr>
            </w:pPr>
          </w:p>
        </w:tc>
        <w:tc>
          <w:tcPr>
            <w:tcW w:w="35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Borders>
              <w:right w:val="single" w:sz="8" w:color="1F497D"/>
            </w:tcBorders>
          </w:tcPr>
          <w:p>
            <w:pPr>
              <w:spacing w:after="0" w:line="20" w:lineRule="exact"/>
              <w:rPr>
                <w:sz w:val="1"/>
                <w:szCs w:val="1"/>
                <w:color w:val="auto"/>
              </w:rPr>
            </w:pPr>
          </w:p>
        </w:tc>
      </w:tr>
      <w:tr>
        <w:trPr>
          <w:trHeight w:val="166"/>
        </w:trPr>
        <w:tc>
          <w:tcPr>
            <w:tcW w:w="280" w:type="dxa"/>
            <w:vAlign w:val="bottom"/>
            <w:tcBorders>
              <w:left w:val="single" w:sz="8" w:color="1F497D"/>
            </w:tcBorders>
          </w:tcPr>
          <w:p>
            <w:pPr>
              <w:spacing w:after="0"/>
              <w:rPr>
                <w:sz w:val="14"/>
                <w:szCs w:val="14"/>
                <w:color w:val="auto"/>
              </w:rPr>
            </w:pPr>
          </w:p>
        </w:tc>
        <w:tc>
          <w:tcPr>
            <w:tcW w:w="35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80" w:type="dxa"/>
            <w:vAlign w:val="bottom"/>
            <w:tcBorders>
              <w:right w:val="single" w:sz="8" w:color="1F497D"/>
            </w:tcBorders>
          </w:tcPr>
          <w:p>
            <w:pPr>
              <w:spacing w:after="0"/>
              <w:rPr>
                <w:sz w:val="14"/>
                <w:szCs w:val="14"/>
                <w:color w:val="auto"/>
              </w:rPr>
            </w:pPr>
          </w:p>
        </w:tc>
      </w:tr>
      <w:tr>
        <w:trPr>
          <w:trHeight w:val="333"/>
        </w:trPr>
        <w:tc>
          <w:tcPr>
            <w:tcW w:w="280" w:type="dxa"/>
            <w:vAlign w:val="bottom"/>
            <w:tcBorders>
              <w:left w:val="single" w:sz="8" w:color="1F497D"/>
            </w:tcBorders>
          </w:tcPr>
          <w:p>
            <w:pPr>
              <w:spacing w:after="0"/>
              <w:rPr>
                <w:sz w:val="24"/>
                <w:szCs w:val="24"/>
                <w:color w:val="auto"/>
              </w:rPr>
            </w:pPr>
          </w:p>
        </w:tc>
        <w:tc>
          <w:tcPr>
            <w:tcW w:w="3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Borders>
              <w:right w:val="single" w:sz="8" w:color="1F497D"/>
            </w:tcBorders>
          </w:tcPr>
          <w:p>
            <w:pPr>
              <w:spacing w:after="0"/>
              <w:rPr>
                <w:sz w:val="24"/>
                <w:szCs w:val="24"/>
                <w:color w:val="auto"/>
              </w:rPr>
            </w:pPr>
          </w:p>
        </w:tc>
      </w:tr>
      <w:tr>
        <w:trPr>
          <w:trHeight w:val="204"/>
        </w:trPr>
        <w:tc>
          <w:tcPr>
            <w:tcW w:w="280" w:type="dxa"/>
            <w:vAlign w:val="bottom"/>
            <w:tcBorders>
              <w:left w:val="single" w:sz="8" w:color="1F497D"/>
            </w:tcBorders>
          </w:tcPr>
          <w:p>
            <w:pPr>
              <w:spacing w:after="0"/>
              <w:rPr>
                <w:sz w:val="17"/>
                <w:szCs w:val="17"/>
                <w:color w:val="auto"/>
              </w:rPr>
            </w:pPr>
          </w:p>
        </w:tc>
        <w:tc>
          <w:tcPr>
            <w:tcW w:w="356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spacing w:after="0"/>
              <w:rPr>
                <w:sz w:val="17"/>
                <w:szCs w:val="17"/>
                <w:color w:val="auto"/>
              </w:rPr>
            </w:pPr>
          </w:p>
        </w:tc>
        <w:tc>
          <w:tcPr>
            <w:tcW w:w="280" w:type="dxa"/>
            <w:vAlign w:val="bottom"/>
            <w:tcBorders>
              <w:right w:val="single" w:sz="8" w:color="1F497D"/>
            </w:tcBorders>
          </w:tcPr>
          <w:p>
            <w:pPr>
              <w:spacing w:after="0"/>
              <w:rPr>
                <w:sz w:val="17"/>
                <w:szCs w:val="17"/>
                <w:color w:val="auto"/>
              </w:rPr>
            </w:pPr>
          </w:p>
        </w:tc>
      </w:tr>
      <w:tr>
        <w:trPr>
          <w:trHeight w:val="291"/>
        </w:trPr>
        <w:tc>
          <w:tcPr>
            <w:tcW w:w="280" w:type="dxa"/>
            <w:vAlign w:val="bottom"/>
            <w:tcBorders>
              <w:left w:val="single" w:sz="8" w:color="1F497D"/>
            </w:tcBorders>
          </w:tcPr>
          <w:p>
            <w:pPr>
              <w:spacing w:after="0"/>
              <w:rPr>
                <w:sz w:val="24"/>
                <w:szCs w:val="24"/>
                <w:color w:val="auto"/>
              </w:rPr>
            </w:pPr>
          </w:p>
        </w:tc>
        <w:tc>
          <w:tcPr>
            <w:tcW w:w="35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80" w:type="dxa"/>
            <w:vAlign w:val="bottom"/>
            <w:tcBorders>
              <w:right w:val="single" w:sz="8" w:color="1F497D"/>
            </w:tcBorders>
          </w:tcPr>
          <w:p>
            <w:pPr>
              <w:spacing w:after="0"/>
              <w:rPr>
                <w:sz w:val="24"/>
                <w:szCs w:val="24"/>
                <w:color w:val="auto"/>
              </w:rPr>
            </w:pPr>
          </w:p>
        </w:tc>
      </w:tr>
      <w:tr>
        <w:trPr>
          <w:trHeight w:val="20"/>
        </w:trPr>
        <w:tc>
          <w:tcPr>
            <w:tcW w:w="280" w:type="dxa"/>
            <w:vAlign w:val="bottom"/>
            <w:tcBorders>
              <w:left w:val="single" w:sz="8" w:color="1F497D"/>
            </w:tcBorders>
          </w:tcPr>
          <w:p>
            <w:pPr>
              <w:spacing w:after="0" w:line="20" w:lineRule="exact"/>
              <w:rPr>
                <w:sz w:val="1"/>
                <w:szCs w:val="1"/>
                <w:color w:val="auto"/>
              </w:rPr>
            </w:pPr>
          </w:p>
        </w:tc>
        <w:tc>
          <w:tcPr>
            <w:tcW w:w="35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Borders>
              <w:right w:val="single" w:sz="8" w:color="1F497D"/>
            </w:tcBorders>
          </w:tcPr>
          <w:p>
            <w:pPr>
              <w:spacing w:after="0" w:line="20" w:lineRule="exact"/>
              <w:rPr>
                <w:sz w:val="1"/>
                <w:szCs w:val="1"/>
                <w:color w:val="auto"/>
              </w:rPr>
            </w:pPr>
          </w:p>
        </w:tc>
      </w:tr>
      <w:tr>
        <w:trPr>
          <w:trHeight w:val="294"/>
        </w:trPr>
        <w:tc>
          <w:tcPr>
            <w:tcW w:w="280" w:type="dxa"/>
            <w:vAlign w:val="bottom"/>
            <w:tcBorders>
              <w:left w:val="single" w:sz="8" w:color="1F497D"/>
            </w:tcBorders>
          </w:tcPr>
          <w:p>
            <w:pPr>
              <w:spacing w:after="0"/>
              <w:rPr>
                <w:sz w:val="24"/>
                <w:szCs w:val="24"/>
                <w:color w:val="auto"/>
              </w:rPr>
            </w:pPr>
          </w:p>
        </w:tc>
        <w:tc>
          <w:tcPr>
            <w:tcW w:w="35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280" w:type="dxa"/>
            <w:vAlign w:val="bottom"/>
            <w:tcBorders>
              <w:right w:val="single" w:sz="8" w:color="1F497D"/>
            </w:tcBorders>
          </w:tcPr>
          <w:p>
            <w:pPr>
              <w:spacing w:after="0"/>
              <w:rPr>
                <w:sz w:val="24"/>
                <w:szCs w:val="24"/>
                <w:color w:val="auto"/>
              </w:rPr>
            </w:pPr>
          </w:p>
        </w:tc>
      </w:tr>
      <w:tr>
        <w:trPr>
          <w:trHeight w:val="204"/>
        </w:trPr>
        <w:tc>
          <w:tcPr>
            <w:tcW w:w="280" w:type="dxa"/>
            <w:vAlign w:val="bottom"/>
            <w:tcBorders>
              <w:left w:val="single" w:sz="8" w:color="1F497D"/>
            </w:tcBorders>
          </w:tcPr>
          <w:p>
            <w:pPr>
              <w:spacing w:after="0"/>
              <w:rPr>
                <w:sz w:val="17"/>
                <w:szCs w:val="17"/>
                <w:color w:val="auto"/>
              </w:rPr>
            </w:pPr>
          </w:p>
        </w:tc>
        <w:tc>
          <w:tcPr>
            <w:tcW w:w="35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Borders>
              <w:right w:val="single" w:sz="8" w:color="1F497D"/>
            </w:tcBorders>
          </w:tcPr>
          <w:p>
            <w:pPr>
              <w:spacing w:after="0"/>
              <w:rPr>
                <w:sz w:val="17"/>
                <w:szCs w:val="17"/>
                <w:color w:val="auto"/>
              </w:rPr>
            </w:pPr>
          </w:p>
        </w:tc>
      </w:tr>
      <w:tr>
        <w:trPr>
          <w:trHeight w:val="204"/>
        </w:trPr>
        <w:tc>
          <w:tcPr>
            <w:tcW w:w="280" w:type="dxa"/>
            <w:vAlign w:val="bottom"/>
            <w:tcBorders>
              <w:left w:val="single" w:sz="8" w:color="1F497D"/>
            </w:tcBorders>
          </w:tcPr>
          <w:p>
            <w:pPr>
              <w:spacing w:after="0"/>
              <w:rPr>
                <w:sz w:val="17"/>
                <w:szCs w:val="17"/>
                <w:color w:val="auto"/>
              </w:rPr>
            </w:pPr>
          </w:p>
        </w:tc>
        <w:tc>
          <w:tcPr>
            <w:tcW w:w="35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tcBorders>
              <w:right w:val="single" w:sz="8" w:color="1F497D"/>
            </w:tcBorders>
          </w:tcPr>
          <w:p>
            <w:pPr>
              <w:spacing w:after="0"/>
              <w:rPr>
                <w:sz w:val="17"/>
                <w:szCs w:val="17"/>
                <w:color w:val="auto"/>
              </w:rPr>
            </w:pPr>
          </w:p>
        </w:tc>
      </w:tr>
      <w:tr>
        <w:trPr>
          <w:trHeight w:val="1143"/>
        </w:trPr>
        <w:tc>
          <w:tcPr>
            <w:tcW w:w="280" w:type="dxa"/>
            <w:vAlign w:val="bottom"/>
            <w:tcBorders>
              <w:left w:val="single" w:sz="8" w:color="1F497D"/>
              <w:bottom w:val="single" w:sz="8" w:color="1F497D"/>
            </w:tcBorders>
          </w:tcPr>
          <w:p>
            <w:pPr>
              <w:spacing w:after="0"/>
              <w:rPr>
                <w:sz w:val="24"/>
                <w:szCs w:val="24"/>
                <w:color w:val="auto"/>
              </w:rPr>
            </w:pPr>
          </w:p>
        </w:tc>
        <w:tc>
          <w:tcPr>
            <w:tcW w:w="3560" w:type="dxa"/>
            <w:vAlign w:val="bottom"/>
            <w:tcBorders>
              <w:bottom w:val="single" w:sz="8" w:color="1F497D"/>
            </w:tcBorders>
          </w:tcPr>
          <w:p>
            <w:pPr>
              <w:spacing w:after="0"/>
              <w:rPr>
                <w:sz w:val="24"/>
                <w:szCs w:val="24"/>
                <w:color w:val="auto"/>
              </w:rPr>
            </w:pPr>
          </w:p>
        </w:tc>
        <w:tc>
          <w:tcPr>
            <w:tcW w:w="400" w:type="dxa"/>
            <w:vAlign w:val="bottom"/>
            <w:tcBorders>
              <w:bottom w:val="single" w:sz="8" w:color="1F497D"/>
            </w:tcBorders>
          </w:tcPr>
          <w:p>
            <w:pPr>
              <w:spacing w:after="0"/>
              <w:rPr>
                <w:sz w:val="24"/>
                <w:szCs w:val="24"/>
                <w:color w:val="auto"/>
              </w:rPr>
            </w:pPr>
          </w:p>
        </w:tc>
        <w:tc>
          <w:tcPr>
            <w:tcW w:w="560" w:type="dxa"/>
            <w:vAlign w:val="bottom"/>
            <w:tcBorders>
              <w:bottom w:val="single" w:sz="8" w:color="1F497D"/>
            </w:tcBorders>
          </w:tcPr>
          <w:p>
            <w:pPr>
              <w:spacing w:after="0"/>
              <w:rPr>
                <w:sz w:val="24"/>
                <w:szCs w:val="24"/>
                <w:color w:val="auto"/>
              </w:rPr>
            </w:pPr>
          </w:p>
        </w:tc>
        <w:tc>
          <w:tcPr>
            <w:tcW w:w="60" w:type="dxa"/>
            <w:vAlign w:val="bottom"/>
            <w:tcBorders>
              <w:bottom w:val="single" w:sz="8" w:color="1F497D"/>
            </w:tcBorders>
          </w:tcPr>
          <w:p>
            <w:pPr>
              <w:spacing w:after="0"/>
              <w:rPr>
                <w:sz w:val="24"/>
                <w:szCs w:val="24"/>
                <w:color w:val="auto"/>
              </w:rPr>
            </w:pPr>
          </w:p>
        </w:tc>
        <w:tc>
          <w:tcPr>
            <w:tcW w:w="380" w:type="dxa"/>
            <w:vAlign w:val="bottom"/>
            <w:tcBorders>
              <w:bottom w:val="single" w:sz="8" w:color="1F497D"/>
            </w:tcBorders>
          </w:tcPr>
          <w:p>
            <w:pPr>
              <w:spacing w:after="0"/>
              <w:rPr>
                <w:sz w:val="24"/>
                <w:szCs w:val="24"/>
                <w:color w:val="auto"/>
              </w:rPr>
            </w:pPr>
          </w:p>
        </w:tc>
        <w:tc>
          <w:tcPr>
            <w:tcW w:w="580" w:type="dxa"/>
            <w:vAlign w:val="bottom"/>
            <w:tcBorders>
              <w:bottom w:val="single" w:sz="8" w:color="1F497D"/>
            </w:tcBorders>
          </w:tcPr>
          <w:p>
            <w:pPr>
              <w:spacing w:after="0"/>
              <w:rPr>
                <w:sz w:val="24"/>
                <w:szCs w:val="24"/>
                <w:color w:val="auto"/>
              </w:rPr>
            </w:pPr>
          </w:p>
        </w:tc>
        <w:tc>
          <w:tcPr>
            <w:tcW w:w="40" w:type="dxa"/>
            <w:vAlign w:val="bottom"/>
            <w:tcBorders>
              <w:bottom w:val="single" w:sz="8" w:color="1F497D"/>
            </w:tcBorders>
          </w:tcPr>
          <w:p>
            <w:pPr>
              <w:spacing w:after="0"/>
              <w:rPr>
                <w:sz w:val="24"/>
                <w:szCs w:val="24"/>
                <w:color w:val="auto"/>
              </w:rPr>
            </w:pPr>
          </w:p>
        </w:tc>
        <w:tc>
          <w:tcPr>
            <w:tcW w:w="400" w:type="dxa"/>
            <w:vAlign w:val="bottom"/>
            <w:tcBorders>
              <w:bottom w:val="single" w:sz="8" w:color="1F497D"/>
            </w:tcBorders>
          </w:tcPr>
          <w:p>
            <w:pPr>
              <w:spacing w:after="0"/>
              <w:rPr>
                <w:sz w:val="24"/>
                <w:szCs w:val="24"/>
                <w:color w:val="auto"/>
              </w:rPr>
            </w:pPr>
          </w:p>
        </w:tc>
        <w:tc>
          <w:tcPr>
            <w:tcW w:w="560" w:type="dxa"/>
            <w:vAlign w:val="bottom"/>
            <w:tcBorders>
              <w:bottom w:val="single" w:sz="8" w:color="1F497D"/>
            </w:tcBorders>
          </w:tcPr>
          <w:p>
            <w:pPr>
              <w:spacing w:after="0"/>
              <w:rPr>
                <w:sz w:val="24"/>
                <w:szCs w:val="24"/>
                <w:color w:val="auto"/>
              </w:rPr>
            </w:pPr>
          </w:p>
        </w:tc>
        <w:tc>
          <w:tcPr>
            <w:tcW w:w="60" w:type="dxa"/>
            <w:vAlign w:val="bottom"/>
            <w:tcBorders>
              <w:bottom w:val="single" w:sz="8" w:color="1F497D"/>
            </w:tcBorders>
          </w:tcPr>
          <w:p>
            <w:pPr>
              <w:spacing w:after="0"/>
              <w:rPr>
                <w:sz w:val="24"/>
                <w:szCs w:val="24"/>
                <w:color w:val="auto"/>
              </w:rPr>
            </w:pPr>
          </w:p>
        </w:tc>
        <w:tc>
          <w:tcPr>
            <w:tcW w:w="380" w:type="dxa"/>
            <w:vAlign w:val="bottom"/>
            <w:tcBorders>
              <w:bottom w:val="single" w:sz="8" w:color="1F497D"/>
            </w:tcBorders>
          </w:tcPr>
          <w:p>
            <w:pPr>
              <w:spacing w:after="0"/>
              <w:rPr>
                <w:sz w:val="24"/>
                <w:szCs w:val="24"/>
                <w:color w:val="auto"/>
              </w:rPr>
            </w:pPr>
          </w:p>
        </w:tc>
        <w:tc>
          <w:tcPr>
            <w:tcW w:w="580" w:type="dxa"/>
            <w:vAlign w:val="bottom"/>
            <w:tcBorders>
              <w:bottom w:val="single" w:sz="8" w:color="1F497D"/>
            </w:tcBorders>
          </w:tcPr>
          <w:p>
            <w:pPr>
              <w:spacing w:after="0"/>
              <w:rPr>
                <w:sz w:val="24"/>
                <w:szCs w:val="24"/>
                <w:color w:val="auto"/>
              </w:rPr>
            </w:pPr>
          </w:p>
        </w:tc>
        <w:tc>
          <w:tcPr>
            <w:tcW w:w="280" w:type="dxa"/>
            <w:vAlign w:val="bottom"/>
            <w:tcBorders>
              <w:bottom w:val="single" w:sz="8" w:color="1F497D"/>
              <w:right w:val="single" w:sz="8" w:color="1F497D"/>
            </w:tcBorders>
          </w:tcPr>
          <w:p>
            <w:pPr>
              <w:spacing w:after="0"/>
              <w:rPr>
                <w:sz w:val="24"/>
                <w:szCs w:val="24"/>
                <w:color w:val="auto"/>
              </w:rPr>
            </w:pPr>
          </w:p>
        </w:tc>
      </w:tr>
    </w:tbl>
    <w:p>
      <w:pPr>
        <w:spacing w:after="0" w:line="5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982345</wp:posOffset>
            </wp:positionH>
            <wp:positionV relativeFrom="page">
              <wp:posOffset>88900</wp:posOffset>
            </wp:positionV>
            <wp:extent cx="5584190" cy="308546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584190" cy="308546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188595</wp:posOffset>
            </wp:positionV>
            <wp:extent cx="5584190" cy="72205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640" w:right="6499" w:hanging="2"/>
        <w:spacing w:after="0" w:line="522" w:lineRule="auto"/>
        <w:tabs>
          <w:tab w:leader="none" w:pos="898" w:val="left"/>
        </w:tabs>
        <w:numPr>
          <w:ilvl w:val="0"/>
          <w:numId w:val="59"/>
        </w:numPr>
        <w:rPr>
          <w:rFonts w:ascii="Arial" w:cs="Arial" w:eastAsia="Arial" w:hAnsi="Arial"/>
          <w:sz w:val="12"/>
          <w:szCs w:val="12"/>
          <w:b w:val="1"/>
          <w:bCs w:val="1"/>
          <w:color w:val="00497F"/>
        </w:rPr>
      </w:pPr>
      <w:r>
        <w:rPr>
          <w:rFonts w:ascii="Arial" w:cs="Arial" w:eastAsia="Arial" w:hAnsi="Arial"/>
          <w:sz w:val="12"/>
          <w:szCs w:val="12"/>
          <w:b w:val="1"/>
          <w:bCs w:val="1"/>
          <w:color w:val="00497F"/>
        </w:rPr>
        <w:t>STOCKHOLDERS’ EQUITY Common equity transactions</w:t>
      </w:r>
    </w:p>
    <w:p>
      <w:pPr>
        <w:spacing w:after="0" w:line="1" w:lineRule="exact"/>
        <w:rPr>
          <w:sz w:val="20"/>
          <w:szCs w:val="20"/>
          <w:color w:val="auto"/>
        </w:rPr>
      </w:pPr>
    </w:p>
    <w:p>
      <w:pPr>
        <w:ind w:left="640" w:right="959" w:firstLine="516"/>
        <w:spacing w:after="0" w:line="289" w:lineRule="auto"/>
        <w:rPr>
          <w:sz w:val="20"/>
          <w:szCs w:val="20"/>
          <w:color w:val="auto"/>
        </w:rPr>
      </w:pPr>
      <w:r>
        <w:rPr>
          <w:rFonts w:ascii="Arial" w:cs="Arial" w:eastAsia="Arial" w:hAnsi="Arial"/>
          <w:sz w:val="13"/>
          <w:szCs w:val="13"/>
          <w:color w:val="auto"/>
        </w:rPr>
        <w:t>In February 2024, we entered into a new ATM common stock offering program that allows us to sell up to an aggregate of $1.5 billion of our common stock.</w:t>
      </w:r>
    </w:p>
    <w:p>
      <w:pPr>
        <w:spacing w:after="0" w:line="134" w:lineRule="exact"/>
        <w:rPr>
          <w:sz w:val="20"/>
          <w:szCs w:val="20"/>
          <w:color w:val="auto"/>
        </w:rPr>
      </w:pPr>
    </w:p>
    <w:p>
      <w:pPr>
        <w:ind w:left="1160"/>
        <w:spacing w:after="0"/>
        <w:rPr>
          <w:sz w:val="20"/>
          <w:szCs w:val="20"/>
          <w:color w:val="auto"/>
        </w:rPr>
      </w:pPr>
      <w:r>
        <w:rPr>
          <w:rFonts w:ascii="Arial" w:cs="Arial" w:eastAsia="Arial" w:hAnsi="Arial"/>
          <w:sz w:val="13"/>
          <w:szCs w:val="13"/>
          <w:color w:val="auto"/>
        </w:rPr>
        <w:t>During the three months ended June 30, 2024, we entered into new forward equity sales agreements aggregating</w:t>
      </w:r>
    </w:p>
    <w:p>
      <w:pPr>
        <w:spacing w:after="0" w:line="19" w:lineRule="exact"/>
        <w:rPr>
          <w:sz w:val="20"/>
          <w:szCs w:val="20"/>
          <w:color w:val="auto"/>
        </w:rPr>
      </w:pPr>
    </w:p>
    <w:p>
      <w:pPr>
        <w:ind w:left="640" w:right="679"/>
        <w:spacing w:after="0" w:line="259" w:lineRule="auto"/>
        <w:rPr>
          <w:sz w:val="20"/>
          <w:szCs w:val="20"/>
          <w:color w:val="auto"/>
        </w:rPr>
      </w:pPr>
      <w:r>
        <w:rPr>
          <w:rFonts w:ascii="Arial" w:cs="Arial" w:eastAsia="Arial" w:hAnsi="Arial"/>
          <w:sz w:val="13"/>
          <w:szCs w:val="13"/>
          <w:color w:val="auto"/>
        </w:rPr>
        <w:t>$27.8 million to sell 230 thousand shares of common stock under our ATM program at an average price of $122.32 (before underwriting discounts). As of June 30, 2024, none of these agreements were settled.</w:t>
      </w:r>
    </w:p>
    <w:p>
      <w:pPr>
        <w:spacing w:after="0" w:line="164" w:lineRule="exact"/>
        <w:rPr>
          <w:sz w:val="20"/>
          <w:szCs w:val="20"/>
          <w:color w:val="auto"/>
        </w:rPr>
      </w:pPr>
    </w:p>
    <w:p>
      <w:pPr>
        <w:ind w:left="640" w:right="679" w:firstLine="516"/>
        <w:spacing w:after="0" w:line="272" w:lineRule="auto"/>
        <w:rPr>
          <w:sz w:val="20"/>
          <w:szCs w:val="20"/>
          <w:color w:val="auto"/>
        </w:rPr>
      </w:pPr>
      <w:r>
        <w:rPr>
          <w:rFonts w:ascii="Arial" w:cs="Arial" w:eastAsia="Arial" w:hAnsi="Arial"/>
          <w:sz w:val="13"/>
          <w:szCs w:val="13"/>
          <w:color w:val="auto"/>
        </w:rPr>
        <w:t>As of June 30, 2024, the remaining aggregate amount available under our ATM program for future sales of common stock was $1.47 billion.</w:t>
      </w:r>
    </w:p>
    <w:p>
      <w:pPr>
        <w:spacing w:after="0" w:line="144"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00497F"/>
        </w:rPr>
        <w:t>Dividends</w:t>
      </w:r>
    </w:p>
    <w:p>
      <w:pPr>
        <w:spacing w:after="0" w:line="162" w:lineRule="exact"/>
        <w:rPr>
          <w:sz w:val="20"/>
          <w:szCs w:val="20"/>
          <w:color w:val="auto"/>
        </w:rPr>
      </w:pPr>
    </w:p>
    <w:p>
      <w:pPr>
        <w:ind w:left="640" w:right="659" w:firstLine="516"/>
        <w:spacing w:after="0" w:line="265" w:lineRule="auto"/>
        <w:rPr>
          <w:sz w:val="20"/>
          <w:szCs w:val="20"/>
          <w:color w:val="auto"/>
        </w:rPr>
      </w:pPr>
      <w:r>
        <w:rPr>
          <w:rFonts w:ascii="Arial" w:cs="Arial" w:eastAsia="Arial" w:hAnsi="Arial"/>
          <w:sz w:val="13"/>
          <w:szCs w:val="13"/>
          <w:color w:val="auto"/>
        </w:rPr>
        <w:t>During the three months ended March 31, 2024, we declared cash dividends on our common stock aggregating $222.1 million, or $1.27 per share. In April 2024, we paid the cash dividends on our common stock declared for the three months ended March 31, 2024.</w:t>
      </w:r>
    </w:p>
    <w:p>
      <w:pPr>
        <w:spacing w:after="0" w:line="128" w:lineRule="exact"/>
        <w:rPr>
          <w:sz w:val="20"/>
          <w:szCs w:val="20"/>
          <w:color w:val="auto"/>
        </w:rPr>
      </w:pPr>
    </w:p>
    <w:p>
      <w:pPr>
        <w:ind w:left="640" w:right="679" w:firstLine="516"/>
        <w:spacing w:after="0" w:line="314" w:lineRule="auto"/>
        <w:rPr>
          <w:sz w:val="20"/>
          <w:szCs w:val="20"/>
          <w:color w:val="auto"/>
        </w:rPr>
      </w:pPr>
      <w:r>
        <w:rPr>
          <w:rFonts w:ascii="Arial" w:cs="Arial" w:eastAsia="Arial" w:hAnsi="Arial"/>
          <w:sz w:val="12"/>
          <w:szCs w:val="12"/>
          <w:color w:val="auto"/>
        </w:rPr>
        <w:t>During the three months ended June 30, 2024, we declared cash dividends on our common stock aggregating $227.4 million, or $1.30 per share. In July 2024, we paid the cash dividends on our common stock declared for the three months ended June 30, 2024.</w:t>
      </w:r>
    </w:p>
    <w:p>
      <w:pPr>
        <w:spacing w:after="0" w:line="101"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00497F"/>
        </w:rPr>
        <w:t>Accumulated other comprehensive loss</w:t>
      </w:r>
    </w:p>
    <w:p>
      <w:pPr>
        <w:spacing w:after="0" w:line="162" w:lineRule="exact"/>
        <w:rPr>
          <w:sz w:val="20"/>
          <w:szCs w:val="20"/>
          <w:color w:val="auto"/>
        </w:rPr>
      </w:pPr>
    </w:p>
    <w:p>
      <w:pPr>
        <w:ind w:left="640" w:right="899" w:firstLine="516"/>
        <w:spacing w:after="0" w:line="265" w:lineRule="auto"/>
        <w:rPr>
          <w:sz w:val="20"/>
          <w:szCs w:val="20"/>
          <w:color w:val="auto"/>
        </w:rPr>
      </w:pPr>
      <w:r>
        <w:rPr>
          <w:rFonts w:ascii="Arial" w:cs="Arial" w:eastAsia="Arial" w:hAnsi="Arial"/>
          <w:sz w:val="13"/>
          <w:szCs w:val="13"/>
          <w:color w:val="auto"/>
        </w:rPr>
        <w:t>The change in accumulated other comprehensive loss attributable to Alexandria Real Estate Equities, Inc.’s stockholders during the six months ended June 30, 2024 was entirely due to net unrealized losses of $11.8 million on foreign currency translation related to our operations primarily in Canada.</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00497F"/>
        </w:rPr>
        <w:t>Common stock, preferred stock, and excess stock authorizations</w:t>
      </w:r>
    </w:p>
    <w:p>
      <w:pPr>
        <w:spacing w:after="0" w:line="162" w:lineRule="exact"/>
        <w:rPr>
          <w:sz w:val="20"/>
          <w:szCs w:val="20"/>
          <w:color w:val="auto"/>
        </w:rPr>
      </w:pPr>
    </w:p>
    <w:p>
      <w:pPr>
        <w:ind w:left="640" w:right="799" w:firstLine="516"/>
        <w:spacing w:after="0" w:line="257" w:lineRule="auto"/>
        <w:rPr>
          <w:sz w:val="20"/>
          <w:szCs w:val="20"/>
          <w:color w:val="auto"/>
        </w:rPr>
      </w:pPr>
      <w:r>
        <w:rPr>
          <w:rFonts w:ascii="Arial" w:cs="Arial" w:eastAsia="Arial" w:hAnsi="Arial"/>
          <w:sz w:val="13"/>
          <w:szCs w:val="13"/>
          <w:color w:val="auto"/>
        </w:rPr>
        <w:t>Our charter authorizes the issuance of 400.0 million shares of common stock, of which 172.0 million shares were issued and outstanding as of June 30, 2024. Our charter also authorizes the issuance of up to 100.0 million shares of preferred stock, none of which were issued and outstanding as of June 30, 2024. In addition, 200.0 million shares of “excess stock” (as defined in our charter) are authorized, none of which were issued and outstanding as of June 30, 2024.</w:t>
      </w:r>
    </w:p>
    <w:p>
      <w:pPr>
        <w:spacing w:after="0" w:line="294"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00497F"/>
        </w:rPr>
        <w:t>14. NONCONTROLLING INTERESTS</w:t>
      </w:r>
    </w:p>
    <w:p>
      <w:pPr>
        <w:spacing w:after="0" w:line="151" w:lineRule="exact"/>
        <w:rPr>
          <w:sz w:val="20"/>
          <w:szCs w:val="20"/>
          <w:color w:val="auto"/>
        </w:rPr>
      </w:pPr>
    </w:p>
    <w:p>
      <w:pPr>
        <w:ind w:left="640" w:right="659" w:firstLine="516"/>
        <w:spacing w:after="0" w:line="254" w:lineRule="auto"/>
        <w:rPr>
          <w:sz w:val="20"/>
          <w:szCs w:val="20"/>
          <w:color w:val="auto"/>
        </w:rPr>
      </w:pPr>
      <w:r>
        <w:rPr>
          <w:rFonts w:ascii="Arial" w:cs="Arial" w:eastAsia="Arial" w:hAnsi="Arial"/>
          <w:sz w:val="13"/>
          <w:szCs w:val="13"/>
          <w:color w:val="auto"/>
        </w:rPr>
        <w:t>Noncontrolling interests represent the third-party interests in certain entities in which we have a controlling interest. As of June 30, 2024, these entities owned 68 properties, which are included in our consolidated financial statements. Noncontrolling interests are adjusted for additional contributions and distributions, the proportionate share of the net earnings or losses, and other comprehensive income or loss. Distributions, profits, and losses related to these entities are allocated in accordance with the respective operating agreements. During the six months ended June 30, 2024 and 2023, we distributed $119.9 million and $134.6 million, respectively, to our consolidated real estate joint venture partners.</w:t>
      </w:r>
    </w:p>
    <w:p>
      <w:pPr>
        <w:spacing w:after="0" w:line="135" w:lineRule="exact"/>
        <w:rPr>
          <w:sz w:val="20"/>
          <w:szCs w:val="20"/>
          <w:color w:val="auto"/>
        </w:rPr>
      </w:pPr>
    </w:p>
    <w:p>
      <w:pPr>
        <w:ind w:left="640" w:right="659" w:firstLine="516"/>
        <w:spacing w:after="0" w:line="279" w:lineRule="auto"/>
        <w:rPr>
          <w:sz w:val="20"/>
          <w:szCs w:val="20"/>
          <w:color w:val="auto"/>
        </w:rPr>
      </w:pPr>
      <w:r>
        <w:rPr>
          <w:rFonts w:ascii="Arial" w:cs="Arial" w:eastAsia="Arial" w:hAnsi="Arial"/>
          <w:sz w:val="12"/>
          <w:szCs w:val="12"/>
          <w:color w:val="auto"/>
        </w:rPr>
        <w:t>Certain of our noncontrolling interests have the right to require us to redeem their ownership interests in the respective entities. We classify these ownership interests in the entities as redeemable noncontrolling interests outside of total equity in our consolidated balance sheets. Redeemable noncontrolling interests are adjusted for additional contributions and distributions, the proportionate share of the net earnings or losses, and other comprehensive income or loss. If the amount of a redeemable noncontrolling interest is less than the maximum redemption value at the balance sheet date, such amount is adjusted to the maximum redemption value. Subsequent declines in the redemption value are recognized only to the extent that previous increases have been recognized.</w:t>
      </w:r>
    </w:p>
    <w:p>
      <w:pPr>
        <w:spacing w:after="0" w:line="122" w:lineRule="exact"/>
        <w:rPr>
          <w:sz w:val="20"/>
          <w:szCs w:val="20"/>
          <w:color w:val="auto"/>
        </w:rPr>
      </w:pPr>
    </w:p>
    <w:p>
      <w:pPr>
        <w:ind w:left="640" w:right="1179" w:firstLine="516"/>
        <w:spacing w:after="0" w:line="272" w:lineRule="auto"/>
        <w:rPr>
          <w:sz w:val="20"/>
          <w:szCs w:val="20"/>
          <w:color w:val="auto"/>
        </w:rPr>
      </w:pPr>
      <w:r>
        <w:rPr>
          <w:rFonts w:ascii="Arial" w:cs="Arial" w:eastAsia="Arial" w:hAnsi="Arial"/>
          <w:sz w:val="13"/>
          <w:szCs w:val="13"/>
          <w:color w:val="auto"/>
        </w:rPr>
        <w:t>Refer to Note 4 – “Consolidated and unconsolidated real estate joint ventures” to our unaudited consolidated financial statements for additional information.</w:t>
      </w:r>
    </w:p>
    <w:p>
      <w:pPr>
        <w:sectPr>
          <w:pgSz w:w="11900" w:h="16838" w:orient="portrait"/>
          <w:cols w:equalWidth="0" w:num="1">
            <w:col w:w="9019"/>
          </w:cols>
          <w:pgMar w:left="1440" w:top="97" w:right="1440" w:bottom="1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195580</wp:posOffset>
            </wp:positionV>
            <wp:extent cx="5584190" cy="850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584190" cy="85090"/>
                    </a:xfrm>
                    <a:prstGeom prst="rect">
                      <a:avLst/>
                    </a:prstGeom>
                    <a:noFill/>
                  </pic:spPr>
                </pic:pic>
              </a:graphicData>
            </a:graphic>
          </wp:anchor>
        </w:drawing>
      </w:r>
    </w:p>
    <w:p>
      <w:pPr>
        <w:sectPr>
          <w:pgSz w:w="11900" w:h="16838" w:orient="portrait"/>
          <w:cols w:equalWidth="0" w:num="1">
            <w:col w:w="9019"/>
          </w:cols>
          <w:pgMar w:left="1440" w:top="97" w:right="1440" w:bottom="16" w:gutter="0" w:footer="0" w:header="0"/>
          <w:type w:val="continuous"/>
        </w:sectPr>
      </w:pPr>
    </w:p>
    <w:bookmarkStart w:id="29" w:name="page30"/>
    <w:bookmarkEnd w:id="29"/>
    <w:p>
      <w:pPr>
        <w:spacing w:after="0" w:line="3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982345</wp:posOffset>
            </wp:positionH>
            <wp:positionV relativeFrom="page">
              <wp:posOffset>88900</wp:posOffset>
            </wp:positionV>
            <wp:extent cx="5584190" cy="7129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584190" cy="7129145"/>
                    </a:xfrm>
                    <a:prstGeom prst="rect">
                      <a:avLst/>
                    </a:prstGeom>
                    <a:noFill/>
                  </pic:spPr>
                </pic:pic>
              </a:graphicData>
            </a:graphic>
          </wp:anchor>
        </w:drawing>
      </w:r>
    </w:p>
    <w:p>
      <w:pPr>
        <w:ind w:left="640"/>
        <w:spacing w:after="0"/>
        <w:rPr>
          <w:sz w:val="20"/>
          <w:szCs w:val="20"/>
          <w:color w:val="auto"/>
        </w:rPr>
      </w:pPr>
      <w:r>
        <w:rPr>
          <w:rFonts w:ascii="Arial" w:cs="Arial" w:eastAsia="Arial" w:hAnsi="Arial"/>
          <w:sz w:val="13"/>
          <w:szCs w:val="13"/>
          <w:b w:val="1"/>
          <w:bCs w:val="1"/>
          <w:color w:val="00497F"/>
        </w:rPr>
        <w:t>15. ASSETS CLASSIFIED AS HELD FOR SALE</w:t>
      </w:r>
    </w:p>
    <w:p>
      <w:pPr>
        <w:spacing w:after="0" w:line="269" w:lineRule="exact"/>
        <w:rPr>
          <w:sz w:val="20"/>
          <w:szCs w:val="20"/>
          <w:color w:val="auto"/>
        </w:rPr>
      </w:pPr>
    </w:p>
    <w:p>
      <w:pPr>
        <w:ind w:left="640" w:right="719" w:firstLine="516"/>
        <w:spacing w:after="0" w:line="289" w:lineRule="auto"/>
        <w:rPr>
          <w:sz w:val="20"/>
          <w:szCs w:val="20"/>
          <w:color w:val="auto"/>
        </w:rPr>
      </w:pPr>
      <w:r>
        <w:rPr>
          <w:rFonts w:ascii="Arial" w:cs="Arial" w:eastAsia="Arial" w:hAnsi="Arial"/>
          <w:sz w:val="13"/>
          <w:szCs w:val="13"/>
          <w:color w:val="auto"/>
          <w:highlight w:val="white"/>
        </w:rPr>
        <w:t>As of June 30, 2024, we h</w:t>
      </w:r>
      <w:r>
        <w:rPr>
          <w:rFonts w:ascii="Arial" w:cs="Arial" w:eastAsia="Arial" w:hAnsi="Arial"/>
          <w:sz w:val="13"/>
          <w:szCs w:val="13"/>
          <w:color w:val="auto"/>
        </w:rPr>
        <w:t>ad five properties aggregating 808,692 RSF that were classified as held for sale in our consolidated</w:t>
      </w:r>
      <w:r>
        <w:rPr>
          <w:rFonts w:ascii="Arial" w:cs="Arial" w:eastAsia="Arial" w:hAnsi="Arial"/>
          <w:sz w:val="13"/>
          <w:szCs w:val="13"/>
          <w:color w:val="auto"/>
          <w:highlight w:val="white"/>
        </w:rPr>
        <w:t xml:space="preserve"> </w:t>
      </w:r>
      <w:r>
        <w:rPr>
          <w:rFonts w:ascii="Arial" w:cs="Arial" w:eastAsia="Arial" w:hAnsi="Arial"/>
          <w:sz w:val="13"/>
          <w:szCs w:val="13"/>
          <w:color w:val="auto"/>
        </w:rPr>
        <w:t>financial statements.</w:t>
      </w:r>
    </w:p>
    <w:p>
      <w:pPr>
        <w:spacing w:after="0" w:line="102" w:lineRule="exact"/>
        <w:rPr>
          <w:sz w:val="20"/>
          <w:szCs w:val="20"/>
          <w:color w:val="auto"/>
        </w:rPr>
      </w:pPr>
    </w:p>
    <w:p>
      <w:pPr>
        <w:jc w:val="both"/>
        <w:ind w:left="640" w:right="799" w:firstLine="516"/>
        <w:spacing w:after="0" w:line="265" w:lineRule="auto"/>
        <w:rPr>
          <w:sz w:val="20"/>
          <w:szCs w:val="20"/>
          <w:color w:val="auto"/>
        </w:rPr>
      </w:pPr>
      <w:r>
        <w:rPr>
          <w:rFonts w:ascii="Arial" w:cs="Arial" w:eastAsia="Arial" w:hAnsi="Arial"/>
          <w:sz w:val="13"/>
          <w:szCs w:val="13"/>
          <w:color w:val="auto"/>
        </w:rPr>
        <w:t>The disposal of properties classified as held for sale does not represent a strategic shift that has (or will have) a major effect on our operations or financial results and therefore does not meet the criteria for classification as a discontinued operation. We cease depreciation of our properties upon their classification as held for sale.</w:t>
      </w:r>
    </w:p>
    <w:p>
      <w:pPr>
        <w:spacing w:after="0" w:line="128" w:lineRule="exact"/>
        <w:rPr>
          <w:sz w:val="20"/>
          <w:szCs w:val="20"/>
          <w:color w:val="auto"/>
        </w:rPr>
      </w:pPr>
    </w:p>
    <w:p>
      <w:pPr>
        <w:ind w:left="640" w:right="939" w:firstLine="516"/>
        <w:spacing w:after="0" w:line="272" w:lineRule="auto"/>
        <w:rPr>
          <w:sz w:val="20"/>
          <w:szCs w:val="20"/>
          <w:color w:val="auto"/>
        </w:rPr>
      </w:pPr>
      <w:r>
        <w:rPr>
          <w:rFonts w:ascii="Arial" w:cs="Arial" w:eastAsia="Arial" w:hAnsi="Arial"/>
          <w:sz w:val="13"/>
          <w:szCs w:val="13"/>
          <w:color w:val="auto"/>
        </w:rPr>
        <w:t>The following is a summary of net assets as of June 30, 2024 and December 31, 2023 for our real estate investments that were classified as held for sale as of each respective date (in thousands):</w:t>
      </w:r>
    </w:p>
    <w:p>
      <w:pPr>
        <w:spacing w:after="0" w:line="198"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4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gridSpan w:val="2"/>
          </w:tcPr>
          <w:p>
            <w:pPr>
              <w:ind w:left="100"/>
              <w:spacing w:after="0"/>
              <w:rPr>
                <w:sz w:val="20"/>
                <w:szCs w:val="20"/>
                <w:color w:val="auto"/>
              </w:rPr>
            </w:pPr>
            <w:r>
              <w:rPr>
                <w:rFonts w:ascii="Arial" w:cs="Arial" w:eastAsia="Arial" w:hAnsi="Arial"/>
                <w:sz w:val="13"/>
                <w:szCs w:val="13"/>
                <w:color w:val="auto"/>
              </w:rPr>
              <w:t>June 30, 2024</w:t>
            </w:r>
          </w:p>
        </w:tc>
        <w:tc>
          <w:tcPr>
            <w:tcW w:w="140" w:type="dxa"/>
            <w:vAlign w:val="bottom"/>
          </w:tcPr>
          <w:p>
            <w:pPr>
              <w:spacing w:after="0"/>
              <w:rPr>
                <w:sz w:val="13"/>
                <w:szCs w:val="13"/>
                <w:color w:val="auto"/>
              </w:rPr>
            </w:pPr>
          </w:p>
        </w:tc>
        <w:tc>
          <w:tcPr>
            <w:tcW w:w="1300" w:type="dxa"/>
            <w:vAlign w:val="bottom"/>
          </w:tcPr>
          <w:p>
            <w:pPr>
              <w:jc w:val="right"/>
              <w:ind w:right="96"/>
              <w:spacing w:after="0"/>
              <w:rPr>
                <w:sz w:val="20"/>
                <w:szCs w:val="20"/>
                <w:color w:val="auto"/>
              </w:rPr>
            </w:pPr>
            <w:r>
              <w:rPr>
                <w:rFonts w:ascii="Arial" w:cs="Arial" w:eastAsia="Arial" w:hAnsi="Arial"/>
                <w:sz w:val="13"/>
                <w:szCs w:val="13"/>
                <w:color w:val="auto"/>
                <w:w w:val="98"/>
              </w:rPr>
              <w:t>December 31, 2023</w:t>
            </w:r>
          </w:p>
        </w:tc>
      </w:tr>
      <w:tr>
        <w:trPr>
          <w:trHeight w:val="195"/>
        </w:trPr>
        <w:tc>
          <w:tcPr>
            <w:tcW w:w="48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Total assets</w:t>
            </w: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137,370</w:t>
            </w:r>
          </w:p>
        </w:tc>
        <w:tc>
          <w:tcPr>
            <w:tcW w:w="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194,223</w:t>
            </w:r>
          </w:p>
        </w:tc>
      </w:tr>
      <w:tr>
        <w:trPr>
          <w:trHeight w:val="215"/>
        </w:trPr>
        <w:tc>
          <w:tcPr>
            <w:tcW w:w="4820" w:type="dxa"/>
            <w:vAlign w:val="bottom"/>
          </w:tcPr>
          <w:p>
            <w:pPr>
              <w:ind w:left="40"/>
              <w:spacing w:after="0"/>
              <w:rPr>
                <w:sz w:val="20"/>
                <w:szCs w:val="20"/>
                <w:color w:val="auto"/>
              </w:rPr>
            </w:pPr>
            <w:r>
              <w:rPr>
                <w:rFonts w:ascii="Arial" w:cs="Arial" w:eastAsia="Arial" w:hAnsi="Arial"/>
                <w:sz w:val="13"/>
                <w:szCs w:val="13"/>
                <w:color w:val="auto"/>
              </w:rPr>
              <w:t>Total liabilities</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(3,386)</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(4,750)</w:t>
            </w:r>
          </w:p>
        </w:tc>
      </w:tr>
      <w:tr>
        <w:trPr>
          <w:trHeight w:val="215"/>
        </w:trPr>
        <w:tc>
          <w:tcPr>
            <w:tcW w:w="4820" w:type="dxa"/>
            <w:vAlign w:val="bottom"/>
            <w:shd w:val="clear" w:color="auto" w:fill="CCEEFF"/>
          </w:tcPr>
          <w:p>
            <w:pPr>
              <w:ind w:left="40"/>
              <w:spacing w:after="0"/>
              <w:rPr>
                <w:sz w:val="20"/>
                <w:szCs w:val="20"/>
                <w:color w:val="auto"/>
              </w:rPr>
            </w:pPr>
            <w:r>
              <w:rPr>
                <w:rFonts w:ascii="Arial" w:cs="Arial" w:eastAsia="Arial" w:hAnsi="Arial"/>
                <w:sz w:val="13"/>
                <w:szCs w:val="13"/>
                <w:color w:val="auto"/>
              </w:rPr>
              <w:t>Total accumulated other comprehensive income</w:t>
            </w: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2,306</w:t>
            </w: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1,960</w:t>
            </w:r>
          </w:p>
        </w:tc>
      </w:tr>
      <w:tr>
        <w:trPr>
          <w:trHeight w:val="173"/>
        </w:trPr>
        <w:tc>
          <w:tcPr>
            <w:tcW w:w="4820" w:type="dxa"/>
            <w:vAlign w:val="bottom"/>
          </w:tcPr>
          <w:p>
            <w:pPr>
              <w:ind w:left="40"/>
              <w:spacing w:after="0"/>
              <w:rPr>
                <w:sz w:val="20"/>
                <w:szCs w:val="20"/>
                <w:color w:val="auto"/>
              </w:rPr>
            </w:pPr>
            <w:r>
              <w:rPr>
                <w:rFonts w:ascii="Arial" w:cs="Arial" w:eastAsia="Arial" w:hAnsi="Arial"/>
                <w:sz w:val="13"/>
                <w:szCs w:val="13"/>
                <w:color w:val="auto"/>
              </w:rPr>
              <w:t>Net assets classified as held for sale</w:t>
            </w:r>
          </w:p>
        </w:tc>
        <w:tc>
          <w:tcPr>
            <w:tcW w:w="20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136,290</w:t>
            </w:r>
          </w:p>
        </w:tc>
        <w:tc>
          <w:tcPr>
            <w:tcW w:w="6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191,433</w:t>
            </w:r>
          </w:p>
        </w:tc>
      </w:tr>
      <w:tr>
        <w:trPr>
          <w:trHeight w:val="20"/>
        </w:trPr>
        <w:tc>
          <w:tcPr>
            <w:tcW w:w="4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83" w:lineRule="exact"/>
        <w:rPr>
          <w:sz w:val="20"/>
          <w:szCs w:val="20"/>
          <w:color w:val="auto"/>
        </w:rPr>
      </w:pPr>
    </w:p>
    <w:p>
      <w:pPr>
        <w:jc w:val="both"/>
        <w:ind w:left="640" w:right="659" w:firstLine="516"/>
        <w:spacing w:after="0" w:line="272" w:lineRule="auto"/>
        <w:rPr>
          <w:sz w:val="20"/>
          <w:szCs w:val="20"/>
          <w:color w:val="auto"/>
        </w:rPr>
      </w:pPr>
      <w:r>
        <w:rPr>
          <w:rFonts w:ascii="Arial" w:cs="Arial" w:eastAsia="Arial" w:hAnsi="Arial"/>
          <w:sz w:val="13"/>
          <w:szCs w:val="13"/>
          <w:color w:val="auto"/>
        </w:rPr>
        <w:t>For additional information, refer to “Real estate sales” in Note 2 – “Summary of significant accounting policies” to our unaudited consolidated financial statements.</w:t>
      </w:r>
    </w:p>
    <w:p>
      <w:pPr>
        <w:spacing w:after="0" w:line="273"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00497F"/>
        </w:rPr>
        <w:t>16. SUBSEQUENT EVENTS</w:t>
      </w:r>
    </w:p>
    <w:p>
      <w:pPr>
        <w:spacing w:after="0" w:line="153"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00497F"/>
        </w:rPr>
        <w:t>Alexandria Technology Square</w:t>
      </w:r>
      <w:r>
        <w:rPr>
          <w:rFonts w:ascii="Arial" w:cs="Arial" w:eastAsia="Arial" w:hAnsi="Arial"/>
          <w:sz w:val="16"/>
          <w:szCs w:val="16"/>
          <w:b w:val="1"/>
          <w:bCs w:val="1"/>
          <w:color w:val="00497F"/>
          <w:vertAlign w:val="superscript"/>
        </w:rPr>
        <w:t>®</w:t>
      </w:r>
      <w:r>
        <w:rPr>
          <w:rFonts w:ascii="Arial" w:cs="Arial" w:eastAsia="Arial" w:hAnsi="Arial"/>
          <w:sz w:val="13"/>
          <w:szCs w:val="13"/>
          <w:b w:val="1"/>
          <w:bCs w:val="1"/>
          <w:color w:val="00497F"/>
        </w:rPr>
        <w:t xml:space="preserve"> ground lease amendment</w:t>
      </w:r>
    </w:p>
    <w:p>
      <w:pPr>
        <w:spacing w:after="0" w:line="127" w:lineRule="exact"/>
        <w:rPr>
          <w:sz w:val="20"/>
          <w:szCs w:val="20"/>
          <w:color w:val="auto"/>
        </w:rPr>
      </w:pPr>
    </w:p>
    <w:p>
      <w:pPr>
        <w:ind w:left="640" w:right="679" w:firstLine="516"/>
        <w:spacing w:after="0" w:line="239" w:lineRule="auto"/>
        <w:rPr>
          <w:sz w:val="20"/>
          <w:szCs w:val="20"/>
          <w:color w:val="auto"/>
        </w:rPr>
      </w:pPr>
      <w:r>
        <w:rPr>
          <w:rFonts w:ascii="Arial" w:cs="Arial" w:eastAsia="Arial" w:hAnsi="Arial"/>
          <w:sz w:val="13"/>
          <w:szCs w:val="13"/>
          <w:color w:val="auto"/>
        </w:rPr>
        <w:t>In July 2024, we executed an amendment to our existing ground lease agreement at the Alexandria Technology Square</w:t>
      </w:r>
      <w:r>
        <w:rPr>
          <w:rFonts w:ascii="Arial" w:cs="Arial" w:eastAsia="Arial" w:hAnsi="Arial"/>
          <w:sz w:val="16"/>
          <w:szCs w:val="16"/>
          <w:color w:val="auto"/>
          <w:vertAlign w:val="superscript"/>
        </w:rPr>
        <w:t>®</w:t>
      </w:r>
      <w:r>
        <w:rPr>
          <w:rFonts w:ascii="Arial" w:cs="Arial" w:eastAsia="Arial" w:hAnsi="Arial"/>
          <w:sz w:val="13"/>
          <w:szCs w:val="13"/>
          <w:color w:val="auto"/>
        </w:rPr>
        <w:t xml:space="preserve"> mega campus aggregating 1.2 million RSF in our Cambridge submarket to extend the term by 24 years from January 1, 2065 to December 31, 2088. The amendment requires that we prepay our entire rent obligation for the extended lease term aggregating</w:t>
      </w:r>
    </w:p>
    <w:p>
      <w:pPr>
        <w:spacing w:after="0" w:line="2" w:lineRule="exact"/>
        <w:rPr>
          <w:sz w:val="20"/>
          <w:szCs w:val="20"/>
          <w:color w:val="auto"/>
        </w:rPr>
      </w:pPr>
    </w:p>
    <w:p>
      <w:pPr>
        <w:jc w:val="both"/>
        <w:ind w:left="640" w:right="679"/>
        <w:spacing w:after="0" w:line="255" w:lineRule="auto"/>
        <w:rPr>
          <w:sz w:val="20"/>
          <w:szCs w:val="20"/>
          <w:color w:val="auto"/>
        </w:rPr>
      </w:pPr>
      <w:r>
        <w:rPr>
          <w:rFonts w:ascii="Arial" w:cs="Arial" w:eastAsia="Arial" w:hAnsi="Arial"/>
          <w:sz w:val="13"/>
          <w:szCs w:val="13"/>
          <w:color w:val="auto"/>
        </w:rPr>
        <w:t>$270.0 million in two equal installments during the fourth quarter of 2024 and the first quarter of 2025. This amount will be amortized on a straight-line basis over the remaining lease term from July 2024 through December 2088, and the amended operating lease will result in an incremental annual rent expense of approximately $3.6 million.</w:t>
      </w:r>
    </w:p>
    <w:p>
      <w:pPr>
        <w:spacing w:after="0" w:line="125" w:lineRule="exact"/>
        <w:rPr>
          <w:sz w:val="20"/>
          <w:szCs w:val="20"/>
          <w:color w:val="auto"/>
        </w:rPr>
      </w:pPr>
    </w:p>
    <w:p>
      <w:pPr>
        <w:ind w:left="640" w:right="699" w:firstLine="516"/>
        <w:spacing w:after="0" w:line="243" w:lineRule="auto"/>
        <w:rPr>
          <w:sz w:val="20"/>
          <w:szCs w:val="20"/>
          <w:color w:val="auto"/>
        </w:rPr>
      </w:pPr>
      <w:r>
        <w:rPr>
          <w:rFonts w:ascii="Arial" w:cs="Arial" w:eastAsia="Arial" w:hAnsi="Arial"/>
          <w:sz w:val="13"/>
          <w:szCs w:val="13"/>
          <w:color w:val="auto"/>
        </w:rPr>
        <w:t>Alexandria Technology Square</w:t>
      </w:r>
      <w:r>
        <w:rPr>
          <w:rFonts w:ascii="Arial" w:cs="Arial" w:eastAsia="Arial" w:hAnsi="Arial"/>
          <w:sz w:val="16"/>
          <w:szCs w:val="16"/>
          <w:color w:val="auto"/>
          <w:vertAlign w:val="superscript"/>
        </w:rPr>
        <w:t>®</w:t>
      </w:r>
      <w:r>
        <w:rPr>
          <w:rFonts w:ascii="Arial" w:cs="Arial" w:eastAsia="Arial" w:hAnsi="Arial"/>
          <w:sz w:val="13"/>
          <w:szCs w:val="13"/>
          <w:color w:val="auto"/>
        </w:rPr>
        <w:t xml:space="preserve"> is a foundational mega campus in the heart of the global life science ecosystem in Cambridge and is the Greater Boston base of operations of key strategic long-tenured tenants such as Novartis AG, GlaxoSmithKline plc, Massachusetts Institute of Technology, and Mass General Brigham. Securing this ground lease through December 2088 significantly enhances the long-term value of our investment in this critical mega campus.</w:t>
      </w:r>
    </w:p>
    <w:p>
      <w:pPr>
        <w:spacing w:after="0" w:line="142"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00497F"/>
        </w:rPr>
        <w:t>Unsecured senior line of credit amendment</w:t>
      </w:r>
    </w:p>
    <w:p>
      <w:pPr>
        <w:spacing w:after="0" w:line="162" w:lineRule="exact"/>
        <w:rPr>
          <w:sz w:val="20"/>
          <w:szCs w:val="20"/>
          <w:color w:val="auto"/>
        </w:rPr>
      </w:pPr>
    </w:p>
    <w:p>
      <w:pPr>
        <w:ind w:left="640" w:right="659" w:firstLine="516"/>
        <w:spacing w:after="0" w:line="288" w:lineRule="auto"/>
        <w:rPr>
          <w:sz w:val="20"/>
          <w:szCs w:val="20"/>
          <w:color w:val="auto"/>
        </w:rPr>
      </w:pPr>
      <w:r>
        <w:rPr>
          <w:rFonts w:ascii="Arial" w:cs="Arial" w:eastAsia="Arial" w:hAnsi="Arial"/>
          <w:sz w:val="12"/>
          <w:szCs w:val="12"/>
          <w:color w:val="auto"/>
        </w:rPr>
        <w:t>In July 2024, we executed an agreement with the lender group to amend and restate our unsecured senior line of credit to, among other changes, extend the maturity date from January 22, 2028 to January 22, 2030, including extension options that we control. We expect that the amendment and restatement will become effective in September 2024 upon the satisfaction of certain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188595</wp:posOffset>
            </wp:positionV>
            <wp:extent cx="5584190" cy="332422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584190" cy="3324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ITEM 2. MANAGEMENT’S DISCUSSION AND ANALYSIS OF FINANCIAL CONDITION AND RESULTS OF OPERATIONS</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Forward-looking statements</w:t>
      </w:r>
    </w:p>
    <w:p>
      <w:pPr>
        <w:spacing w:after="0" w:line="162" w:lineRule="exact"/>
        <w:rPr>
          <w:sz w:val="20"/>
          <w:szCs w:val="20"/>
          <w:color w:val="auto"/>
        </w:rPr>
      </w:pPr>
    </w:p>
    <w:p>
      <w:pPr>
        <w:ind w:left="640" w:right="679" w:firstLine="516"/>
        <w:spacing w:after="0" w:line="250" w:lineRule="auto"/>
        <w:rPr>
          <w:sz w:val="20"/>
          <w:szCs w:val="20"/>
          <w:color w:val="auto"/>
        </w:rPr>
      </w:pPr>
      <w:r>
        <w:rPr>
          <w:rFonts w:ascii="Arial" w:cs="Arial" w:eastAsia="Arial" w:hAnsi="Arial"/>
          <w:sz w:val="13"/>
          <w:szCs w:val="13"/>
          <w:color w:val="auto"/>
        </w:rPr>
        <w:t>Certain information and statements included in this quarterly report on Form 10-Q, including, without limitation, statements containing the words “forecast,” “guidance,” “goals,” “projects,” “estimates,” “anticipates,” “believes,” “expects,” “intends,” “may,” “plans,” “seeks,” “should,” “targets,” or “will,” or the negative of those words or similar words, constitute “forward-looking statements” within the meaning of Section 27A of the Securities Act of 1933, as amended, and Section 21E of the Securities Exchange Act of 1934, as amended. Forward-looking statements involve inherent risks and uncertainties regarding events, conditions, and financial trends that may affect our future plans of operations, business strategy, results of operations, and financial position. A number of important factors could cause actual results to differ materially from those included within or contemplated by the forward-looking statements, including, but not limited to, the following:</w:t>
      </w:r>
    </w:p>
    <w:p>
      <w:pPr>
        <w:spacing w:after="0" w:line="54" w:lineRule="exact"/>
        <w:rPr>
          <w:sz w:val="20"/>
          <w:szCs w:val="20"/>
          <w:color w:val="auto"/>
        </w:rPr>
      </w:pPr>
    </w:p>
    <w:p>
      <w:pPr>
        <w:ind w:left="1420" w:right="679" w:hanging="267"/>
        <w:spacing w:after="0" w:line="265" w:lineRule="auto"/>
        <w:tabs>
          <w:tab w:leader="none" w:pos="1420" w:val="left"/>
        </w:tabs>
        <w:numPr>
          <w:ilvl w:val="0"/>
          <w:numId w:val="60"/>
        </w:numPr>
        <w:rPr>
          <w:rFonts w:ascii="Arial" w:cs="Arial" w:eastAsia="Arial" w:hAnsi="Arial"/>
          <w:sz w:val="13"/>
          <w:szCs w:val="13"/>
          <w:color w:val="auto"/>
        </w:rPr>
      </w:pPr>
      <w:r>
        <w:rPr>
          <w:rFonts w:ascii="Arial" w:cs="Arial" w:eastAsia="Arial" w:hAnsi="Arial"/>
          <w:sz w:val="13"/>
          <w:szCs w:val="13"/>
          <w:color w:val="auto"/>
        </w:rPr>
        <w:t>Operating factors, such as a failure to operate our business successfully in comparison to market expectations or in comparison to our competitors, our inability to obtain capital when desired or refinance debt maturities when desired, and/ or a failure to maintain our status as a REIT for federal tax purposes;</w:t>
      </w:r>
    </w:p>
    <w:p>
      <w:pPr>
        <w:spacing w:after="0" w:line="9" w:lineRule="exact"/>
        <w:rPr>
          <w:rFonts w:ascii="Arial" w:cs="Arial" w:eastAsia="Arial" w:hAnsi="Arial"/>
          <w:sz w:val="13"/>
          <w:szCs w:val="13"/>
          <w:color w:val="auto"/>
        </w:rPr>
      </w:pPr>
    </w:p>
    <w:p>
      <w:pPr>
        <w:ind w:left="1420" w:hanging="267"/>
        <w:spacing w:after="0"/>
        <w:tabs>
          <w:tab w:leader="none" w:pos="1420" w:val="left"/>
        </w:tabs>
        <w:numPr>
          <w:ilvl w:val="0"/>
          <w:numId w:val="60"/>
        </w:numPr>
        <w:rPr>
          <w:rFonts w:ascii="Arial" w:cs="Arial" w:eastAsia="Arial" w:hAnsi="Arial"/>
          <w:sz w:val="13"/>
          <w:szCs w:val="13"/>
          <w:color w:val="auto"/>
        </w:rPr>
      </w:pPr>
      <w:r>
        <w:rPr>
          <w:rFonts w:ascii="Arial" w:cs="Arial" w:eastAsia="Arial" w:hAnsi="Arial"/>
          <w:sz w:val="13"/>
          <w:szCs w:val="13"/>
          <w:color w:val="auto"/>
        </w:rPr>
        <w:t>Market and industry factors, such as adverse developments concerning the life science industry and/or our tenants;</w:t>
      </w:r>
    </w:p>
    <w:p>
      <w:pPr>
        <w:spacing w:after="0" w:line="54" w:lineRule="exact"/>
        <w:rPr>
          <w:rFonts w:ascii="Arial" w:cs="Arial" w:eastAsia="Arial" w:hAnsi="Arial"/>
          <w:sz w:val="13"/>
          <w:szCs w:val="13"/>
          <w:color w:val="auto"/>
        </w:rPr>
      </w:pPr>
    </w:p>
    <w:p>
      <w:pPr>
        <w:ind w:left="1420" w:right="1079" w:hanging="267"/>
        <w:spacing w:after="0" w:line="272" w:lineRule="auto"/>
        <w:tabs>
          <w:tab w:leader="none" w:pos="1420" w:val="left"/>
        </w:tabs>
        <w:numPr>
          <w:ilvl w:val="0"/>
          <w:numId w:val="60"/>
        </w:numPr>
        <w:rPr>
          <w:rFonts w:ascii="Arial" w:cs="Arial" w:eastAsia="Arial" w:hAnsi="Arial"/>
          <w:sz w:val="13"/>
          <w:szCs w:val="13"/>
          <w:color w:val="auto"/>
        </w:rPr>
      </w:pPr>
      <w:r>
        <w:rPr>
          <w:rFonts w:ascii="Arial" w:cs="Arial" w:eastAsia="Arial" w:hAnsi="Arial"/>
          <w:sz w:val="13"/>
          <w:szCs w:val="13"/>
          <w:color w:val="auto"/>
        </w:rPr>
        <w:t>Government factors, such as any unfavorable effects resulting from federal, state, local, and/or foreign government policies, laws, and/or funding levels;</w:t>
      </w:r>
    </w:p>
    <w:p>
      <w:pPr>
        <w:spacing w:after="0" w:line="15" w:lineRule="exact"/>
        <w:rPr>
          <w:rFonts w:ascii="Arial" w:cs="Arial" w:eastAsia="Arial" w:hAnsi="Arial"/>
          <w:sz w:val="13"/>
          <w:szCs w:val="13"/>
          <w:color w:val="auto"/>
        </w:rPr>
      </w:pPr>
    </w:p>
    <w:p>
      <w:pPr>
        <w:ind w:left="1420" w:right="859" w:hanging="267"/>
        <w:spacing w:after="0" w:line="272" w:lineRule="auto"/>
        <w:tabs>
          <w:tab w:leader="none" w:pos="1420" w:val="left"/>
        </w:tabs>
        <w:numPr>
          <w:ilvl w:val="0"/>
          <w:numId w:val="60"/>
        </w:numPr>
        <w:rPr>
          <w:rFonts w:ascii="Arial" w:cs="Arial" w:eastAsia="Arial" w:hAnsi="Arial"/>
          <w:sz w:val="13"/>
          <w:szCs w:val="13"/>
          <w:color w:val="auto"/>
        </w:rPr>
      </w:pPr>
      <w:r>
        <w:rPr>
          <w:rFonts w:ascii="Arial" w:cs="Arial" w:eastAsia="Arial" w:hAnsi="Arial"/>
          <w:sz w:val="13"/>
          <w:szCs w:val="13"/>
          <w:color w:val="auto"/>
        </w:rPr>
        <w:t>Global factors, such as negative economic, social, political, financial, credit market, banking conditions, and/or regional armed hostilities; and</w:t>
      </w:r>
    </w:p>
    <w:p>
      <w:pPr>
        <w:spacing w:after="0" w:line="4" w:lineRule="exact"/>
        <w:rPr>
          <w:rFonts w:ascii="Arial" w:cs="Arial" w:eastAsia="Arial" w:hAnsi="Arial"/>
          <w:sz w:val="13"/>
          <w:szCs w:val="13"/>
          <w:color w:val="auto"/>
        </w:rPr>
      </w:pPr>
    </w:p>
    <w:p>
      <w:pPr>
        <w:ind w:left="1420" w:right="919" w:hanging="267"/>
        <w:spacing w:after="0" w:line="289" w:lineRule="auto"/>
        <w:tabs>
          <w:tab w:leader="none" w:pos="1420" w:val="left"/>
        </w:tabs>
        <w:numPr>
          <w:ilvl w:val="0"/>
          <w:numId w:val="60"/>
        </w:numPr>
        <w:rPr>
          <w:rFonts w:ascii="Arial" w:cs="Arial" w:eastAsia="Arial" w:hAnsi="Arial"/>
          <w:sz w:val="13"/>
          <w:szCs w:val="13"/>
          <w:color w:val="auto"/>
        </w:rPr>
      </w:pPr>
      <w:r>
        <w:rPr>
          <w:rFonts w:ascii="Arial" w:cs="Arial" w:eastAsia="Arial" w:hAnsi="Arial"/>
          <w:sz w:val="13"/>
          <w:szCs w:val="13"/>
          <w:color w:val="auto"/>
        </w:rPr>
        <w:t>Other factors, such as climate change, cyber intrusions, and/or changes in laws, regulations, and financial accounting standards.</w:t>
      </w:r>
    </w:p>
    <w:p>
      <w:pPr>
        <w:spacing w:after="0" w:line="112" w:lineRule="exact"/>
        <w:rPr>
          <w:sz w:val="20"/>
          <w:szCs w:val="20"/>
          <w:color w:val="auto"/>
        </w:rPr>
      </w:pPr>
    </w:p>
    <w:p>
      <w:pPr>
        <w:ind w:left="640" w:right="719" w:firstLine="516"/>
        <w:spacing w:after="0" w:line="257" w:lineRule="auto"/>
        <w:rPr>
          <w:sz w:val="20"/>
          <w:szCs w:val="20"/>
          <w:color w:val="auto"/>
        </w:rPr>
      </w:pPr>
      <w:r>
        <w:rPr>
          <w:rFonts w:ascii="Arial" w:cs="Arial" w:eastAsia="Arial" w:hAnsi="Arial"/>
          <w:sz w:val="13"/>
          <w:szCs w:val="13"/>
          <w:color w:val="auto"/>
        </w:rPr>
        <w:t>This list of risks and uncertainties is not exhaustive. Additional information regarding risk factors that may affect us is included under Part I; “Item 1A. Risk factors”; and “Item 7. Management’s discussion and analysis of financial condition and results of operations” in our annual report on Form 10-K for the year ended December 31, 2023 and under respective sections in this quarterly report on Form 10-Q. Readers of this quarterly report on Form 10-Q should also read our other documents filed publicly with the SEC</w:t>
      </w:r>
    </w:p>
    <w:p>
      <w:pPr>
        <w:sectPr>
          <w:pgSz w:w="11900" w:h="16875" w:orient="portrait"/>
          <w:cols w:equalWidth="0" w:num="1">
            <w:col w:w="9019"/>
          </w:cols>
          <w:pgMar w:left="1440" w:top="494" w:right="1440" w:bottom="0" w:gutter="0" w:footer="0" w:header="0"/>
        </w:sectPr>
      </w:pPr>
    </w:p>
    <w:bookmarkStart w:id="30" w:name="page31"/>
    <w:bookmarkEnd w:id="30"/>
    <w:p>
      <w:pPr>
        <w:ind w:left="640"/>
        <w:spacing w:after="0"/>
        <w:rPr>
          <w:sz w:val="20"/>
          <w:szCs w:val="20"/>
          <w:color w:val="auto"/>
        </w:rPr>
      </w:pPr>
      <w:r>
        <w:rPr>
          <w:rFonts w:ascii="Arial" w:cs="Arial" w:eastAsia="Arial" w:hAnsi="Arial"/>
          <w:sz w:val="13"/>
          <w:szCs w:val="13"/>
          <w:color w:val="auto"/>
        </w:rPr>
        <w:t>for further discussion regarding such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-80010</wp:posOffset>
            </wp:positionV>
            <wp:extent cx="5584190" cy="38900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584190" cy="3890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188595</wp:posOffset>
            </wp:positionV>
            <wp:extent cx="5584190" cy="65633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584190" cy="6563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Overview</w:t>
      </w:r>
    </w:p>
    <w:p>
      <w:pPr>
        <w:spacing w:after="0" w:line="162" w:lineRule="exact"/>
        <w:rPr>
          <w:sz w:val="20"/>
          <w:szCs w:val="20"/>
          <w:color w:val="auto"/>
        </w:rPr>
      </w:pPr>
    </w:p>
    <w:p>
      <w:pPr>
        <w:ind w:left="640" w:right="659" w:firstLine="516"/>
        <w:spacing w:after="0" w:line="246" w:lineRule="auto"/>
        <w:rPr>
          <w:sz w:val="20"/>
          <w:szCs w:val="20"/>
          <w:color w:val="auto"/>
        </w:rPr>
      </w:pPr>
      <w:r>
        <w:rPr>
          <w:rFonts w:ascii="Arial" w:cs="Arial" w:eastAsia="Arial" w:hAnsi="Arial"/>
          <w:sz w:val="13"/>
          <w:szCs w:val="13"/>
          <w:color w:val="auto"/>
        </w:rPr>
        <w:t xml:space="preserve">We are a Maryland corporation formed in October 1994 that has elected to be taxed as a REIT for federal income tax purposes. </w:t>
      </w:r>
      <w:r>
        <w:rPr>
          <w:rFonts w:ascii="Arial" w:cs="Arial" w:eastAsia="Arial" w:hAnsi="Arial"/>
          <w:sz w:val="13"/>
          <w:szCs w:val="13"/>
          <w:color w:val="231F20"/>
        </w:rPr>
        <w:t>Alexandria Real Estate Equities, Inc. (NYSE: ARE),</w:t>
      </w:r>
      <w:r>
        <w:rPr>
          <w:rFonts w:ascii="Arial" w:cs="Arial" w:eastAsia="Arial" w:hAnsi="Arial"/>
          <w:sz w:val="13"/>
          <w:szCs w:val="13"/>
          <w:color w:val="auto"/>
        </w:rPr>
        <w:t xml:space="preserve"> an </w:t>
      </w:r>
      <w:r>
        <w:rPr>
          <w:rFonts w:ascii="Arial" w:cs="Arial" w:eastAsia="Arial" w:hAnsi="Arial"/>
          <w:sz w:val="13"/>
          <w:szCs w:val="13"/>
          <w:color w:val="231F20"/>
        </w:rPr>
        <w:t>S&amp;P 500</w:t>
      </w:r>
      <w:r>
        <w:rPr>
          <w:rFonts w:ascii="Arial" w:cs="Arial" w:eastAsia="Arial" w:hAnsi="Arial"/>
          <w:sz w:val="16"/>
          <w:szCs w:val="16"/>
          <w:color w:val="auto"/>
          <w:vertAlign w:val="superscript"/>
        </w:rPr>
        <w:t>®</w:t>
      </w:r>
      <w:r>
        <w:rPr>
          <w:rFonts w:ascii="Arial" w:cs="Arial" w:eastAsia="Arial" w:hAnsi="Arial"/>
          <w:sz w:val="13"/>
          <w:szCs w:val="13"/>
          <w:color w:val="auto"/>
        </w:rPr>
        <w:t xml:space="preserve"> company, is a best-in-class, mission-driven life science REIT making a positive and lasting impact on the world. As the pioneer of the life science real estate niche with our founding in 1994, Alexandria is the preeminent and longest-tenured owner, operator, and developer of collaborative life science mega campuses in AAA innovation cluster locations, including Greater Boston, the San Francisco Bay Area, San Diego, Seattle, Maryland, Research Triangle, and New York City. As of June 30, 2024, Alexandria has a total market capitalization of $32.5 billion and an asset base in North America that includes 42.1 million RSF of operating properties and 5.3 million RSF of Class A/A+ properties undergoing construction and one committed near-term project expected to commence construction in the next two years. Alexandria has a longstanding and proven track record of developing Class A/A+ properties clustered in life science mega campuses that provide our innovative tenants with highly dynamic and collaborative environments that enhance their ability to successfully recruit and retain world-class talent and inspire productivity, efficiency, creativity, and success. Alexandria also provides strategic capital to transformative life science companies through our venture capital platform. We believe our unique business model and diligent underwriting ensure a high-quality and diverse tenant base that results in higher occupancy levels, longer lease terms, higher rental income, higher returns, and greater long-term asset value.</w:t>
      </w:r>
    </w:p>
    <w:p>
      <w:pPr>
        <w:spacing w:after="0" w:line="139" w:lineRule="exact"/>
        <w:rPr>
          <w:sz w:val="20"/>
          <w:szCs w:val="20"/>
          <w:color w:val="auto"/>
        </w:rPr>
      </w:pPr>
    </w:p>
    <w:p>
      <w:pPr>
        <w:ind w:left="1160"/>
        <w:spacing w:after="0"/>
        <w:rPr>
          <w:sz w:val="20"/>
          <w:szCs w:val="20"/>
          <w:color w:val="auto"/>
        </w:rPr>
      </w:pPr>
      <w:r>
        <w:rPr>
          <w:rFonts w:ascii="Arial" w:cs="Arial" w:eastAsia="Arial" w:hAnsi="Arial"/>
          <w:sz w:val="13"/>
          <w:szCs w:val="13"/>
          <w:color w:val="auto"/>
        </w:rPr>
        <w:t>As of June 30, 2024:</w:t>
      </w:r>
    </w:p>
    <w:p>
      <w:pPr>
        <w:spacing w:after="0" w:line="162" w:lineRule="exact"/>
        <w:rPr>
          <w:sz w:val="20"/>
          <w:szCs w:val="20"/>
          <w:color w:val="auto"/>
        </w:rPr>
      </w:pPr>
    </w:p>
    <w:p>
      <w:pPr>
        <w:ind w:left="1420" w:hanging="267"/>
        <w:spacing w:after="0"/>
        <w:tabs>
          <w:tab w:leader="none" w:pos="1420" w:val="left"/>
        </w:tabs>
        <w:numPr>
          <w:ilvl w:val="0"/>
          <w:numId w:val="61"/>
        </w:numPr>
        <w:rPr>
          <w:rFonts w:ascii="Arial" w:cs="Arial" w:eastAsia="Arial" w:hAnsi="Arial"/>
          <w:sz w:val="13"/>
          <w:szCs w:val="13"/>
          <w:color w:val="auto"/>
        </w:rPr>
      </w:pPr>
      <w:r>
        <w:rPr>
          <w:rFonts w:ascii="Arial" w:cs="Arial" w:eastAsia="Arial" w:hAnsi="Arial"/>
          <w:sz w:val="13"/>
          <w:szCs w:val="13"/>
          <w:color w:val="auto"/>
        </w:rPr>
        <w:t>Investment-grade or publicly traded large cap tenants represented 53% of our annual rental revenue;</w:t>
      </w:r>
    </w:p>
    <w:p>
      <w:pPr>
        <w:spacing w:after="0" w:line="43" w:lineRule="exact"/>
        <w:rPr>
          <w:rFonts w:ascii="Arial" w:cs="Arial" w:eastAsia="Arial" w:hAnsi="Arial"/>
          <w:sz w:val="13"/>
          <w:szCs w:val="13"/>
          <w:color w:val="auto"/>
        </w:rPr>
      </w:pPr>
    </w:p>
    <w:p>
      <w:pPr>
        <w:ind w:left="1420" w:right="1199" w:hanging="267"/>
        <w:spacing w:after="0" w:line="308" w:lineRule="auto"/>
        <w:tabs>
          <w:tab w:leader="none" w:pos="1420" w:val="left"/>
        </w:tabs>
        <w:numPr>
          <w:ilvl w:val="0"/>
          <w:numId w:val="61"/>
        </w:numPr>
        <w:rPr>
          <w:rFonts w:ascii="Arial" w:cs="Arial" w:eastAsia="Arial" w:hAnsi="Arial"/>
          <w:sz w:val="12"/>
          <w:szCs w:val="12"/>
          <w:color w:val="auto"/>
        </w:rPr>
      </w:pPr>
      <w:r>
        <w:rPr>
          <w:rFonts w:ascii="Arial" w:cs="Arial" w:eastAsia="Arial" w:hAnsi="Arial"/>
          <w:sz w:val="12"/>
          <w:szCs w:val="12"/>
          <w:color w:val="auto"/>
        </w:rPr>
        <w:t>Approximately 96% of our leases (on an annual rental revenue basis) contained effective annual rent escalations approximating 3.0% that were either fixed or indexed based on a consumer price index or other index;</w:t>
      </w:r>
    </w:p>
    <w:p>
      <w:pPr>
        <w:ind w:left="1420" w:right="719" w:hanging="267"/>
        <w:spacing w:after="0" w:line="265" w:lineRule="auto"/>
        <w:tabs>
          <w:tab w:leader="none" w:pos="1420" w:val="left"/>
        </w:tabs>
        <w:numPr>
          <w:ilvl w:val="0"/>
          <w:numId w:val="61"/>
        </w:numPr>
        <w:rPr>
          <w:rFonts w:ascii="Arial" w:cs="Arial" w:eastAsia="Arial" w:hAnsi="Arial"/>
          <w:sz w:val="13"/>
          <w:szCs w:val="13"/>
          <w:color w:val="auto"/>
        </w:rPr>
      </w:pPr>
      <w:r>
        <w:rPr>
          <w:rFonts w:ascii="Arial" w:cs="Arial" w:eastAsia="Arial" w:hAnsi="Arial"/>
          <w:sz w:val="13"/>
          <w:szCs w:val="13"/>
          <w:color w:val="auto"/>
        </w:rPr>
        <w:t>Approximately 94% of our leases (on an annual rental revenue basis) were triple net leases, which require tenants to pay substantially all real estate taxes, insurance, utilities, repairs and maintenance, common area expenses, and other operating expenses (including increases thereto) in addition to base rent; and</w:t>
      </w:r>
    </w:p>
    <w:p>
      <w:pPr>
        <w:spacing w:after="0" w:line="9" w:lineRule="exact"/>
        <w:rPr>
          <w:rFonts w:ascii="Arial" w:cs="Arial" w:eastAsia="Arial" w:hAnsi="Arial"/>
          <w:sz w:val="13"/>
          <w:szCs w:val="13"/>
          <w:color w:val="auto"/>
        </w:rPr>
      </w:pPr>
    </w:p>
    <w:p>
      <w:pPr>
        <w:ind w:left="1420" w:right="819" w:hanging="267"/>
        <w:spacing w:after="0" w:line="265" w:lineRule="auto"/>
        <w:tabs>
          <w:tab w:leader="none" w:pos="1420" w:val="left"/>
        </w:tabs>
        <w:numPr>
          <w:ilvl w:val="0"/>
          <w:numId w:val="61"/>
        </w:numPr>
        <w:rPr>
          <w:rFonts w:ascii="Arial" w:cs="Arial" w:eastAsia="Arial" w:hAnsi="Arial"/>
          <w:sz w:val="13"/>
          <w:szCs w:val="13"/>
          <w:color w:val="auto"/>
        </w:rPr>
      </w:pPr>
      <w:r>
        <w:rPr>
          <w:rFonts w:ascii="Arial" w:cs="Arial" w:eastAsia="Arial" w:hAnsi="Arial"/>
          <w:sz w:val="13"/>
          <w:szCs w:val="13"/>
          <w:color w:val="auto"/>
        </w:rPr>
        <w:t>Approximately 93% of our leases (on an annual rental revenue basis) provided for the recapture of capital expenditures (such as HVAC maintenance and/or replacement, roof replacement, and parking lot resurfacing) that we believe would typically be borne by the landlord in traditional office leases.</w:t>
      </w:r>
    </w:p>
    <w:p>
      <w:pPr>
        <w:spacing w:after="0" w:line="128" w:lineRule="exact"/>
        <w:rPr>
          <w:sz w:val="20"/>
          <w:szCs w:val="20"/>
          <w:color w:val="auto"/>
        </w:rPr>
      </w:pPr>
    </w:p>
    <w:p>
      <w:pPr>
        <w:ind w:left="640" w:right="679" w:firstLine="516"/>
        <w:spacing w:after="0" w:line="250" w:lineRule="auto"/>
        <w:rPr>
          <w:sz w:val="20"/>
          <w:szCs w:val="20"/>
          <w:color w:val="auto"/>
        </w:rPr>
      </w:pPr>
      <w:r>
        <w:rPr>
          <w:rFonts w:ascii="Arial" w:cs="Arial" w:eastAsia="Arial" w:hAnsi="Arial"/>
          <w:sz w:val="13"/>
          <w:szCs w:val="13"/>
          <w:color w:val="auto"/>
        </w:rPr>
        <w:t xml:space="preserve">Our primary business objective is to maximize long-term asset value and stockholder returns based on a multifaceted platform of internal and external growth. A key element of our strategy is our unique focus on Class A/A+ properties located in collaborative life science mega campuses in AAA innovation clusters. Our mega campuses are designed for scalability, offering our tenants a clear path for growth, including through our future developments and redevelopments. </w:t>
      </w:r>
      <w:r>
        <w:rPr>
          <w:rFonts w:ascii="Arial" w:cs="Arial" w:eastAsia="Arial" w:hAnsi="Arial"/>
          <w:sz w:val="13"/>
          <w:szCs w:val="13"/>
          <w:color w:val="231F20"/>
        </w:rPr>
        <w:t>Strategically located near top academic medical institutions</w:t>
      </w:r>
      <w:r>
        <w:rPr>
          <w:rFonts w:ascii="Arial" w:cs="Arial" w:eastAsia="Arial" w:hAnsi="Arial"/>
          <w:sz w:val="13"/>
          <w:szCs w:val="13"/>
          <w:color w:val="auto"/>
        </w:rPr>
        <w:t xml:space="preserve"> </w:t>
      </w:r>
      <w:r>
        <w:rPr>
          <w:rFonts w:ascii="Arial" w:cs="Arial" w:eastAsia="Arial" w:hAnsi="Arial"/>
          <w:sz w:val="13"/>
          <w:szCs w:val="13"/>
          <w:color w:val="231F20"/>
        </w:rPr>
        <w:t xml:space="preserve">and equipped with curated amenities, services, and transit access, our mega campuses are designed to support our tenants in attracting and retaining top talent, which we believe is a key driver of tenant demand for our properties. </w:t>
      </w:r>
      <w:r>
        <w:rPr>
          <w:rFonts w:ascii="Arial" w:cs="Arial" w:eastAsia="Arial" w:hAnsi="Arial"/>
          <w:sz w:val="13"/>
          <w:szCs w:val="13"/>
          <w:color w:val="000000"/>
        </w:rPr>
        <w:t>Our strategy also includes</w:t>
      </w:r>
      <w:r>
        <w:rPr>
          <w:rFonts w:ascii="Arial" w:cs="Arial" w:eastAsia="Arial" w:hAnsi="Arial"/>
          <w:sz w:val="13"/>
          <w:szCs w:val="13"/>
          <w:color w:val="231F20"/>
        </w:rPr>
        <w:t xml:space="preserve"> </w:t>
      </w:r>
      <w:r>
        <w:rPr>
          <w:rFonts w:ascii="Arial" w:cs="Arial" w:eastAsia="Arial" w:hAnsi="Arial"/>
          <w:sz w:val="13"/>
          <w:szCs w:val="13"/>
          <w:color w:val="000000"/>
        </w:rPr>
        <w:t>drawing upon our deep and broad real estate and life science relationships in order to identify and attract new and leading tenants and to source additional value-creation real estate.</w:t>
      </w:r>
    </w:p>
    <w:p>
      <w:pPr>
        <w:spacing w:after="0" w:line="140" w:lineRule="exact"/>
        <w:rPr>
          <w:sz w:val="20"/>
          <w:szCs w:val="20"/>
          <w:color w:val="auto"/>
        </w:rPr>
      </w:pPr>
    </w:p>
    <w:tbl>
      <w:tblPr>
        <w:tblLayout w:type="fixed"/>
        <w:tblInd w:w="640" w:type="dxa"/>
        <w:tblCellMar>
          <w:top w:w="0" w:type="dxa"/>
          <w:left w:w="0" w:type="dxa"/>
          <w:bottom w:w="0" w:type="dxa"/>
          <w:right w:w="0" w:type="dxa"/>
        </w:tblCellMar>
      </w:tblPr>
      <w:tr>
        <w:trPr>
          <w:trHeight w:val="177"/>
        </w:trPr>
        <w:tc>
          <w:tcPr>
            <w:tcW w:w="2980" w:type="dxa"/>
            <w:vAlign w:val="bottom"/>
            <w:gridSpan w:val="2"/>
          </w:tcPr>
          <w:p>
            <w:pPr>
              <w:spacing w:after="0"/>
              <w:rPr>
                <w:sz w:val="20"/>
                <w:szCs w:val="20"/>
                <w:color w:val="auto"/>
              </w:rPr>
            </w:pPr>
            <w:r>
              <w:rPr>
                <w:rFonts w:ascii="Arial" w:cs="Arial" w:eastAsia="Arial" w:hAnsi="Arial"/>
                <w:sz w:val="13"/>
                <w:szCs w:val="13"/>
                <w:b w:val="1"/>
                <w:bCs w:val="1"/>
                <w:color w:val="auto"/>
              </w:rPr>
              <w:t>Executive summary</w:t>
            </w: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74"/>
        </w:trPr>
        <w:tc>
          <w:tcPr>
            <w:tcW w:w="2980" w:type="dxa"/>
            <w:vAlign w:val="bottom"/>
            <w:gridSpan w:val="2"/>
          </w:tcPr>
          <w:p>
            <w:pPr>
              <w:spacing w:after="0"/>
              <w:rPr>
                <w:sz w:val="20"/>
                <w:szCs w:val="20"/>
                <w:color w:val="auto"/>
              </w:rPr>
            </w:pPr>
            <w:r>
              <w:rPr>
                <w:rFonts w:ascii="Arial" w:cs="Arial" w:eastAsia="Arial" w:hAnsi="Arial"/>
                <w:sz w:val="13"/>
                <w:szCs w:val="13"/>
                <w:i w:val="1"/>
                <w:iCs w:val="1"/>
                <w:color w:val="auto"/>
              </w:rPr>
              <w:t>Operating results</w:t>
            </w:r>
          </w:p>
        </w:tc>
        <w:tc>
          <w:tcPr>
            <w:tcW w:w="2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302"/>
        </w:trPr>
        <w:tc>
          <w:tcPr>
            <w:tcW w:w="980" w:type="dxa"/>
            <w:vAlign w:val="bottom"/>
            <w:tcBorders>
              <w:top w:val="single" w:sz="8" w:color="auto"/>
            </w:tcBorders>
          </w:tcPr>
          <w:p>
            <w:pPr>
              <w:spacing w:after="0"/>
              <w:rPr>
                <w:sz w:val="24"/>
                <w:szCs w:val="24"/>
                <w:color w:val="auto"/>
              </w:rPr>
            </w:pPr>
          </w:p>
        </w:tc>
        <w:tc>
          <w:tcPr>
            <w:tcW w:w="2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40" w:type="dxa"/>
            <w:vAlign w:val="bottom"/>
            <w:gridSpan w:val="5"/>
          </w:tcPr>
          <w:p>
            <w:pPr>
              <w:ind w:left="100"/>
              <w:spacing w:after="0"/>
              <w:rPr>
                <w:sz w:val="20"/>
                <w:szCs w:val="20"/>
                <w:color w:val="auto"/>
              </w:rPr>
            </w:pPr>
            <w:r>
              <w:rPr>
                <w:rFonts w:ascii="Arial" w:cs="Arial" w:eastAsia="Arial" w:hAnsi="Arial"/>
                <w:sz w:val="13"/>
                <w:szCs w:val="13"/>
                <w:color w:val="auto"/>
              </w:rPr>
              <w:t>Three Months Ended June 30,</w:t>
            </w:r>
          </w:p>
        </w:tc>
        <w:tc>
          <w:tcPr>
            <w:tcW w:w="240" w:type="dxa"/>
            <w:vAlign w:val="bottom"/>
          </w:tcPr>
          <w:p>
            <w:pPr>
              <w:spacing w:after="0"/>
              <w:rPr>
                <w:sz w:val="24"/>
                <w:szCs w:val="24"/>
                <w:color w:val="auto"/>
              </w:rPr>
            </w:pPr>
          </w:p>
        </w:tc>
        <w:tc>
          <w:tcPr>
            <w:tcW w:w="2060" w:type="dxa"/>
            <w:vAlign w:val="bottom"/>
            <w:gridSpan w:val="4"/>
          </w:tcPr>
          <w:p>
            <w:pPr>
              <w:jc w:val="right"/>
              <w:ind w:right="296"/>
              <w:spacing w:after="0"/>
              <w:rPr>
                <w:sz w:val="20"/>
                <w:szCs w:val="20"/>
                <w:color w:val="auto"/>
              </w:rPr>
            </w:pPr>
            <w:r>
              <w:rPr>
                <w:rFonts w:ascii="Arial" w:cs="Arial" w:eastAsia="Arial" w:hAnsi="Arial"/>
                <w:sz w:val="13"/>
                <w:szCs w:val="13"/>
                <w:color w:val="auto"/>
              </w:rPr>
              <w:t>Six Months Ended June 30,</w:t>
            </w:r>
          </w:p>
        </w:tc>
      </w:tr>
      <w:tr>
        <w:trPr>
          <w:trHeight w:val="184"/>
        </w:trPr>
        <w:tc>
          <w:tcPr>
            <w:tcW w:w="980" w:type="dxa"/>
            <w:vAlign w:val="bottom"/>
            <w:tcBorders>
              <w:bottom w:val="single" w:sz="8" w:color="CCEEFF"/>
            </w:tcBorders>
          </w:tcPr>
          <w:p>
            <w:pPr>
              <w:spacing w:after="0"/>
              <w:rPr>
                <w:sz w:val="16"/>
                <w:szCs w:val="16"/>
                <w:color w:val="auto"/>
              </w:rPr>
            </w:pPr>
          </w:p>
        </w:tc>
        <w:tc>
          <w:tcPr>
            <w:tcW w:w="20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356"/>
              <w:spacing w:after="0"/>
              <w:rPr>
                <w:sz w:val="20"/>
                <w:szCs w:val="20"/>
                <w:color w:val="auto"/>
              </w:rPr>
            </w:pPr>
            <w:r>
              <w:rPr>
                <w:rFonts w:ascii="Arial" w:cs="Arial" w:eastAsia="Arial" w:hAnsi="Arial"/>
                <w:sz w:val="13"/>
                <w:szCs w:val="13"/>
                <w:color w:val="auto"/>
              </w:rPr>
              <w:t>2024</w:t>
            </w:r>
          </w:p>
        </w:tc>
        <w:tc>
          <w:tcPr>
            <w:tcW w:w="40" w:type="dxa"/>
            <w:vAlign w:val="bottom"/>
            <w:tcBorders>
              <w:top w:val="single" w:sz="8" w:color="auto"/>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356"/>
              <w:spacing w:after="0"/>
              <w:rPr>
                <w:sz w:val="20"/>
                <w:szCs w:val="20"/>
                <w:color w:val="auto"/>
              </w:rPr>
            </w:pPr>
            <w:r>
              <w:rPr>
                <w:rFonts w:ascii="Arial" w:cs="Arial" w:eastAsia="Arial" w:hAnsi="Arial"/>
                <w:sz w:val="13"/>
                <w:szCs w:val="13"/>
                <w:color w:val="auto"/>
              </w:rPr>
              <w:t>2023</w:t>
            </w:r>
          </w:p>
        </w:tc>
        <w:tc>
          <w:tcPr>
            <w:tcW w:w="12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356"/>
              <w:spacing w:after="0"/>
              <w:rPr>
                <w:sz w:val="20"/>
                <w:szCs w:val="20"/>
                <w:color w:val="auto"/>
              </w:rPr>
            </w:pPr>
            <w:r>
              <w:rPr>
                <w:rFonts w:ascii="Arial" w:cs="Arial" w:eastAsia="Arial" w:hAnsi="Arial"/>
                <w:sz w:val="13"/>
                <w:szCs w:val="13"/>
                <w:color w:val="auto"/>
              </w:rPr>
              <w:t>2024</w:t>
            </w:r>
          </w:p>
        </w:tc>
        <w:tc>
          <w:tcPr>
            <w:tcW w:w="60" w:type="dxa"/>
            <w:vAlign w:val="bottom"/>
            <w:tcBorders>
              <w:top w:val="single" w:sz="8" w:color="auto"/>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356"/>
              <w:spacing w:after="0"/>
              <w:rPr>
                <w:sz w:val="20"/>
                <w:szCs w:val="20"/>
                <w:color w:val="auto"/>
              </w:rPr>
            </w:pPr>
            <w:r>
              <w:rPr>
                <w:rFonts w:ascii="Arial" w:cs="Arial" w:eastAsia="Arial" w:hAnsi="Arial"/>
                <w:sz w:val="13"/>
                <w:szCs w:val="13"/>
                <w:color w:val="auto"/>
              </w:rPr>
              <w:t>2023</w:t>
            </w:r>
          </w:p>
        </w:tc>
      </w:tr>
      <w:tr>
        <w:trPr>
          <w:trHeight w:val="152"/>
        </w:trPr>
        <w:tc>
          <w:tcPr>
            <w:tcW w:w="29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Net income attributable to Alexandria’s common</w:t>
            </w: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r>
      <w:tr>
        <w:trPr>
          <w:trHeight w:val="161"/>
        </w:trPr>
        <w:tc>
          <w:tcPr>
            <w:tcW w:w="298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stockholders – diluted:</w:t>
            </w: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r>
      <w:tr>
        <w:trPr>
          <w:trHeight w:val="204"/>
        </w:trPr>
        <w:tc>
          <w:tcPr>
            <w:tcW w:w="2980" w:type="dxa"/>
            <w:vAlign w:val="bottom"/>
            <w:gridSpan w:val="2"/>
          </w:tcPr>
          <w:p>
            <w:pPr>
              <w:ind w:left="140"/>
              <w:spacing w:after="0"/>
              <w:rPr>
                <w:sz w:val="20"/>
                <w:szCs w:val="20"/>
                <w:color w:val="auto"/>
              </w:rPr>
            </w:pPr>
            <w:r>
              <w:rPr>
                <w:rFonts w:ascii="Arial" w:cs="Arial" w:eastAsia="Arial" w:hAnsi="Arial"/>
                <w:sz w:val="13"/>
                <w:szCs w:val="13"/>
                <w:i w:val="1"/>
                <w:iCs w:val="1"/>
                <w:color w:val="auto"/>
              </w:rPr>
              <w:t>In millions</w:t>
            </w:r>
          </w:p>
        </w:tc>
        <w:tc>
          <w:tcPr>
            <w:tcW w:w="20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42.9</w:t>
            </w:r>
          </w:p>
        </w:tc>
        <w:tc>
          <w:tcPr>
            <w:tcW w:w="40" w:type="dxa"/>
            <w:vAlign w:val="bottom"/>
          </w:tcPr>
          <w:p>
            <w:pPr>
              <w:spacing w:after="0"/>
              <w:rPr>
                <w:sz w:val="17"/>
                <w:szCs w:val="17"/>
                <w:color w:val="auto"/>
              </w:rPr>
            </w:pPr>
          </w:p>
        </w:tc>
        <w:tc>
          <w:tcPr>
            <w:tcW w:w="26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87.3</w:t>
            </w:r>
          </w:p>
        </w:tc>
        <w:tc>
          <w:tcPr>
            <w:tcW w:w="120" w:type="dxa"/>
            <w:vAlign w:val="bottom"/>
          </w:tcPr>
          <w:p>
            <w:pPr>
              <w:spacing w:after="0"/>
              <w:rPr>
                <w:sz w:val="17"/>
                <w:szCs w:val="17"/>
                <w:color w:val="auto"/>
              </w:rPr>
            </w:pPr>
          </w:p>
        </w:tc>
        <w:tc>
          <w:tcPr>
            <w:tcW w:w="24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209.8</w:t>
            </w:r>
          </w:p>
        </w:tc>
        <w:tc>
          <w:tcPr>
            <w:tcW w:w="60" w:type="dxa"/>
            <w:vAlign w:val="bottom"/>
          </w:tcPr>
          <w:p>
            <w:pPr>
              <w:spacing w:after="0"/>
              <w:rPr>
                <w:sz w:val="17"/>
                <w:szCs w:val="17"/>
                <w:color w:val="auto"/>
              </w:rPr>
            </w:pPr>
          </w:p>
        </w:tc>
        <w:tc>
          <w:tcPr>
            <w:tcW w:w="26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162.5</w:t>
            </w:r>
          </w:p>
        </w:tc>
      </w:tr>
      <w:tr>
        <w:trPr>
          <w:trHeight w:val="204"/>
        </w:trPr>
        <w:tc>
          <w:tcPr>
            <w:tcW w:w="2980" w:type="dxa"/>
            <w:vAlign w:val="bottom"/>
            <w:gridSpan w:val="2"/>
            <w:shd w:val="clear" w:color="auto" w:fill="CCEEFF"/>
          </w:tcPr>
          <w:p>
            <w:pPr>
              <w:ind w:left="140"/>
              <w:spacing w:after="0"/>
              <w:rPr>
                <w:sz w:val="20"/>
                <w:szCs w:val="20"/>
                <w:color w:val="auto"/>
              </w:rPr>
            </w:pPr>
            <w:r>
              <w:rPr>
                <w:rFonts w:ascii="Arial" w:cs="Arial" w:eastAsia="Arial" w:hAnsi="Arial"/>
                <w:sz w:val="13"/>
                <w:szCs w:val="13"/>
                <w:i w:val="1"/>
                <w:iCs w:val="1"/>
                <w:color w:val="auto"/>
              </w:rPr>
              <w:t>Per share</w:t>
            </w: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0.25</w:t>
            </w: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0.51</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w:t>
            </w: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0.95</w:t>
            </w:r>
          </w:p>
        </w:tc>
      </w:tr>
      <w:tr>
        <w:trPr>
          <w:trHeight w:val="172"/>
        </w:trPr>
        <w:tc>
          <w:tcPr>
            <w:tcW w:w="2980" w:type="dxa"/>
            <w:vAlign w:val="bottom"/>
            <w:gridSpan w:val="2"/>
          </w:tcPr>
          <w:p>
            <w:pPr>
              <w:ind w:left="40"/>
              <w:spacing w:after="0"/>
              <w:rPr>
                <w:sz w:val="20"/>
                <w:szCs w:val="20"/>
                <w:color w:val="auto"/>
              </w:rPr>
            </w:pPr>
            <w:r>
              <w:rPr>
                <w:rFonts w:ascii="Arial" w:cs="Arial" w:eastAsia="Arial" w:hAnsi="Arial"/>
                <w:sz w:val="13"/>
                <w:szCs w:val="13"/>
                <w:color w:val="auto"/>
              </w:rPr>
              <w:t>Funds from operations attributable to Alexandria’s</w:t>
            </w: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1"/>
        </w:trPr>
        <w:tc>
          <w:tcPr>
            <w:tcW w:w="2980" w:type="dxa"/>
            <w:vAlign w:val="bottom"/>
            <w:gridSpan w:val="2"/>
          </w:tcPr>
          <w:p>
            <w:pPr>
              <w:ind w:left="180"/>
              <w:spacing w:after="0"/>
              <w:rPr>
                <w:sz w:val="20"/>
                <w:szCs w:val="20"/>
                <w:color w:val="auto"/>
              </w:rPr>
            </w:pPr>
            <w:r>
              <w:rPr>
                <w:rFonts w:ascii="Arial" w:cs="Arial" w:eastAsia="Arial" w:hAnsi="Arial"/>
                <w:sz w:val="13"/>
                <w:szCs w:val="13"/>
                <w:color w:val="auto"/>
              </w:rPr>
              <w:t>common stockholders – diluted, as adjusted:</w:t>
            </w: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204"/>
        </w:trPr>
        <w:tc>
          <w:tcPr>
            <w:tcW w:w="2980" w:type="dxa"/>
            <w:vAlign w:val="bottom"/>
            <w:gridSpan w:val="2"/>
            <w:shd w:val="clear" w:color="auto" w:fill="CCEEFF"/>
          </w:tcPr>
          <w:p>
            <w:pPr>
              <w:ind w:left="140"/>
              <w:spacing w:after="0"/>
              <w:rPr>
                <w:sz w:val="20"/>
                <w:szCs w:val="20"/>
                <w:color w:val="auto"/>
              </w:rPr>
            </w:pPr>
            <w:r>
              <w:rPr>
                <w:rFonts w:ascii="Arial" w:cs="Arial" w:eastAsia="Arial" w:hAnsi="Arial"/>
                <w:sz w:val="13"/>
                <w:szCs w:val="13"/>
                <w:i w:val="1"/>
                <w:iCs w:val="1"/>
                <w:color w:val="auto"/>
              </w:rPr>
              <w:t>In millions</w:t>
            </w: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405.5</w:t>
            </w: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382.4</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809.4</w:t>
            </w: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756.1</w:t>
            </w:r>
          </w:p>
        </w:tc>
      </w:tr>
      <w:tr>
        <w:trPr>
          <w:trHeight w:val="212"/>
        </w:trPr>
        <w:tc>
          <w:tcPr>
            <w:tcW w:w="2980" w:type="dxa"/>
            <w:vAlign w:val="bottom"/>
            <w:gridSpan w:val="2"/>
          </w:tcPr>
          <w:p>
            <w:pPr>
              <w:ind w:left="140"/>
              <w:spacing w:after="0"/>
              <w:rPr>
                <w:sz w:val="20"/>
                <w:szCs w:val="20"/>
                <w:color w:val="auto"/>
              </w:rPr>
            </w:pPr>
            <w:r>
              <w:rPr>
                <w:rFonts w:ascii="Arial" w:cs="Arial" w:eastAsia="Arial" w:hAnsi="Arial"/>
                <w:sz w:val="13"/>
                <w:szCs w:val="13"/>
                <w:i w:val="1"/>
                <w:iCs w:val="1"/>
                <w:color w:val="auto"/>
              </w:rPr>
              <w:t>Per share</w:t>
            </w:r>
          </w:p>
        </w:tc>
        <w:tc>
          <w:tcPr>
            <w:tcW w:w="20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2.36</w:t>
            </w:r>
          </w:p>
        </w:tc>
        <w:tc>
          <w:tcPr>
            <w:tcW w:w="40" w:type="dxa"/>
            <w:vAlign w:val="bottom"/>
          </w:tcPr>
          <w:p>
            <w:pPr>
              <w:spacing w:after="0"/>
              <w:rPr>
                <w:sz w:val="18"/>
                <w:szCs w:val="18"/>
                <w:color w:val="auto"/>
              </w:rPr>
            </w:pPr>
          </w:p>
        </w:tc>
        <w:tc>
          <w:tcPr>
            <w:tcW w:w="26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2.24</w:t>
            </w:r>
          </w:p>
        </w:tc>
        <w:tc>
          <w:tcPr>
            <w:tcW w:w="12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4.71</w:t>
            </w:r>
          </w:p>
        </w:tc>
        <w:tc>
          <w:tcPr>
            <w:tcW w:w="60" w:type="dxa"/>
            <w:vAlign w:val="bottom"/>
          </w:tcPr>
          <w:p>
            <w:pPr>
              <w:spacing w:after="0"/>
              <w:rPr>
                <w:sz w:val="18"/>
                <w:szCs w:val="18"/>
                <w:color w:val="auto"/>
              </w:rPr>
            </w:pPr>
          </w:p>
        </w:tc>
        <w:tc>
          <w:tcPr>
            <w:tcW w:w="26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4.43</w:t>
            </w:r>
          </w:p>
        </w:tc>
      </w:tr>
    </w:tbl>
    <w:p>
      <w:pPr>
        <w:spacing w:after="0" w:line="218" w:lineRule="exact"/>
        <w:rPr>
          <w:sz w:val="20"/>
          <w:szCs w:val="20"/>
          <w:color w:val="auto"/>
        </w:rPr>
      </w:pPr>
    </w:p>
    <w:p>
      <w:pPr>
        <w:ind w:left="640" w:right="719" w:firstLine="516"/>
        <w:spacing w:after="0" w:line="265" w:lineRule="auto"/>
        <w:rPr>
          <w:sz w:val="20"/>
          <w:szCs w:val="20"/>
          <w:color w:val="auto"/>
        </w:rPr>
      </w:pPr>
      <w:r>
        <w:rPr>
          <w:rFonts w:ascii="Arial" w:cs="Arial" w:eastAsia="Arial" w:hAnsi="Arial"/>
          <w:sz w:val="13"/>
          <w:szCs w:val="13"/>
          <w:color w:val="auto"/>
        </w:rPr>
        <w:t>For additional information, refer to “Funds from operations and funds from operations, as adjusted, attributable to Alexandria Real Estate Equities, Inc.’s common stockholders” under “Definitions and reconciliations” and to the tabular presentation of these items in “Results of operations” in Item 2.</w:t>
      </w:r>
    </w:p>
    <w:p>
      <w:pPr>
        <w:sectPr>
          <w:pgSz w:w="11900" w:h="16838" w:orient="portrait"/>
          <w:cols w:equalWidth="0" w:num="1">
            <w:col w:w="9019"/>
          </w:cols>
          <w:pgMar w:left="1440" w:top="118" w:right="1440" w:bottom="0" w:gutter="0" w:footer="0" w:header="0"/>
        </w:sectPr>
      </w:pPr>
    </w:p>
    <w:bookmarkStart w:id="31" w:name="page32"/>
    <w:bookmarkEnd w:id="31"/>
    <w:p>
      <w:pPr>
        <w:jc w:val="center"/>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982345</wp:posOffset>
            </wp:positionH>
            <wp:positionV relativeFrom="page">
              <wp:posOffset>88900</wp:posOffset>
            </wp:positionV>
            <wp:extent cx="5584190" cy="65087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584190" cy="650875"/>
                    </a:xfrm>
                    <a:prstGeom prst="rect">
                      <a:avLst/>
                    </a:prstGeom>
                    <a:noFill/>
                  </pic:spPr>
                </pic:pic>
              </a:graphicData>
            </a:graphic>
          </wp:anchor>
        </w:drawing>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188595</wp:posOffset>
            </wp:positionV>
            <wp:extent cx="5584190" cy="72205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40" w:right="659"/>
        <w:spacing w:after="0" w:line="268" w:lineRule="auto"/>
        <w:rPr>
          <w:sz w:val="20"/>
          <w:szCs w:val="20"/>
          <w:color w:val="auto"/>
        </w:rPr>
      </w:pPr>
      <w:r>
        <w:rPr>
          <w:rFonts w:ascii="Arial" w:cs="Arial" w:eastAsia="Arial" w:hAnsi="Arial"/>
          <w:sz w:val="13"/>
          <w:szCs w:val="13"/>
          <w:i w:val="1"/>
          <w:iCs w:val="1"/>
          <w:u w:val="single" w:color="auto"/>
          <w:color w:val="auto"/>
        </w:rPr>
        <w:t>An operationally excellent, industry-leading REIT with a high-quality, diverse client base to support growing revenues, stable cash flows, and strong margins</w:t>
      </w:r>
    </w:p>
    <w:p>
      <w:pPr>
        <w:spacing w:after="0" w:line="147" w:lineRule="exact"/>
        <w:rPr>
          <w:sz w:val="20"/>
          <w:szCs w:val="20"/>
          <w:color w:val="auto"/>
        </w:rPr>
      </w:pPr>
    </w:p>
    <w:tbl>
      <w:tblPr>
        <w:tblLayout w:type="fixed"/>
        <w:tblInd w:w="640" w:type="dxa"/>
        <w:tblCellMar>
          <w:top w:w="0" w:type="dxa"/>
          <w:left w:w="0" w:type="dxa"/>
          <w:bottom w:w="0" w:type="dxa"/>
          <w:right w:w="0" w:type="dxa"/>
        </w:tblCellMar>
      </w:tblPr>
      <w:tr>
        <w:trPr>
          <w:trHeight w:val="204"/>
        </w:trPr>
        <w:tc>
          <w:tcPr>
            <w:tcW w:w="6420" w:type="dxa"/>
            <w:vAlign w:val="bottom"/>
            <w:shd w:val="clear" w:color="auto" w:fill="CCEEFF"/>
          </w:tcPr>
          <w:p>
            <w:pPr>
              <w:ind w:left="40"/>
              <w:spacing w:after="0"/>
              <w:rPr>
                <w:sz w:val="20"/>
                <w:szCs w:val="20"/>
                <w:color w:val="auto"/>
              </w:rPr>
            </w:pPr>
            <w:r>
              <w:rPr>
                <w:rFonts w:ascii="Arial" w:cs="Arial" w:eastAsia="Arial" w:hAnsi="Arial"/>
                <w:sz w:val="13"/>
                <w:szCs w:val="13"/>
                <w:i w:val="1"/>
                <w:iCs w:val="1"/>
                <w:color w:val="auto"/>
              </w:rPr>
              <w:t>(As of June 30, 2024, unless stated otherwise)</w:t>
            </w:r>
          </w:p>
        </w:tc>
        <w:tc>
          <w:tcPr>
            <w:tcW w:w="8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r>
      <w:tr>
        <w:trPr>
          <w:trHeight w:val="204"/>
        </w:trPr>
        <w:tc>
          <w:tcPr>
            <w:tcW w:w="6420" w:type="dxa"/>
            <w:vAlign w:val="bottom"/>
          </w:tcPr>
          <w:p>
            <w:pPr>
              <w:ind w:left="40"/>
              <w:spacing w:after="0"/>
              <w:rPr>
                <w:sz w:val="20"/>
                <w:szCs w:val="20"/>
                <w:color w:val="auto"/>
              </w:rPr>
            </w:pPr>
            <w:r>
              <w:rPr>
                <w:rFonts w:ascii="Arial" w:cs="Arial" w:eastAsia="Arial" w:hAnsi="Arial"/>
                <w:sz w:val="13"/>
                <w:szCs w:val="13"/>
                <w:color w:val="auto"/>
              </w:rPr>
              <w:t>Percentage of annual rental revenue in effect from mega campuses</w:t>
            </w:r>
          </w:p>
        </w:tc>
        <w:tc>
          <w:tcPr>
            <w:tcW w:w="860" w:type="dxa"/>
            <w:vAlign w:val="bottom"/>
          </w:tcPr>
          <w:p>
            <w:pPr>
              <w:jc w:val="right"/>
              <w:ind w:right="16"/>
              <w:spacing w:after="0"/>
              <w:rPr>
                <w:sz w:val="20"/>
                <w:szCs w:val="20"/>
                <w:color w:val="auto"/>
              </w:rPr>
            </w:pPr>
            <w:r>
              <w:rPr>
                <w:rFonts w:ascii="Arial" w:cs="Arial" w:eastAsia="Arial" w:hAnsi="Arial"/>
                <w:sz w:val="13"/>
                <w:szCs w:val="13"/>
                <w:color w:val="auto"/>
              </w:rPr>
              <w:t>74%</w:t>
            </w:r>
          </w:p>
        </w:tc>
        <w:tc>
          <w:tcPr>
            <w:tcW w:w="460" w:type="dxa"/>
            <w:vAlign w:val="bottom"/>
          </w:tcPr>
          <w:p>
            <w:pPr>
              <w:spacing w:after="0"/>
              <w:rPr>
                <w:sz w:val="17"/>
                <w:szCs w:val="17"/>
                <w:color w:val="auto"/>
              </w:rPr>
            </w:pPr>
          </w:p>
        </w:tc>
      </w:tr>
      <w:tr>
        <w:trPr>
          <w:trHeight w:val="204"/>
        </w:trPr>
        <w:tc>
          <w:tcPr>
            <w:tcW w:w="6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Percentage of annual rental revenue in effect from investment-grade or publicly traded large cap tenants</w:t>
            </w:r>
          </w:p>
        </w:tc>
        <w:tc>
          <w:tcPr>
            <w:tcW w:w="8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53%</w:t>
            </w:r>
          </w:p>
        </w:tc>
        <w:tc>
          <w:tcPr>
            <w:tcW w:w="460" w:type="dxa"/>
            <w:vAlign w:val="bottom"/>
            <w:shd w:val="clear" w:color="auto" w:fill="CCEEFF"/>
          </w:tcPr>
          <w:p>
            <w:pPr>
              <w:spacing w:after="0"/>
              <w:rPr>
                <w:sz w:val="17"/>
                <w:szCs w:val="17"/>
                <w:color w:val="auto"/>
              </w:rPr>
            </w:pPr>
          </w:p>
        </w:tc>
      </w:tr>
      <w:tr>
        <w:trPr>
          <w:trHeight w:val="226"/>
        </w:trPr>
        <w:tc>
          <w:tcPr>
            <w:tcW w:w="64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204"/>
        </w:trPr>
        <w:tc>
          <w:tcPr>
            <w:tcW w:w="6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Sustained strength in tenant collections:</w:t>
            </w:r>
          </w:p>
        </w:tc>
        <w:tc>
          <w:tcPr>
            <w:tcW w:w="8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r>
      <w:tr>
        <w:trPr>
          <w:trHeight w:val="204"/>
        </w:trPr>
        <w:tc>
          <w:tcPr>
            <w:tcW w:w="6420" w:type="dxa"/>
            <w:vAlign w:val="bottom"/>
          </w:tcPr>
          <w:p>
            <w:pPr>
              <w:ind w:left="160"/>
              <w:spacing w:after="0"/>
              <w:rPr>
                <w:sz w:val="20"/>
                <w:szCs w:val="20"/>
                <w:color w:val="auto"/>
              </w:rPr>
            </w:pPr>
            <w:r>
              <w:rPr>
                <w:rFonts w:ascii="Arial" w:cs="Arial" w:eastAsia="Arial" w:hAnsi="Arial"/>
                <w:sz w:val="13"/>
                <w:szCs w:val="13"/>
                <w:color w:val="auto"/>
              </w:rPr>
              <w:t>Tenant receivables as a percentage of rental revenues for the three months ended June 30, 2024</w:t>
            </w:r>
          </w:p>
        </w:tc>
        <w:tc>
          <w:tcPr>
            <w:tcW w:w="860" w:type="dxa"/>
            <w:vAlign w:val="bottom"/>
          </w:tcPr>
          <w:p>
            <w:pPr>
              <w:jc w:val="right"/>
              <w:spacing w:after="0"/>
              <w:rPr>
                <w:sz w:val="20"/>
                <w:szCs w:val="20"/>
                <w:color w:val="auto"/>
              </w:rPr>
            </w:pPr>
            <w:r>
              <w:rPr>
                <w:rFonts w:ascii="Arial" w:cs="Arial" w:eastAsia="Arial" w:hAnsi="Arial"/>
                <w:sz w:val="13"/>
                <w:szCs w:val="13"/>
                <w:color w:val="auto"/>
              </w:rPr>
              <w:t>0.9 %</w:t>
            </w:r>
          </w:p>
        </w:tc>
        <w:tc>
          <w:tcPr>
            <w:tcW w:w="460" w:type="dxa"/>
            <w:vAlign w:val="bottom"/>
          </w:tcPr>
          <w:p>
            <w:pPr>
              <w:spacing w:after="0"/>
              <w:rPr>
                <w:sz w:val="17"/>
                <w:szCs w:val="17"/>
                <w:color w:val="auto"/>
              </w:rPr>
            </w:pPr>
          </w:p>
        </w:tc>
      </w:tr>
      <w:tr>
        <w:trPr>
          <w:trHeight w:val="204"/>
        </w:trPr>
        <w:tc>
          <w:tcPr>
            <w:tcW w:w="64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July 2024 tenant rents and receivables collected as of the date of this report</w:t>
            </w:r>
          </w:p>
        </w:tc>
        <w:tc>
          <w:tcPr>
            <w:tcW w:w="8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99.7%</w:t>
            </w:r>
          </w:p>
        </w:tc>
        <w:tc>
          <w:tcPr>
            <w:tcW w:w="460" w:type="dxa"/>
            <w:vAlign w:val="bottom"/>
            <w:shd w:val="clear" w:color="auto" w:fill="CCEEFF"/>
          </w:tcPr>
          <w:p>
            <w:pPr>
              <w:spacing w:after="0"/>
              <w:rPr>
                <w:sz w:val="17"/>
                <w:szCs w:val="17"/>
                <w:color w:val="auto"/>
              </w:rPr>
            </w:pPr>
          </w:p>
        </w:tc>
      </w:tr>
      <w:tr>
        <w:trPr>
          <w:trHeight w:val="172"/>
        </w:trPr>
        <w:tc>
          <w:tcPr>
            <w:tcW w:w="6420" w:type="dxa"/>
            <w:vAlign w:val="bottom"/>
          </w:tcPr>
          <w:p>
            <w:pPr>
              <w:ind w:left="160"/>
              <w:spacing w:after="0"/>
              <w:rPr>
                <w:sz w:val="20"/>
                <w:szCs w:val="20"/>
                <w:color w:val="auto"/>
              </w:rPr>
            </w:pPr>
            <w:r>
              <w:rPr>
                <w:rFonts w:ascii="Arial" w:cs="Arial" w:eastAsia="Arial" w:hAnsi="Arial"/>
                <w:sz w:val="13"/>
                <w:szCs w:val="13"/>
                <w:color w:val="auto"/>
              </w:rPr>
              <w:t>Tenant rents and receivables for the three months ended June 30, 2024 collected as of the date of this</w:t>
            </w:r>
          </w:p>
        </w:tc>
        <w:tc>
          <w:tcPr>
            <w:tcW w:w="860" w:type="dxa"/>
            <w:vAlign w:val="bottom"/>
          </w:tcPr>
          <w:p>
            <w:pPr>
              <w:jc w:val="right"/>
              <w:ind w:right="16"/>
              <w:spacing w:after="0"/>
              <w:rPr>
                <w:sz w:val="20"/>
                <w:szCs w:val="20"/>
                <w:color w:val="auto"/>
              </w:rPr>
            </w:pPr>
            <w:r>
              <w:rPr>
                <w:rFonts w:ascii="Arial" w:cs="Arial" w:eastAsia="Arial" w:hAnsi="Arial"/>
                <w:sz w:val="13"/>
                <w:szCs w:val="13"/>
                <w:color w:val="auto"/>
              </w:rPr>
              <w:t>99.9%</w:t>
            </w:r>
          </w:p>
        </w:tc>
        <w:tc>
          <w:tcPr>
            <w:tcW w:w="460" w:type="dxa"/>
            <w:vAlign w:val="bottom"/>
          </w:tcPr>
          <w:p>
            <w:pPr>
              <w:spacing w:after="0"/>
              <w:rPr>
                <w:sz w:val="14"/>
                <w:szCs w:val="14"/>
                <w:color w:val="auto"/>
              </w:rPr>
            </w:pPr>
          </w:p>
        </w:tc>
      </w:tr>
      <w:tr>
        <w:trPr>
          <w:trHeight w:val="161"/>
        </w:trPr>
        <w:tc>
          <w:tcPr>
            <w:tcW w:w="6420" w:type="dxa"/>
            <w:vAlign w:val="bottom"/>
          </w:tcPr>
          <w:p>
            <w:pPr>
              <w:ind w:left="300"/>
              <w:spacing w:after="0"/>
              <w:rPr>
                <w:sz w:val="20"/>
                <w:szCs w:val="20"/>
                <w:color w:val="auto"/>
              </w:rPr>
            </w:pPr>
            <w:r>
              <w:rPr>
                <w:rFonts w:ascii="Arial" w:cs="Arial" w:eastAsia="Arial" w:hAnsi="Arial"/>
                <w:sz w:val="13"/>
                <w:szCs w:val="13"/>
                <w:color w:val="auto"/>
              </w:rPr>
              <w:t>report</w:t>
            </w:r>
          </w:p>
        </w:tc>
        <w:tc>
          <w:tcPr>
            <w:tcW w:w="860" w:type="dxa"/>
            <w:vAlign w:val="bottom"/>
          </w:tcPr>
          <w:p>
            <w:pPr>
              <w:spacing w:after="0"/>
              <w:rPr>
                <w:sz w:val="13"/>
                <w:szCs w:val="13"/>
                <w:color w:val="auto"/>
              </w:rPr>
            </w:pPr>
          </w:p>
        </w:tc>
        <w:tc>
          <w:tcPr>
            <w:tcW w:w="460" w:type="dxa"/>
            <w:vAlign w:val="bottom"/>
          </w:tcPr>
          <w:p>
            <w:pPr>
              <w:spacing w:after="0"/>
              <w:rPr>
                <w:sz w:val="13"/>
                <w:szCs w:val="13"/>
                <w:color w:val="auto"/>
              </w:rPr>
            </w:pPr>
          </w:p>
        </w:tc>
      </w:tr>
      <w:tr>
        <w:trPr>
          <w:trHeight w:val="226"/>
        </w:trPr>
        <w:tc>
          <w:tcPr>
            <w:tcW w:w="64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r>
      <w:tr>
        <w:trPr>
          <w:trHeight w:val="204"/>
        </w:trPr>
        <w:tc>
          <w:tcPr>
            <w:tcW w:w="6420" w:type="dxa"/>
            <w:vAlign w:val="bottom"/>
          </w:tcPr>
          <w:p>
            <w:pPr>
              <w:ind w:left="40"/>
              <w:spacing w:after="0"/>
              <w:rPr>
                <w:sz w:val="20"/>
                <w:szCs w:val="20"/>
                <w:color w:val="auto"/>
              </w:rPr>
            </w:pPr>
            <w:r>
              <w:rPr>
                <w:rFonts w:ascii="Arial" w:cs="Arial" w:eastAsia="Arial" w:hAnsi="Arial"/>
                <w:sz w:val="13"/>
                <w:szCs w:val="13"/>
                <w:color w:val="auto"/>
              </w:rPr>
              <w:t>Occupancy of operating properties in North America</w:t>
            </w:r>
          </w:p>
        </w:tc>
        <w:tc>
          <w:tcPr>
            <w:tcW w:w="860" w:type="dxa"/>
            <w:vAlign w:val="bottom"/>
          </w:tcPr>
          <w:p>
            <w:pPr>
              <w:jc w:val="right"/>
              <w:ind w:right="16"/>
              <w:spacing w:after="0"/>
              <w:rPr>
                <w:sz w:val="20"/>
                <w:szCs w:val="20"/>
                <w:color w:val="auto"/>
              </w:rPr>
            </w:pPr>
            <w:r>
              <w:rPr>
                <w:rFonts w:ascii="Arial" w:cs="Arial" w:eastAsia="Arial" w:hAnsi="Arial"/>
                <w:sz w:val="13"/>
                <w:szCs w:val="13"/>
                <w:color w:val="auto"/>
              </w:rPr>
              <w:t>94.6%</w:t>
            </w:r>
          </w:p>
        </w:tc>
        <w:tc>
          <w:tcPr>
            <w:tcW w:w="460" w:type="dxa"/>
            <w:vAlign w:val="bottom"/>
          </w:tcPr>
          <w:p>
            <w:pPr>
              <w:spacing w:after="0"/>
              <w:rPr>
                <w:sz w:val="17"/>
                <w:szCs w:val="17"/>
                <w:color w:val="auto"/>
              </w:rPr>
            </w:pPr>
          </w:p>
        </w:tc>
      </w:tr>
      <w:tr>
        <w:trPr>
          <w:trHeight w:val="204"/>
        </w:trPr>
        <w:tc>
          <w:tcPr>
            <w:tcW w:w="6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Adjusted EBITDA margin for the three months ended June 30, 2024</w:t>
            </w:r>
          </w:p>
        </w:tc>
        <w:tc>
          <w:tcPr>
            <w:tcW w:w="8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72%</w:t>
            </w:r>
          </w:p>
        </w:tc>
        <w:tc>
          <w:tcPr>
            <w:tcW w:w="460" w:type="dxa"/>
            <w:vAlign w:val="bottom"/>
            <w:shd w:val="clear" w:color="auto" w:fill="CCEEFF"/>
          </w:tcPr>
          <w:p>
            <w:pPr>
              <w:spacing w:after="0"/>
              <w:rPr>
                <w:sz w:val="17"/>
                <w:szCs w:val="17"/>
                <w:color w:val="auto"/>
              </w:rPr>
            </w:pPr>
          </w:p>
        </w:tc>
      </w:tr>
      <w:tr>
        <w:trPr>
          <w:trHeight w:val="204"/>
        </w:trPr>
        <w:tc>
          <w:tcPr>
            <w:tcW w:w="6420" w:type="dxa"/>
            <w:vAlign w:val="bottom"/>
          </w:tcPr>
          <w:p>
            <w:pPr>
              <w:ind w:left="40"/>
              <w:spacing w:after="0"/>
              <w:rPr>
                <w:sz w:val="20"/>
                <w:szCs w:val="20"/>
                <w:color w:val="auto"/>
              </w:rPr>
            </w:pPr>
            <w:r>
              <w:rPr>
                <w:rFonts w:ascii="Arial" w:cs="Arial" w:eastAsia="Arial" w:hAnsi="Arial"/>
                <w:sz w:val="13"/>
                <w:szCs w:val="13"/>
                <w:color w:val="auto"/>
              </w:rPr>
              <w:t>Percentage of leases containing annual rent escalations</w:t>
            </w:r>
          </w:p>
        </w:tc>
        <w:tc>
          <w:tcPr>
            <w:tcW w:w="860" w:type="dxa"/>
            <w:vAlign w:val="bottom"/>
          </w:tcPr>
          <w:p>
            <w:pPr>
              <w:jc w:val="right"/>
              <w:ind w:right="16"/>
              <w:spacing w:after="0"/>
              <w:rPr>
                <w:sz w:val="20"/>
                <w:szCs w:val="20"/>
                <w:color w:val="auto"/>
              </w:rPr>
            </w:pPr>
            <w:r>
              <w:rPr>
                <w:rFonts w:ascii="Arial" w:cs="Arial" w:eastAsia="Arial" w:hAnsi="Arial"/>
                <w:sz w:val="13"/>
                <w:szCs w:val="13"/>
                <w:color w:val="auto"/>
              </w:rPr>
              <w:t>96%</w:t>
            </w:r>
          </w:p>
        </w:tc>
        <w:tc>
          <w:tcPr>
            <w:tcW w:w="460" w:type="dxa"/>
            <w:vAlign w:val="bottom"/>
          </w:tcPr>
          <w:p>
            <w:pPr>
              <w:spacing w:after="0"/>
              <w:rPr>
                <w:sz w:val="17"/>
                <w:szCs w:val="17"/>
                <w:color w:val="auto"/>
              </w:rPr>
            </w:pPr>
          </w:p>
        </w:tc>
      </w:tr>
      <w:tr>
        <w:trPr>
          <w:trHeight w:val="226"/>
        </w:trPr>
        <w:tc>
          <w:tcPr>
            <w:tcW w:w="64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r>
      <w:tr>
        <w:trPr>
          <w:trHeight w:val="204"/>
        </w:trPr>
        <w:tc>
          <w:tcPr>
            <w:tcW w:w="6420" w:type="dxa"/>
            <w:vAlign w:val="bottom"/>
          </w:tcPr>
          <w:p>
            <w:pPr>
              <w:ind w:left="40"/>
              <w:spacing w:after="0"/>
              <w:rPr>
                <w:sz w:val="20"/>
                <w:szCs w:val="20"/>
                <w:color w:val="auto"/>
              </w:rPr>
            </w:pPr>
            <w:r>
              <w:rPr>
                <w:rFonts w:ascii="Arial" w:cs="Arial" w:eastAsia="Arial" w:hAnsi="Arial"/>
                <w:sz w:val="13"/>
                <w:szCs w:val="13"/>
                <w:color w:val="auto"/>
              </w:rPr>
              <w:t>Weighted-average remaining lease term:</w:t>
            </w:r>
          </w:p>
        </w:tc>
        <w:tc>
          <w:tcPr>
            <w:tcW w:w="86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04"/>
        </w:trPr>
        <w:tc>
          <w:tcPr>
            <w:tcW w:w="64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Top 20 tenants</w:t>
            </w:r>
          </w:p>
        </w:tc>
        <w:tc>
          <w:tcPr>
            <w:tcW w:w="86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9.4</w:t>
            </w:r>
          </w:p>
        </w:tc>
        <w:tc>
          <w:tcPr>
            <w:tcW w:w="460" w:type="dxa"/>
            <w:vAlign w:val="bottom"/>
            <w:shd w:val="clear" w:color="auto" w:fill="CCEEFF"/>
          </w:tcPr>
          <w:p>
            <w:pPr>
              <w:ind w:left="20"/>
              <w:spacing w:after="0"/>
              <w:rPr>
                <w:sz w:val="20"/>
                <w:szCs w:val="20"/>
                <w:color w:val="auto"/>
              </w:rPr>
            </w:pPr>
            <w:r>
              <w:rPr>
                <w:rFonts w:ascii="Arial" w:cs="Arial" w:eastAsia="Arial" w:hAnsi="Arial"/>
                <w:sz w:val="13"/>
                <w:szCs w:val="13"/>
                <w:color w:val="auto"/>
              </w:rPr>
              <w:t>years</w:t>
            </w:r>
          </w:p>
        </w:tc>
      </w:tr>
      <w:tr>
        <w:trPr>
          <w:trHeight w:val="212"/>
        </w:trPr>
        <w:tc>
          <w:tcPr>
            <w:tcW w:w="6420" w:type="dxa"/>
            <w:vAlign w:val="bottom"/>
          </w:tcPr>
          <w:p>
            <w:pPr>
              <w:ind w:left="200"/>
              <w:spacing w:after="0"/>
              <w:rPr>
                <w:sz w:val="20"/>
                <w:szCs w:val="20"/>
                <w:color w:val="auto"/>
              </w:rPr>
            </w:pPr>
            <w:r>
              <w:rPr>
                <w:rFonts w:ascii="Arial" w:cs="Arial" w:eastAsia="Arial" w:hAnsi="Arial"/>
                <w:sz w:val="13"/>
                <w:szCs w:val="13"/>
                <w:color w:val="auto"/>
              </w:rPr>
              <w:t>All tenants</w:t>
            </w:r>
          </w:p>
        </w:tc>
        <w:tc>
          <w:tcPr>
            <w:tcW w:w="860" w:type="dxa"/>
            <w:vAlign w:val="bottom"/>
          </w:tcPr>
          <w:p>
            <w:pPr>
              <w:jc w:val="right"/>
              <w:ind w:right="36"/>
              <w:spacing w:after="0"/>
              <w:rPr>
                <w:sz w:val="20"/>
                <w:szCs w:val="20"/>
                <w:color w:val="auto"/>
              </w:rPr>
            </w:pPr>
            <w:r>
              <w:rPr>
                <w:rFonts w:ascii="Arial" w:cs="Arial" w:eastAsia="Arial" w:hAnsi="Arial"/>
                <w:sz w:val="13"/>
                <w:szCs w:val="13"/>
                <w:color w:val="auto"/>
              </w:rPr>
              <w:t>7.4</w:t>
            </w:r>
          </w:p>
        </w:tc>
        <w:tc>
          <w:tcPr>
            <w:tcW w:w="460" w:type="dxa"/>
            <w:vAlign w:val="bottom"/>
          </w:tcPr>
          <w:p>
            <w:pPr>
              <w:ind w:left="20"/>
              <w:spacing w:after="0"/>
              <w:rPr>
                <w:sz w:val="20"/>
                <w:szCs w:val="20"/>
                <w:color w:val="auto"/>
              </w:rPr>
            </w:pPr>
            <w:r>
              <w:rPr>
                <w:rFonts w:ascii="Arial" w:cs="Arial" w:eastAsia="Arial" w:hAnsi="Arial"/>
                <w:sz w:val="13"/>
                <w:szCs w:val="13"/>
                <w:color w:val="auto"/>
              </w:rPr>
              <w:t>years</w:t>
            </w:r>
          </w:p>
        </w:tc>
      </w:tr>
    </w:tbl>
    <w:p>
      <w:pPr>
        <w:spacing w:after="0" w:line="199" w:lineRule="exact"/>
        <w:rPr>
          <w:sz w:val="20"/>
          <w:szCs w:val="20"/>
          <w:color w:val="auto"/>
        </w:rPr>
      </w:pPr>
    </w:p>
    <w:p>
      <w:pPr>
        <w:ind w:left="640"/>
        <w:spacing w:after="0"/>
        <w:rPr>
          <w:sz w:val="20"/>
          <w:szCs w:val="20"/>
          <w:color w:val="auto"/>
        </w:rPr>
      </w:pPr>
      <w:r>
        <w:rPr>
          <w:rFonts w:ascii="Arial" w:cs="Arial" w:eastAsia="Arial" w:hAnsi="Arial"/>
          <w:sz w:val="13"/>
          <w:szCs w:val="13"/>
          <w:i w:val="1"/>
          <w:iCs w:val="1"/>
          <w:u w:val="single" w:color="auto"/>
          <w:color w:val="auto"/>
        </w:rPr>
        <w:t>Strong leasing volume and solid rental rate increases</w:t>
      </w:r>
    </w:p>
    <w:p>
      <w:pPr>
        <w:spacing w:after="0" w:line="181" w:lineRule="exact"/>
        <w:rPr>
          <w:sz w:val="20"/>
          <w:szCs w:val="20"/>
          <w:color w:val="auto"/>
        </w:rPr>
      </w:pPr>
    </w:p>
    <w:p>
      <w:pPr>
        <w:ind w:left="1160" w:hanging="264"/>
        <w:spacing w:after="0"/>
        <w:tabs>
          <w:tab w:leader="none" w:pos="1160" w:val="left"/>
        </w:tabs>
        <w:numPr>
          <w:ilvl w:val="0"/>
          <w:numId w:val="62"/>
        </w:numPr>
        <w:rPr>
          <w:rFonts w:ascii="Arial" w:cs="Arial" w:eastAsia="Arial" w:hAnsi="Arial"/>
          <w:sz w:val="12"/>
          <w:szCs w:val="12"/>
          <w:color w:val="auto"/>
        </w:rPr>
      </w:pPr>
      <w:r>
        <w:rPr>
          <w:rFonts w:ascii="Arial" w:cs="Arial" w:eastAsia="Arial" w:hAnsi="Arial"/>
          <w:sz w:val="13"/>
          <w:szCs w:val="13"/>
          <w:color w:val="auto"/>
        </w:rPr>
        <w:t>Strong leasing volume aggregating 1.1 million RSF for the three months ended June 30, 2024.</w:t>
      </w:r>
    </w:p>
    <w:p>
      <w:pPr>
        <w:spacing w:after="0" w:line="12" w:lineRule="exact"/>
        <w:rPr>
          <w:rFonts w:ascii="Arial" w:cs="Arial" w:eastAsia="Arial" w:hAnsi="Arial"/>
          <w:sz w:val="12"/>
          <w:szCs w:val="12"/>
          <w:color w:val="auto"/>
        </w:rPr>
      </w:pPr>
    </w:p>
    <w:p>
      <w:pPr>
        <w:ind w:left="1160" w:right="859" w:hanging="264"/>
        <w:spacing w:after="0" w:line="249" w:lineRule="auto"/>
        <w:tabs>
          <w:tab w:leader="none" w:pos="1160" w:val="left"/>
        </w:tabs>
        <w:numPr>
          <w:ilvl w:val="0"/>
          <w:numId w:val="62"/>
        </w:numPr>
        <w:rPr>
          <w:rFonts w:ascii="Arial" w:cs="Arial" w:eastAsia="Arial" w:hAnsi="Arial"/>
          <w:sz w:val="12"/>
          <w:szCs w:val="12"/>
          <w:color w:val="auto"/>
        </w:rPr>
      </w:pPr>
      <w:r>
        <w:rPr>
          <w:rFonts w:ascii="Arial" w:cs="Arial" w:eastAsia="Arial" w:hAnsi="Arial"/>
          <w:sz w:val="13"/>
          <w:szCs w:val="13"/>
          <w:color w:val="auto"/>
        </w:rPr>
        <w:t>Solid rental rate increases of 7.4% and 3.7% (cash basis) for the three months ended June 30, 2024 and 26.2% and 15.0% (cash basis) for the six months ended June 30, 2024.</w:t>
      </w:r>
    </w:p>
    <w:p>
      <w:pPr>
        <w:spacing w:after="0" w:line="1" w:lineRule="exact"/>
        <w:rPr>
          <w:rFonts w:ascii="Arial" w:cs="Arial" w:eastAsia="Arial" w:hAnsi="Arial"/>
          <w:sz w:val="12"/>
          <w:szCs w:val="12"/>
          <w:color w:val="auto"/>
        </w:rPr>
      </w:pPr>
    </w:p>
    <w:p>
      <w:pPr>
        <w:ind w:left="1160" w:hanging="264"/>
        <w:spacing w:after="0"/>
        <w:tabs>
          <w:tab w:leader="none" w:pos="1160" w:val="left"/>
        </w:tabs>
        <w:numPr>
          <w:ilvl w:val="0"/>
          <w:numId w:val="62"/>
        </w:numPr>
        <w:rPr>
          <w:rFonts w:ascii="Arial" w:cs="Arial" w:eastAsia="Arial" w:hAnsi="Arial"/>
          <w:sz w:val="13"/>
          <w:szCs w:val="13"/>
          <w:color w:val="auto"/>
        </w:rPr>
      </w:pPr>
      <w:r>
        <w:rPr>
          <w:rFonts w:ascii="Arial" w:cs="Arial" w:eastAsia="Arial" w:hAnsi="Arial"/>
          <w:sz w:val="13"/>
          <w:szCs w:val="13"/>
          <w:color w:val="auto"/>
        </w:rPr>
        <w:t>79% of our leasing activity during the last twelve months was generated from our existing tenant base.</w:t>
      </w:r>
    </w:p>
    <w:p>
      <w:pPr>
        <w:spacing w:after="0" w:line="53"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4200" w:type="dxa"/>
            <w:vAlign w:val="bottom"/>
          </w:tcPr>
          <w:p>
            <w:pPr>
              <w:spacing w:after="0"/>
              <w:rPr>
                <w:sz w:val="13"/>
                <w:szCs w:val="13"/>
                <w:color w:val="auto"/>
              </w:rPr>
            </w:pPr>
          </w:p>
        </w:tc>
        <w:tc>
          <w:tcPr>
            <w:tcW w:w="3080" w:type="dxa"/>
            <w:vAlign w:val="bottom"/>
            <w:tcBorders>
              <w:bottom w:val="single" w:sz="8" w:color="auto"/>
            </w:tcBorders>
            <w:gridSpan w:val="3"/>
          </w:tcPr>
          <w:p>
            <w:pPr>
              <w:jc w:val="right"/>
              <w:ind w:right="1056"/>
              <w:spacing w:after="0"/>
              <w:rPr>
                <w:sz w:val="20"/>
                <w:szCs w:val="20"/>
                <w:color w:val="auto"/>
              </w:rPr>
            </w:pPr>
            <w:r>
              <w:rPr>
                <w:rFonts w:ascii="Arial" w:cs="Arial" w:eastAsia="Arial" w:hAnsi="Arial"/>
                <w:sz w:val="13"/>
                <w:szCs w:val="13"/>
                <w:color w:val="auto"/>
              </w:rPr>
              <w:t>June 30, 2024</w:t>
            </w:r>
          </w:p>
        </w:tc>
      </w:tr>
      <w:tr>
        <w:trPr>
          <w:trHeight w:val="183"/>
        </w:trPr>
        <w:tc>
          <w:tcPr>
            <w:tcW w:w="4200" w:type="dxa"/>
            <w:vAlign w:val="bottom"/>
          </w:tcPr>
          <w:p>
            <w:pPr>
              <w:spacing w:after="0"/>
              <w:rPr>
                <w:sz w:val="15"/>
                <w:szCs w:val="15"/>
                <w:color w:val="auto"/>
              </w:rPr>
            </w:pPr>
          </w:p>
        </w:tc>
        <w:tc>
          <w:tcPr>
            <w:tcW w:w="1640" w:type="dxa"/>
            <w:vAlign w:val="bottom"/>
            <w:gridSpan w:val="2"/>
          </w:tcPr>
          <w:p>
            <w:pPr>
              <w:ind w:left="120"/>
              <w:spacing w:after="0"/>
              <w:rPr>
                <w:sz w:val="20"/>
                <w:szCs w:val="20"/>
                <w:color w:val="auto"/>
              </w:rPr>
            </w:pPr>
            <w:r>
              <w:rPr>
                <w:rFonts w:ascii="Arial" w:cs="Arial" w:eastAsia="Arial" w:hAnsi="Arial"/>
                <w:sz w:val="13"/>
                <w:szCs w:val="13"/>
                <w:color w:val="auto"/>
              </w:rPr>
              <w:t>Three Months Ended</w:t>
            </w:r>
          </w:p>
        </w:tc>
        <w:tc>
          <w:tcPr>
            <w:tcW w:w="1440" w:type="dxa"/>
            <w:vAlign w:val="bottom"/>
          </w:tcPr>
          <w:p>
            <w:pPr>
              <w:jc w:val="right"/>
              <w:ind w:right="136"/>
              <w:spacing w:after="0"/>
              <w:rPr>
                <w:sz w:val="20"/>
                <w:szCs w:val="20"/>
                <w:color w:val="auto"/>
              </w:rPr>
            </w:pPr>
            <w:r>
              <w:rPr>
                <w:rFonts w:ascii="Arial" w:cs="Arial" w:eastAsia="Arial" w:hAnsi="Arial"/>
                <w:sz w:val="13"/>
                <w:szCs w:val="13"/>
                <w:color w:val="auto"/>
              </w:rPr>
              <w:t>Six Months Ended</w:t>
            </w:r>
          </w:p>
        </w:tc>
      </w:tr>
      <w:tr>
        <w:trPr>
          <w:trHeight w:val="186"/>
        </w:trPr>
        <w:tc>
          <w:tcPr>
            <w:tcW w:w="42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Total leasing activity – RSF</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1,114,001</w:t>
            </w:r>
          </w:p>
        </w:tc>
        <w:tc>
          <w:tcPr>
            <w:tcW w:w="180" w:type="dxa"/>
            <w:vAlign w:val="bottom"/>
            <w:tcBorders>
              <w:top w:val="single" w:sz="8" w:color="CCEEFF"/>
            </w:tcBorders>
            <w:shd w:val="clear" w:color="auto" w:fill="CCEEFF"/>
          </w:tcPr>
          <w:p>
            <w:pPr>
              <w:spacing w:after="0"/>
              <w:rPr>
                <w:sz w:val="16"/>
                <w:szCs w:val="16"/>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2,256,858</w:t>
            </w:r>
          </w:p>
        </w:tc>
      </w:tr>
      <w:tr>
        <w:trPr>
          <w:trHeight w:val="204"/>
        </w:trPr>
        <w:tc>
          <w:tcPr>
            <w:tcW w:w="4200" w:type="dxa"/>
            <w:vAlign w:val="bottom"/>
          </w:tcPr>
          <w:p>
            <w:pPr>
              <w:ind w:left="40"/>
              <w:spacing w:after="0"/>
              <w:rPr>
                <w:sz w:val="20"/>
                <w:szCs w:val="20"/>
                <w:color w:val="auto"/>
              </w:rPr>
            </w:pPr>
            <w:r>
              <w:rPr>
                <w:rFonts w:ascii="Arial" w:cs="Arial" w:eastAsia="Arial" w:hAnsi="Arial"/>
                <w:sz w:val="13"/>
                <w:szCs w:val="13"/>
                <w:color w:val="auto"/>
              </w:rPr>
              <w:t>Leasing of development and redevelopment space – RSF</w:t>
            </w:r>
          </w:p>
        </w:tc>
        <w:tc>
          <w:tcPr>
            <w:tcW w:w="1460" w:type="dxa"/>
            <w:vAlign w:val="bottom"/>
          </w:tcPr>
          <w:p>
            <w:pPr>
              <w:jc w:val="right"/>
              <w:spacing w:after="0"/>
              <w:rPr>
                <w:sz w:val="20"/>
                <w:szCs w:val="20"/>
                <w:color w:val="auto"/>
              </w:rPr>
            </w:pPr>
            <w:r>
              <w:rPr>
                <w:rFonts w:ascii="Arial" w:cs="Arial" w:eastAsia="Arial" w:hAnsi="Arial"/>
                <w:sz w:val="13"/>
                <w:szCs w:val="13"/>
                <w:color w:val="auto"/>
              </w:rPr>
              <w:t>340,989</w:t>
            </w:r>
          </w:p>
        </w:tc>
        <w:tc>
          <w:tcPr>
            <w:tcW w:w="18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441,221</w:t>
            </w:r>
          </w:p>
        </w:tc>
      </w:tr>
      <w:tr>
        <w:trPr>
          <w:trHeight w:val="204"/>
        </w:trPr>
        <w:tc>
          <w:tcPr>
            <w:tcW w:w="4200" w:type="dxa"/>
            <w:vAlign w:val="bottom"/>
            <w:shd w:val="clear" w:color="auto" w:fill="CCEEFF"/>
          </w:tcPr>
          <w:p>
            <w:pPr>
              <w:ind w:left="40"/>
              <w:spacing w:after="0"/>
              <w:rPr>
                <w:sz w:val="20"/>
                <w:szCs w:val="20"/>
                <w:color w:val="auto"/>
              </w:rPr>
            </w:pPr>
            <w:r>
              <w:rPr>
                <w:rFonts w:ascii="Arial" w:cs="Arial" w:eastAsia="Arial" w:hAnsi="Arial"/>
                <w:sz w:val="13"/>
                <w:szCs w:val="13"/>
                <w:color w:val="auto"/>
              </w:rPr>
              <w:t>Lease renewals and re-leasing of space:</w:t>
            </w:r>
          </w:p>
        </w:tc>
        <w:tc>
          <w:tcPr>
            <w:tcW w:w="1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r>
      <w:tr>
        <w:trPr>
          <w:trHeight w:val="204"/>
        </w:trPr>
        <w:tc>
          <w:tcPr>
            <w:tcW w:w="4200" w:type="dxa"/>
            <w:vAlign w:val="bottom"/>
          </w:tcPr>
          <w:p>
            <w:pPr>
              <w:ind w:left="200"/>
              <w:spacing w:after="0"/>
              <w:rPr>
                <w:sz w:val="20"/>
                <w:szCs w:val="20"/>
                <w:color w:val="auto"/>
              </w:rPr>
            </w:pPr>
            <w:r>
              <w:rPr>
                <w:rFonts w:ascii="Arial" w:cs="Arial" w:eastAsia="Arial" w:hAnsi="Arial"/>
                <w:sz w:val="13"/>
                <w:szCs w:val="13"/>
                <w:color w:val="auto"/>
              </w:rPr>
              <w:t>RSF (included in total leasing activity above)</w:t>
            </w:r>
          </w:p>
        </w:tc>
        <w:tc>
          <w:tcPr>
            <w:tcW w:w="1460" w:type="dxa"/>
            <w:vAlign w:val="bottom"/>
          </w:tcPr>
          <w:p>
            <w:pPr>
              <w:jc w:val="right"/>
              <w:spacing w:after="0"/>
              <w:rPr>
                <w:sz w:val="20"/>
                <w:szCs w:val="20"/>
                <w:color w:val="auto"/>
              </w:rPr>
            </w:pPr>
            <w:r>
              <w:rPr>
                <w:rFonts w:ascii="Arial" w:cs="Arial" w:eastAsia="Arial" w:hAnsi="Arial"/>
                <w:sz w:val="13"/>
                <w:szCs w:val="13"/>
                <w:color w:val="auto"/>
              </w:rPr>
              <w:t>589,650</w:t>
            </w:r>
          </w:p>
        </w:tc>
        <w:tc>
          <w:tcPr>
            <w:tcW w:w="18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1,584,420</w:t>
            </w:r>
          </w:p>
        </w:tc>
      </w:tr>
      <w:tr>
        <w:trPr>
          <w:trHeight w:val="204"/>
        </w:trPr>
        <w:tc>
          <w:tcPr>
            <w:tcW w:w="42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Rental rate increase</w:t>
            </w: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w:t>
            </w:r>
          </w:p>
        </w:tc>
        <w:tc>
          <w:tcPr>
            <w:tcW w:w="18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26.2%</w:t>
            </w:r>
          </w:p>
        </w:tc>
      </w:tr>
      <w:tr>
        <w:trPr>
          <w:trHeight w:val="212"/>
        </w:trPr>
        <w:tc>
          <w:tcPr>
            <w:tcW w:w="4200" w:type="dxa"/>
            <w:vAlign w:val="bottom"/>
          </w:tcPr>
          <w:p>
            <w:pPr>
              <w:ind w:left="200"/>
              <w:spacing w:after="0"/>
              <w:rPr>
                <w:sz w:val="20"/>
                <w:szCs w:val="20"/>
                <w:color w:val="auto"/>
              </w:rPr>
            </w:pPr>
            <w:r>
              <w:rPr>
                <w:rFonts w:ascii="Arial" w:cs="Arial" w:eastAsia="Arial" w:hAnsi="Arial"/>
                <w:sz w:val="13"/>
                <w:szCs w:val="13"/>
                <w:color w:val="auto"/>
              </w:rPr>
              <w:t>Rental rate increase (cash basis)</w:t>
            </w:r>
          </w:p>
        </w:tc>
        <w:tc>
          <w:tcPr>
            <w:tcW w:w="1460" w:type="dxa"/>
            <w:vAlign w:val="bottom"/>
          </w:tcPr>
          <w:p>
            <w:pPr>
              <w:jc w:val="right"/>
              <w:spacing w:after="0"/>
              <w:rPr>
                <w:sz w:val="20"/>
                <w:szCs w:val="20"/>
                <w:color w:val="auto"/>
              </w:rPr>
            </w:pPr>
            <w:r>
              <w:rPr>
                <w:rFonts w:ascii="Arial" w:cs="Arial" w:eastAsia="Arial" w:hAnsi="Arial"/>
                <w:sz w:val="13"/>
                <w:szCs w:val="13"/>
                <w:color w:val="auto"/>
              </w:rPr>
              <w:t>3.7%</w:t>
            </w: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15.0%</w:t>
            </w:r>
          </w:p>
        </w:tc>
      </w:tr>
    </w:tbl>
    <w:p>
      <w:pPr>
        <w:spacing w:after="0" w:line="252" w:lineRule="exact"/>
        <w:rPr>
          <w:sz w:val="20"/>
          <w:szCs w:val="20"/>
          <w:color w:val="auto"/>
        </w:rPr>
      </w:pPr>
    </w:p>
    <w:p>
      <w:pPr>
        <w:ind w:left="640"/>
        <w:spacing w:after="0"/>
        <w:rPr>
          <w:sz w:val="20"/>
          <w:szCs w:val="20"/>
          <w:color w:val="auto"/>
        </w:rPr>
      </w:pPr>
      <w:r>
        <w:rPr>
          <w:rFonts w:ascii="Arial" w:cs="Arial" w:eastAsia="Arial" w:hAnsi="Arial"/>
          <w:sz w:val="13"/>
          <w:szCs w:val="13"/>
          <w:i w:val="1"/>
          <w:iCs w:val="1"/>
          <w:u w:val="single" w:color="auto"/>
          <w:color w:val="auto"/>
        </w:rPr>
        <w:t>Continued solid net operating income and internal growth</w:t>
      </w:r>
    </w:p>
    <w:p>
      <w:pPr>
        <w:spacing w:after="0" w:line="181" w:lineRule="exact"/>
        <w:rPr>
          <w:sz w:val="20"/>
          <w:szCs w:val="20"/>
          <w:color w:val="auto"/>
        </w:rPr>
      </w:pPr>
    </w:p>
    <w:p>
      <w:pPr>
        <w:ind w:left="1160" w:hanging="264"/>
        <w:spacing w:after="0"/>
        <w:tabs>
          <w:tab w:leader="none" w:pos="1160" w:val="left"/>
        </w:tabs>
        <w:numPr>
          <w:ilvl w:val="0"/>
          <w:numId w:val="63"/>
        </w:numPr>
        <w:rPr>
          <w:rFonts w:ascii="Arial" w:cs="Arial" w:eastAsia="Arial" w:hAnsi="Arial"/>
          <w:sz w:val="13"/>
          <w:szCs w:val="13"/>
          <w:color w:val="auto"/>
        </w:rPr>
      </w:pPr>
      <w:r>
        <w:rPr>
          <w:rFonts w:ascii="Arial" w:cs="Arial" w:eastAsia="Arial" w:hAnsi="Arial"/>
          <w:sz w:val="13"/>
          <w:szCs w:val="13"/>
          <w:color w:val="auto"/>
        </w:rPr>
        <w:t>Total revenue growth</w:t>
      </w:r>
    </w:p>
    <w:p>
      <w:pPr>
        <w:spacing w:after="0" w:line="12" w:lineRule="exact"/>
        <w:rPr>
          <w:rFonts w:ascii="Arial" w:cs="Arial" w:eastAsia="Arial" w:hAnsi="Arial"/>
          <w:sz w:val="13"/>
          <w:szCs w:val="13"/>
          <w:color w:val="auto"/>
        </w:rPr>
      </w:pPr>
    </w:p>
    <w:p>
      <w:pPr>
        <w:ind w:left="1420" w:right="659" w:hanging="267"/>
        <w:spacing w:after="0" w:line="249" w:lineRule="auto"/>
        <w:tabs>
          <w:tab w:leader="none" w:pos="1420" w:val="left"/>
        </w:tabs>
        <w:numPr>
          <w:ilvl w:val="1"/>
          <w:numId w:val="63"/>
        </w:numPr>
        <w:rPr>
          <w:rFonts w:ascii="Arial" w:cs="Arial" w:eastAsia="Arial" w:hAnsi="Arial"/>
          <w:sz w:val="13"/>
          <w:szCs w:val="13"/>
          <w:color w:val="auto"/>
        </w:rPr>
      </w:pPr>
      <w:r>
        <w:rPr>
          <w:rFonts w:ascii="Arial" w:cs="Arial" w:eastAsia="Arial" w:hAnsi="Arial"/>
          <w:sz w:val="13"/>
          <w:szCs w:val="13"/>
          <w:color w:val="auto"/>
        </w:rPr>
        <w:t>$766.7 million, up 7.4%, for the three months ended June 30, 2024 , compared to $713.9 million for the three months ended June 30, 2023.</w:t>
      </w:r>
    </w:p>
    <w:p>
      <w:pPr>
        <w:spacing w:after="0" w:line="1" w:lineRule="exact"/>
        <w:rPr>
          <w:rFonts w:ascii="Arial" w:cs="Arial" w:eastAsia="Arial" w:hAnsi="Arial"/>
          <w:sz w:val="13"/>
          <w:szCs w:val="13"/>
          <w:color w:val="auto"/>
        </w:rPr>
      </w:pPr>
    </w:p>
    <w:p>
      <w:pPr>
        <w:ind w:left="1420" w:right="659" w:hanging="267"/>
        <w:spacing w:after="0" w:line="249" w:lineRule="auto"/>
        <w:tabs>
          <w:tab w:leader="none" w:pos="1420" w:val="left"/>
        </w:tabs>
        <w:numPr>
          <w:ilvl w:val="1"/>
          <w:numId w:val="63"/>
        </w:numPr>
        <w:rPr>
          <w:rFonts w:ascii="Arial" w:cs="Arial" w:eastAsia="Arial" w:hAnsi="Arial"/>
          <w:sz w:val="13"/>
          <w:szCs w:val="13"/>
          <w:color w:val="auto"/>
        </w:rPr>
      </w:pPr>
      <w:r>
        <w:rPr>
          <w:rFonts w:ascii="Arial" w:cs="Arial" w:eastAsia="Arial" w:hAnsi="Arial"/>
          <w:sz w:val="13"/>
          <w:szCs w:val="13"/>
          <w:color w:val="auto"/>
        </w:rPr>
        <w:t>$1.5 billion, up 8.6%, for the six months ended June 30, 2024, compared to $1.4 billion for the six months ended June 30, 2023.</w:t>
      </w:r>
    </w:p>
    <w:p>
      <w:pPr>
        <w:spacing w:after="0" w:line="1" w:lineRule="exact"/>
        <w:rPr>
          <w:rFonts w:ascii="Arial" w:cs="Arial" w:eastAsia="Arial" w:hAnsi="Arial"/>
          <w:sz w:val="13"/>
          <w:szCs w:val="13"/>
          <w:color w:val="auto"/>
        </w:rPr>
      </w:pPr>
    </w:p>
    <w:p>
      <w:pPr>
        <w:ind w:left="1160" w:hanging="264"/>
        <w:spacing w:after="0"/>
        <w:tabs>
          <w:tab w:leader="none" w:pos="1160" w:val="left"/>
        </w:tabs>
        <w:numPr>
          <w:ilvl w:val="0"/>
          <w:numId w:val="63"/>
        </w:numPr>
        <w:rPr>
          <w:rFonts w:ascii="Arial" w:cs="Arial" w:eastAsia="Arial" w:hAnsi="Arial"/>
          <w:sz w:val="13"/>
          <w:szCs w:val="13"/>
          <w:color w:val="auto"/>
        </w:rPr>
      </w:pPr>
      <w:r>
        <w:rPr>
          <w:rFonts w:ascii="Arial" w:cs="Arial" w:eastAsia="Arial" w:hAnsi="Arial"/>
          <w:sz w:val="13"/>
          <w:szCs w:val="13"/>
          <w:color w:val="auto"/>
        </w:rPr>
        <w:t>Net operating income (cash basis) of $1.9 billion for the three months ended June 30, 2024 annualized, increased by</w:t>
      </w:r>
    </w:p>
    <w:p>
      <w:pPr>
        <w:ind w:left="1160" w:right="659"/>
        <w:spacing w:after="0" w:line="250" w:lineRule="auto"/>
        <w:rPr>
          <w:rFonts w:ascii="Arial" w:cs="Arial" w:eastAsia="Arial" w:hAnsi="Arial"/>
          <w:sz w:val="13"/>
          <w:szCs w:val="13"/>
          <w:color w:val="auto"/>
        </w:rPr>
      </w:pPr>
      <w:r>
        <w:rPr>
          <w:rFonts w:ascii="Arial" w:cs="Arial" w:eastAsia="Arial" w:hAnsi="Arial"/>
          <w:sz w:val="13"/>
          <w:szCs w:val="13"/>
          <w:color w:val="auto"/>
        </w:rPr>
        <w:t>$122.7 million, or 6.9%, compared to the three months ended June 30, 2023 annualized. Refer to “Net operating income, net operating income (cash basis), and operating margin” under “Definitions and reconciliations” in Item 2 for a reconciliation of our net income to net operating income (cash basis).</w:t>
      </w:r>
    </w:p>
    <w:p>
      <w:pPr>
        <w:ind w:left="1160" w:hanging="264"/>
        <w:spacing w:after="0"/>
        <w:tabs>
          <w:tab w:leader="none" w:pos="1160" w:val="left"/>
        </w:tabs>
        <w:numPr>
          <w:ilvl w:val="0"/>
          <w:numId w:val="63"/>
        </w:numPr>
        <w:rPr>
          <w:rFonts w:ascii="Arial" w:cs="Arial" w:eastAsia="Arial" w:hAnsi="Arial"/>
          <w:sz w:val="13"/>
          <w:szCs w:val="13"/>
          <w:color w:val="auto"/>
        </w:rPr>
      </w:pPr>
      <w:r>
        <w:rPr>
          <w:rFonts w:ascii="Arial" w:cs="Arial" w:eastAsia="Arial" w:hAnsi="Arial"/>
          <w:sz w:val="13"/>
          <w:szCs w:val="13"/>
          <w:color w:val="auto"/>
        </w:rPr>
        <w:t>Same property net operating income growth</w:t>
      </w:r>
    </w:p>
    <w:p>
      <w:pPr>
        <w:spacing w:after="0" w:line="5" w:lineRule="exact"/>
        <w:rPr>
          <w:rFonts w:ascii="Arial" w:cs="Arial" w:eastAsia="Arial" w:hAnsi="Arial"/>
          <w:sz w:val="13"/>
          <w:szCs w:val="13"/>
          <w:color w:val="auto"/>
        </w:rPr>
      </w:pPr>
    </w:p>
    <w:p>
      <w:pPr>
        <w:ind w:left="1420" w:right="859" w:hanging="267"/>
        <w:spacing w:after="0" w:line="246" w:lineRule="auto"/>
        <w:tabs>
          <w:tab w:leader="none" w:pos="1420" w:val="left"/>
        </w:tabs>
        <w:numPr>
          <w:ilvl w:val="1"/>
          <w:numId w:val="63"/>
        </w:numPr>
        <w:rPr>
          <w:rFonts w:ascii="Arial" w:cs="Arial" w:eastAsia="Arial" w:hAnsi="Arial"/>
          <w:sz w:val="13"/>
          <w:szCs w:val="13"/>
          <w:color w:val="auto"/>
        </w:rPr>
      </w:pPr>
      <w:r>
        <w:rPr>
          <w:rFonts w:ascii="Arial" w:cs="Arial" w:eastAsia="Arial" w:hAnsi="Arial"/>
          <w:sz w:val="13"/>
          <w:szCs w:val="13"/>
          <w:color w:val="auto"/>
        </w:rPr>
        <w:t>1.5% and 3.9% (cash basis) for the three months ended June 30, 2024, compared to the three months ended June 30, 2023.</w:t>
      </w:r>
    </w:p>
    <w:p>
      <w:pPr>
        <w:ind w:left="1420" w:hanging="267"/>
        <w:spacing w:after="0"/>
        <w:tabs>
          <w:tab w:leader="none" w:pos="1420" w:val="left"/>
        </w:tabs>
        <w:numPr>
          <w:ilvl w:val="1"/>
          <w:numId w:val="63"/>
        </w:numPr>
        <w:rPr>
          <w:rFonts w:ascii="Arial" w:cs="Arial" w:eastAsia="Arial" w:hAnsi="Arial"/>
          <w:sz w:val="13"/>
          <w:szCs w:val="13"/>
          <w:color w:val="auto"/>
        </w:rPr>
      </w:pPr>
      <w:r>
        <w:rPr>
          <w:rFonts w:ascii="Arial" w:cs="Arial" w:eastAsia="Arial" w:hAnsi="Arial"/>
          <w:sz w:val="13"/>
          <w:szCs w:val="13"/>
          <w:color w:val="auto"/>
        </w:rPr>
        <w:t>1.1% and 3.7% (cash basis) for the six months ended June 30, 2024, compared to the six months ended June 30, 2023.</w:t>
      </w:r>
    </w:p>
    <w:p>
      <w:pPr>
        <w:spacing w:after="0" w:line="5" w:lineRule="exact"/>
        <w:rPr>
          <w:rFonts w:ascii="Arial" w:cs="Arial" w:eastAsia="Arial" w:hAnsi="Arial"/>
          <w:sz w:val="13"/>
          <w:szCs w:val="13"/>
          <w:color w:val="auto"/>
        </w:rPr>
      </w:pPr>
    </w:p>
    <w:p>
      <w:pPr>
        <w:ind w:left="1160" w:hanging="264"/>
        <w:spacing w:after="0"/>
        <w:tabs>
          <w:tab w:leader="none" w:pos="1160" w:val="left"/>
        </w:tabs>
        <w:numPr>
          <w:ilvl w:val="0"/>
          <w:numId w:val="63"/>
        </w:numPr>
        <w:rPr>
          <w:rFonts w:ascii="Arial" w:cs="Arial" w:eastAsia="Arial" w:hAnsi="Arial"/>
          <w:sz w:val="13"/>
          <w:szCs w:val="13"/>
          <w:color w:val="auto"/>
        </w:rPr>
      </w:pPr>
      <w:r>
        <w:rPr>
          <w:rFonts w:ascii="Arial" w:cs="Arial" w:eastAsia="Arial" w:hAnsi="Arial"/>
          <w:sz w:val="13"/>
          <w:szCs w:val="13"/>
          <w:color w:val="auto"/>
        </w:rPr>
        <w:t>96% of our leases contain contractual annual rent escalations approximating 3%.</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188595</wp:posOffset>
            </wp:positionV>
            <wp:extent cx="5584190" cy="25196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584190" cy="2519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40"/>
        <w:spacing w:after="0"/>
        <w:rPr>
          <w:sz w:val="20"/>
          <w:szCs w:val="20"/>
          <w:color w:val="auto"/>
        </w:rPr>
      </w:pPr>
      <w:r>
        <w:rPr>
          <w:rFonts w:ascii="Arial" w:cs="Arial" w:eastAsia="Arial" w:hAnsi="Arial"/>
          <w:sz w:val="13"/>
          <w:szCs w:val="13"/>
          <w:i w:val="1"/>
          <w:iCs w:val="1"/>
          <w:u w:val="single" w:color="auto"/>
          <w:color w:val="auto"/>
        </w:rPr>
        <w:t>Strong and flexible balance sheet with significant liquidity; top 10% credit rating ranking among all publicly traded U.S. REITs</w:t>
      </w:r>
    </w:p>
    <w:p>
      <w:pPr>
        <w:spacing w:after="0" w:line="160" w:lineRule="exact"/>
        <w:rPr>
          <w:sz w:val="20"/>
          <w:szCs w:val="20"/>
          <w:color w:val="auto"/>
        </w:rPr>
      </w:pPr>
    </w:p>
    <w:p>
      <w:pPr>
        <w:ind w:left="1160" w:right="1139" w:hanging="264"/>
        <w:spacing w:after="0" w:line="256" w:lineRule="auto"/>
        <w:tabs>
          <w:tab w:leader="none" w:pos="1160" w:val="left"/>
        </w:tabs>
        <w:numPr>
          <w:ilvl w:val="0"/>
          <w:numId w:val="64"/>
        </w:numPr>
        <w:rPr>
          <w:rFonts w:ascii="Arial" w:cs="Arial" w:eastAsia="Arial" w:hAnsi="Arial"/>
          <w:sz w:val="13"/>
          <w:szCs w:val="13"/>
          <w:color w:val="auto"/>
          <w:highlight w:val="white"/>
        </w:rPr>
      </w:pPr>
      <w:r>
        <w:rPr>
          <w:rFonts w:ascii="Arial" w:cs="Arial" w:eastAsia="Arial" w:hAnsi="Arial"/>
          <w:sz w:val="13"/>
          <w:szCs w:val="13"/>
          <w:color w:val="auto"/>
        </w:rPr>
        <w:t>As of June 30, 2024, our credit ratin</w:t>
      </w:r>
      <w:r>
        <w:rPr>
          <w:rFonts w:ascii="Arial" w:cs="Arial" w:eastAsia="Arial" w:hAnsi="Arial"/>
          <w:sz w:val="13"/>
          <w:szCs w:val="13"/>
          <w:color w:val="auto"/>
          <w:highlight w:val="white"/>
        </w:rPr>
        <w:t>gs from S&amp;P Global Ratings a</w:t>
      </w:r>
      <w:r>
        <w:rPr>
          <w:rFonts w:ascii="Arial" w:cs="Arial" w:eastAsia="Arial" w:hAnsi="Arial"/>
          <w:sz w:val="13"/>
          <w:szCs w:val="13"/>
          <w:color w:val="auto"/>
        </w:rPr>
        <w:t>nd Moody’s Investors Service were</w:t>
      </w:r>
      <w:r>
        <w:rPr>
          <w:rFonts w:ascii="Arial" w:cs="Arial" w:eastAsia="Arial" w:hAnsi="Arial"/>
          <w:sz w:val="1"/>
          <w:szCs w:val="1"/>
          <w:color w:val="auto"/>
          <w:highlight w:val="white"/>
        </w:rPr>
        <w:drawing>
          <wp:inline distT="0" distB="0" distL="0" distR="0">
            <wp:extent cx="20320" cy="76200"/>
            <wp:effectExtent l="0" t="0" r="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0320" cy="76200"/>
                    </a:xfrm>
                    <a:prstGeom prst="rect">
                      <a:avLst/>
                    </a:prstGeom>
                    <a:noFill/>
                    <a:ln>
                      <a:noFill/>
                    </a:ln>
                  </pic:spPr>
                </pic:pic>
              </a:graphicData>
            </a:graphic>
          </wp:inline>
        </w:drawing>
      </w:r>
      <w:r>
        <w:rPr>
          <w:rFonts w:ascii="Arial" w:cs="Arial" w:eastAsia="Arial" w:hAnsi="Arial"/>
          <w:sz w:val="13"/>
          <w:szCs w:val="13"/>
          <w:color w:val="auto"/>
        </w:rPr>
        <w:t xml:space="preserve">BBB+ and Baa1, respectively, which rank in </w:t>
      </w:r>
      <w:r>
        <w:rPr>
          <w:rFonts w:ascii="Arial" w:cs="Arial" w:eastAsia="Arial" w:hAnsi="Arial"/>
          <w:sz w:val="13"/>
          <w:szCs w:val="13"/>
          <w:color w:val="auto"/>
          <w:highlight w:val="white"/>
        </w:rPr>
        <w:t>the</w:t>
      </w:r>
      <w:r>
        <w:rPr>
          <w:rFonts w:ascii="Arial" w:cs="Arial" w:eastAsia="Arial" w:hAnsi="Arial"/>
          <w:sz w:val="1"/>
          <w:szCs w:val="1"/>
          <w:color w:val="auto"/>
          <w:highlight w:val="white"/>
        </w:rPr>
        <w:drawing>
          <wp:inline distT="0" distB="0" distL="0" distR="0">
            <wp:extent cx="20320" cy="76200"/>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0320" cy="76200"/>
                    </a:xfrm>
                    <a:prstGeom prst="rect">
                      <a:avLst/>
                    </a:prstGeom>
                    <a:noFill/>
                    <a:ln>
                      <a:noFill/>
                    </a:ln>
                  </pic:spPr>
                </pic:pic>
              </a:graphicData>
            </a:graphic>
          </wp:inline>
        </w:drawing>
      </w:r>
      <w:r>
        <w:rPr>
          <w:rFonts w:ascii="Arial" w:cs="Arial" w:eastAsia="Arial" w:hAnsi="Arial"/>
          <w:sz w:val="13"/>
          <w:szCs w:val="13"/>
          <w:color w:val="auto"/>
        </w:rPr>
        <w:t>top 10% among all publicly traded U.S. REITs.</w:t>
      </w:r>
    </w:p>
    <w:p>
      <w:pPr>
        <w:ind w:left="1160" w:right="799" w:hanging="264"/>
        <w:spacing w:after="0" w:line="244" w:lineRule="auto"/>
        <w:tabs>
          <w:tab w:leader="none" w:pos="1160" w:val="left"/>
        </w:tabs>
        <w:numPr>
          <w:ilvl w:val="0"/>
          <w:numId w:val="64"/>
        </w:numPr>
        <w:rPr>
          <w:rFonts w:ascii="Arial" w:cs="Arial" w:eastAsia="Arial" w:hAnsi="Arial"/>
          <w:sz w:val="13"/>
          <w:szCs w:val="13"/>
          <w:color w:val="auto"/>
        </w:rPr>
      </w:pPr>
      <w:r>
        <w:rPr>
          <w:rFonts w:ascii="Arial" w:cs="Arial" w:eastAsia="Arial" w:hAnsi="Arial"/>
          <w:sz w:val="13"/>
          <w:szCs w:val="13"/>
          <w:color w:val="auto"/>
        </w:rPr>
        <w:t>Net debt and preferred stock to Adjusted EBITDA of 5.4x and fixed-charge coverage ratio of 4.5x for the three months ended June 30, 2024 annualized.</w:t>
      </w:r>
    </w:p>
    <w:p>
      <w:pPr>
        <w:spacing w:after="0" w:line="1" w:lineRule="exact"/>
        <w:rPr>
          <w:rFonts w:ascii="Arial" w:cs="Arial" w:eastAsia="Arial" w:hAnsi="Arial"/>
          <w:sz w:val="13"/>
          <w:szCs w:val="13"/>
          <w:color w:val="auto"/>
        </w:rPr>
      </w:pPr>
    </w:p>
    <w:p>
      <w:pPr>
        <w:ind w:left="1160" w:hanging="264"/>
        <w:spacing w:after="0"/>
        <w:tabs>
          <w:tab w:leader="none" w:pos="1160" w:val="left"/>
        </w:tabs>
        <w:numPr>
          <w:ilvl w:val="0"/>
          <w:numId w:val="64"/>
        </w:numPr>
        <w:rPr>
          <w:rFonts w:ascii="Arial" w:cs="Arial" w:eastAsia="Arial" w:hAnsi="Arial"/>
          <w:sz w:val="13"/>
          <w:szCs w:val="13"/>
          <w:color w:val="auto"/>
        </w:rPr>
      </w:pPr>
      <w:r>
        <w:rPr>
          <w:rFonts w:ascii="Arial" w:cs="Arial" w:eastAsia="Arial" w:hAnsi="Arial"/>
          <w:sz w:val="13"/>
          <w:szCs w:val="13"/>
          <w:color w:val="auto"/>
        </w:rPr>
        <w:t>Significant liquidity of $5.6 billion.</w:t>
      </w:r>
    </w:p>
    <w:p>
      <w:pPr>
        <w:spacing w:after="0" w:line="7" w:lineRule="exact"/>
        <w:rPr>
          <w:rFonts w:ascii="Arial" w:cs="Arial" w:eastAsia="Arial" w:hAnsi="Arial"/>
          <w:sz w:val="13"/>
          <w:szCs w:val="13"/>
          <w:color w:val="auto"/>
        </w:rPr>
      </w:pPr>
    </w:p>
    <w:p>
      <w:pPr>
        <w:ind w:left="1160" w:hanging="264"/>
        <w:spacing w:after="0"/>
        <w:tabs>
          <w:tab w:leader="none" w:pos="1160" w:val="left"/>
        </w:tabs>
        <w:numPr>
          <w:ilvl w:val="0"/>
          <w:numId w:val="64"/>
        </w:numPr>
        <w:rPr>
          <w:rFonts w:ascii="Arial" w:cs="Arial" w:eastAsia="Arial" w:hAnsi="Arial"/>
          <w:sz w:val="12"/>
          <w:szCs w:val="12"/>
          <w:color w:val="auto"/>
        </w:rPr>
      </w:pPr>
      <w:r>
        <w:rPr>
          <w:rFonts w:ascii="Arial" w:cs="Arial" w:eastAsia="Arial" w:hAnsi="Arial"/>
          <w:sz w:val="13"/>
          <w:szCs w:val="13"/>
          <w:color w:val="auto"/>
        </w:rPr>
        <w:t>32% of our total debt matures in 2049 and beyond.</w:t>
      </w:r>
    </w:p>
    <w:p>
      <w:pPr>
        <w:spacing w:after="0" w:line="5" w:lineRule="exact"/>
        <w:rPr>
          <w:rFonts w:ascii="Arial" w:cs="Arial" w:eastAsia="Arial" w:hAnsi="Arial"/>
          <w:sz w:val="12"/>
          <w:szCs w:val="12"/>
          <w:color w:val="auto"/>
        </w:rPr>
      </w:pPr>
    </w:p>
    <w:p>
      <w:pPr>
        <w:ind w:left="1160" w:hanging="264"/>
        <w:spacing w:after="0"/>
        <w:tabs>
          <w:tab w:leader="none" w:pos="1160" w:val="left"/>
        </w:tabs>
        <w:numPr>
          <w:ilvl w:val="0"/>
          <w:numId w:val="64"/>
        </w:numPr>
        <w:rPr>
          <w:rFonts w:ascii="Arial" w:cs="Arial" w:eastAsia="Arial" w:hAnsi="Arial"/>
          <w:sz w:val="13"/>
          <w:szCs w:val="13"/>
          <w:color w:val="auto"/>
        </w:rPr>
      </w:pPr>
      <w:r>
        <w:rPr>
          <w:rFonts w:ascii="Arial" w:cs="Arial" w:eastAsia="Arial" w:hAnsi="Arial"/>
          <w:sz w:val="13"/>
          <w:szCs w:val="13"/>
          <w:color w:val="auto"/>
        </w:rPr>
        <w:t>13.0 years weighted-average remaining term of debt.</w:t>
      </w:r>
    </w:p>
    <w:p>
      <w:pPr>
        <w:spacing w:after="0" w:line="7" w:lineRule="exact"/>
        <w:rPr>
          <w:rFonts w:ascii="Arial" w:cs="Arial" w:eastAsia="Arial" w:hAnsi="Arial"/>
          <w:sz w:val="13"/>
          <w:szCs w:val="13"/>
          <w:color w:val="auto"/>
        </w:rPr>
      </w:pPr>
    </w:p>
    <w:p>
      <w:pPr>
        <w:ind w:left="1160" w:hanging="264"/>
        <w:spacing w:after="0"/>
        <w:tabs>
          <w:tab w:leader="none" w:pos="1160" w:val="left"/>
        </w:tabs>
        <w:numPr>
          <w:ilvl w:val="0"/>
          <w:numId w:val="64"/>
        </w:numPr>
        <w:rPr>
          <w:rFonts w:ascii="Arial" w:cs="Arial" w:eastAsia="Arial" w:hAnsi="Arial"/>
          <w:sz w:val="13"/>
          <w:szCs w:val="13"/>
          <w:color w:val="auto"/>
        </w:rPr>
      </w:pPr>
      <w:r>
        <w:rPr>
          <w:rFonts w:ascii="Arial" w:cs="Arial" w:eastAsia="Arial" w:hAnsi="Arial"/>
          <w:sz w:val="13"/>
          <w:szCs w:val="13"/>
          <w:color w:val="auto"/>
        </w:rPr>
        <w:t>97.3% of our debt has a fixed rate.</w:t>
      </w:r>
    </w:p>
    <w:p>
      <w:pPr>
        <w:spacing w:after="0" w:line="5" w:lineRule="exact"/>
        <w:rPr>
          <w:rFonts w:ascii="Arial" w:cs="Arial" w:eastAsia="Arial" w:hAnsi="Arial"/>
          <w:sz w:val="13"/>
          <w:szCs w:val="13"/>
          <w:color w:val="auto"/>
        </w:rPr>
      </w:pPr>
    </w:p>
    <w:p>
      <w:pPr>
        <w:ind w:left="1160" w:hanging="264"/>
        <w:spacing w:after="0"/>
        <w:tabs>
          <w:tab w:leader="none" w:pos="1160" w:val="left"/>
        </w:tabs>
        <w:numPr>
          <w:ilvl w:val="0"/>
          <w:numId w:val="64"/>
        </w:numPr>
        <w:rPr>
          <w:rFonts w:ascii="Arial" w:cs="Arial" w:eastAsia="Arial" w:hAnsi="Arial"/>
          <w:sz w:val="13"/>
          <w:szCs w:val="13"/>
          <w:color w:val="auto"/>
        </w:rPr>
      </w:pPr>
      <w:r>
        <w:rPr>
          <w:rFonts w:ascii="Arial" w:cs="Arial" w:eastAsia="Arial" w:hAnsi="Arial"/>
          <w:sz w:val="13"/>
          <w:szCs w:val="13"/>
          <w:color w:val="auto"/>
        </w:rPr>
        <w:t>Total debt and preferred stock to gross assets of 29%.</w:t>
      </w:r>
    </w:p>
    <w:p>
      <w:pPr>
        <w:ind w:left="1160" w:right="799" w:hanging="264"/>
        <w:spacing w:after="0" w:line="270" w:lineRule="auto"/>
        <w:tabs>
          <w:tab w:leader="none" w:pos="1160" w:val="left"/>
        </w:tabs>
        <w:numPr>
          <w:ilvl w:val="0"/>
          <w:numId w:val="64"/>
        </w:numPr>
        <w:rPr>
          <w:rFonts w:ascii="Arial" w:cs="Arial" w:eastAsia="Arial" w:hAnsi="Arial"/>
          <w:sz w:val="12"/>
          <w:szCs w:val="12"/>
          <w:b w:val="1"/>
          <w:bCs w:val="1"/>
          <w:color w:val="auto"/>
        </w:rPr>
      </w:pPr>
      <w:r>
        <w:rPr>
          <w:rFonts w:ascii="Arial" w:cs="Arial" w:eastAsia="Arial" w:hAnsi="Arial"/>
          <w:sz w:val="13"/>
          <w:szCs w:val="13"/>
          <w:color w:val="auto"/>
        </w:rPr>
        <w:t>$1.1 billion of expected capital contribution commitments from existing consolidated real estate joint venture partners to fund construction from July 1, 2024 through 2027.</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2"/>
          <w:szCs w:val="12"/>
          <w:i w:val="1"/>
          <w:iCs w:val="1"/>
          <w:u w:val="single" w:color="auto"/>
          <w:color w:val="auto"/>
        </w:rPr>
        <w:t>Consistent dividend strategy with a focus on retaining significant net cash flows from operating activities after dividends for reinvestment</w:t>
      </w:r>
    </w:p>
    <w:p>
      <w:pPr>
        <w:spacing w:after="0" w:line="193" w:lineRule="exact"/>
        <w:rPr>
          <w:sz w:val="20"/>
          <w:szCs w:val="20"/>
          <w:color w:val="auto"/>
        </w:rPr>
      </w:pPr>
    </w:p>
    <w:p>
      <w:pPr>
        <w:jc w:val="both"/>
        <w:ind w:left="1160" w:right="819" w:hanging="264"/>
        <w:spacing w:after="0" w:line="253" w:lineRule="auto"/>
        <w:tabs>
          <w:tab w:leader="none" w:pos="1160" w:val="left"/>
        </w:tabs>
        <w:numPr>
          <w:ilvl w:val="0"/>
          <w:numId w:val="65"/>
        </w:numPr>
        <w:rPr>
          <w:rFonts w:ascii="Arial" w:cs="Arial" w:eastAsia="Arial" w:hAnsi="Arial"/>
          <w:sz w:val="13"/>
          <w:szCs w:val="13"/>
          <w:color w:val="auto"/>
        </w:rPr>
      </w:pPr>
      <w:r>
        <w:rPr>
          <w:rFonts w:ascii="Arial" w:cs="Arial" w:eastAsia="Arial" w:hAnsi="Arial"/>
          <w:sz w:val="13"/>
          <w:szCs w:val="13"/>
          <w:color w:val="auto"/>
        </w:rPr>
        <w:t>Common stock dividend declared for the three months ended June 30, 2024 of $1.30 per common share aggregating $5.08 per common share for the twelve months ended June 30, 2024, up 24 cents, or 5%, over the twelve months ended June 30, 2023.</w:t>
      </w:r>
    </w:p>
    <w:p>
      <w:pPr>
        <w:spacing w:after="0" w:line="1" w:lineRule="exact"/>
        <w:rPr>
          <w:rFonts w:ascii="Arial" w:cs="Arial" w:eastAsia="Arial" w:hAnsi="Arial"/>
          <w:sz w:val="13"/>
          <w:szCs w:val="13"/>
          <w:color w:val="auto"/>
        </w:rPr>
      </w:pPr>
    </w:p>
    <w:p>
      <w:pPr>
        <w:ind w:left="1160" w:hanging="264"/>
        <w:spacing w:after="0"/>
        <w:tabs>
          <w:tab w:leader="none" w:pos="1160" w:val="left"/>
        </w:tabs>
        <w:numPr>
          <w:ilvl w:val="0"/>
          <w:numId w:val="65"/>
        </w:numPr>
        <w:rPr>
          <w:rFonts w:ascii="Arial" w:cs="Arial" w:eastAsia="Arial" w:hAnsi="Arial"/>
          <w:sz w:val="13"/>
          <w:szCs w:val="13"/>
          <w:color w:val="auto"/>
        </w:rPr>
      </w:pPr>
      <w:r>
        <w:rPr>
          <w:rFonts w:ascii="Arial" w:cs="Arial" w:eastAsia="Arial" w:hAnsi="Arial"/>
          <w:sz w:val="13"/>
          <w:szCs w:val="13"/>
          <w:color w:val="auto"/>
        </w:rPr>
        <w:t>Dividend yield of 4.4% as of June 30, 2024.</w:t>
      </w:r>
    </w:p>
    <w:p>
      <w:pPr>
        <w:sectPr>
          <w:pgSz w:w="11900" w:h="16838" w:orient="portrait"/>
          <w:cols w:equalWidth="0" w:num="1">
            <w:col w:w="9019"/>
          </w:cols>
          <w:pgMar w:left="1440" w:top="816" w:right="1440" w:bottom="0" w:gutter="0" w:footer="0" w:header="0"/>
        </w:sectPr>
      </w:pPr>
    </w:p>
    <w:bookmarkStart w:id="32" w:name="page33"/>
    <w:bookmarkEnd w:id="32"/>
    <w:p>
      <w:pPr>
        <w:ind w:left="1160" w:hanging="264"/>
        <w:spacing w:after="0"/>
        <w:tabs>
          <w:tab w:leader="none" w:pos="1160" w:val="left"/>
        </w:tabs>
        <w:numPr>
          <w:ilvl w:val="0"/>
          <w:numId w:val="66"/>
        </w:numPr>
        <w:rPr>
          <w:rFonts w:ascii="Arial" w:cs="Arial" w:eastAsia="Arial" w:hAnsi="Arial"/>
          <w:sz w:val="13"/>
          <w:szCs w:val="13"/>
          <w:color w:val="auto"/>
        </w:rPr>
      </w:pPr>
      <w:r>
        <w:rPr>
          <w:rFonts w:ascii="Arial" w:cs="Arial" w:eastAsia="Arial" w:hAnsi="Arial"/>
          <w:sz w:val="13"/>
          <w:szCs w:val="13"/>
          <w:color w:val="auto"/>
        </w:rPr>
        <w:t>Dividend payout ratio of 55% for the three months ended June 30, 2024.</w:t>
      </w:r>
    </w:p>
    <w:p>
      <w:pPr>
        <w:ind w:left="1160" w:hanging="264"/>
        <w:spacing w:after="0"/>
        <w:tabs>
          <w:tab w:leader="none" w:pos="1160" w:val="left"/>
        </w:tabs>
        <w:numPr>
          <w:ilvl w:val="0"/>
          <w:numId w:val="66"/>
        </w:numPr>
        <w:rPr>
          <w:rFonts w:ascii="Arial" w:cs="Arial" w:eastAsia="Arial" w:hAnsi="Arial"/>
          <w:sz w:val="13"/>
          <w:szCs w:val="13"/>
          <w:color w:val="auto"/>
        </w:rPr>
      </w:pPr>
      <w:r>
        <w:rPr>
          <w:rFonts w:ascii="Arial" w:cs="Arial" w:eastAsia="Arial" w:hAnsi="Arial"/>
          <w:sz w:val="13"/>
          <w:szCs w:val="13"/>
          <w:color w:val="auto"/>
        </w:rPr>
        <w:t>Average annual dividend per-share growth of 5% from 2020 through the three months ended June 30, 2024 annualized.</w:t>
      </w:r>
    </w:p>
    <w:p>
      <w:pPr>
        <w:ind w:left="1160" w:right="819" w:hanging="264"/>
        <w:spacing w:after="0" w:line="255" w:lineRule="auto"/>
        <w:tabs>
          <w:tab w:leader="none" w:pos="1160" w:val="left"/>
        </w:tabs>
        <w:numPr>
          <w:ilvl w:val="0"/>
          <w:numId w:val="66"/>
        </w:numPr>
        <w:rPr>
          <w:rFonts w:ascii="Arial" w:cs="Arial" w:eastAsia="Arial" w:hAnsi="Arial"/>
          <w:sz w:val="13"/>
          <w:szCs w:val="13"/>
          <w:color w:val="auto"/>
        </w:rPr>
      </w:pPr>
      <w:r>
        <w:rPr>
          <w:rFonts w:ascii="Arial" w:cs="Arial" w:eastAsia="Arial" w:hAnsi="Arial"/>
          <w:sz w:val="13"/>
          <w:szCs w:val="13"/>
          <w:color w:val="auto"/>
        </w:rPr>
        <w:t xml:space="preserve">Significant net cash flows from operating activities after dividends retained for reinvestment aggregating </w:t>
      </w:r>
      <w:r>
        <w:rPr>
          <w:rFonts w:ascii="Arial" w:cs="Arial" w:eastAsia="Arial" w:hAnsi="Arial"/>
          <w:sz w:val="13"/>
          <w:szCs w:val="13"/>
          <w:color w:val="auto"/>
          <w:highlight w:val="white"/>
        </w:rPr>
        <w:t>$2.1 billion</w:t>
      </w:r>
      <w:r>
        <w:rPr>
          <w:rFonts w:ascii="Arial" w:cs="Arial" w:eastAsia="Arial" w:hAnsi="Arial"/>
          <w:sz w:val="13"/>
          <w:szCs w:val="13"/>
          <w:color w:val="auto"/>
        </w:rPr>
        <w:t xml:space="preserve"> for the years ended December 31, 2020 through 2023 and including the midpoint of our 2024 guidance range for net cash provided by operating activities after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-446405</wp:posOffset>
            </wp:positionV>
            <wp:extent cx="5584190" cy="46945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584190" cy="4694555"/>
                    </a:xfrm>
                    <a:prstGeom prst="rect">
                      <a:avLst/>
                    </a:prstGeom>
                    <a:noFill/>
                  </pic:spPr>
                </pic:pic>
              </a:graphicData>
            </a:graphic>
          </wp:anchor>
        </w:drawing>
      </w:r>
    </w:p>
    <w:p>
      <w:pPr>
        <w:spacing w:after="0" w:line="116" w:lineRule="exact"/>
        <w:rPr>
          <w:sz w:val="20"/>
          <w:szCs w:val="20"/>
          <w:color w:val="auto"/>
        </w:rPr>
      </w:pPr>
    </w:p>
    <w:p>
      <w:pPr>
        <w:ind w:left="640"/>
        <w:spacing w:after="0"/>
        <w:rPr>
          <w:sz w:val="20"/>
          <w:szCs w:val="20"/>
          <w:color w:val="auto"/>
        </w:rPr>
      </w:pPr>
      <w:r>
        <w:rPr>
          <w:rFonts w:ascii="Arial" w:cs="Arial" w:eastAsia="Arial" w:hAnsi="Arial"/>
          <w:sz w:val="13"/>
          <w:szCs w:val="13"/>
          <w:i w:val="1"/>
          <w:iCs w:val="1"/>
          <w:u w:val="single" w:color="auto"/>
          <w:color w:val="auto"/>
        </w:rPr>
        <w:t>Ongoing execution of Alexandria’s 2024 capital strategy</w:t>
      </w:r>
    </w:p>
    <w:p>
      <w:pPr>
        <w:spacing w:after="0" w:line="160" w:lineRule="exact"/>
        <w:rPr>
          <w:sz w:val="20"/>
          <w:szCs w:val="20"/>
          <w:color w:val="auto"/>
        </w:rPr>
      </w:pPr>
    </w:p>
    <w:p>
      <w:pPr>
        <w:ind w:left="760" w:right="759" w:firstLine="515"/>
        <w:spacing w:after="0" w:line="265" w:lineRule="auto"/>
        <w:rPr>
          <w:sz w:val="20"/>
          <w:szCs w:val="20"/>
          <w:color w:val="auto"/>
        </w:rPr>
      </w:pPr>
      <w:r>
        <w:rPr>
          <w:rFonts w:ascii="Arial" w:cs="Arial" w:eastAsia="Arial" w:hAnsi="Arial"/>
          <w:sz w:val="13"/>
          <w:szCs w:val="13"/>
          <w:color w:val="auto"/>
        </w:rPr>
        <w:t>We expect to continue pursuing our strategy to fund a significant portion of our capital requirements for the year ending December 31, 2024 with dispositions and sales of partial interests and are actively pursuing several dispositions and partial interest sale opportunities.</w:t>
      </w:r>
    </w:p>
    <w:p>
      <w:pPr>
        <w:spacing w:after="0" w:line="64" w:lineRule="exact"/>
        <w:rPr>
          <w:sz w:val="20"/>
          <w:szCs w:val="20"/>
          <w:color w:val="auto"/>
        </w:rPr>
      </w:pPr>
    </w:p>
    <w:tbl>
      <w:tblPr>
        <w:tblLayout w:type="fixed"/>
        <w:tblInd w:w="760" w:type="dxa"/>
        <w:tblCellMar>
          <w:top w:w="0" w:type="dxa"/>
          <w:left w:w="0" w:type="dxa"/>
          <w:bottom w:w="0" w:type="dxa"/>
          <w:right w:w="0" w:type="dxa"/>
        </w:tblCellMar>
      </w:tblPr>
      <w:tr>
        <w:trPr>
          <w:trHeight w:val="149"/>
        </w:trPr>
        <w:tc>
          <w:tcPr>
            <w:tcW w:w="6560" w:type="dxa"/>
            <w:vAlign w:val="bottom"/>
          </w:tcPr>
          <w:p>
            <w:pPr>
              <w:ind w:left="40"/>
              <w:spacing w:after="0"/>
              <w:rPr>
                <w:sz w:val="20"/>
                <w:szCs w:val="20"/>
                <w:color w:val="auto"/>
              </w:rPr>
            </w:pPr>
            <w:r>
              <w:rPr>
                <w:rFonts w:ascii="Arial" w:cs="Arial" w:eastAsia="Arial" w:hAnsi="Arial"/>
                <w:sz w:val="13"/>
                <w:szCs w:val="13"/>
                <w:i w:val="1"/>
                <w:iCs w:val="1"/>
                <w:color w:val="auto"/>
              </w:rPr>
              <w:t>(in millions)</w:t>
            </w: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204"/>
        </w:trPr>
        <w:tc>
          <w:tcPr>
            <w:tcW w:w="6560" w:type="dxa"/>
            <w:vAlign w:val="bottom"/>
            <w:shd w:val="clear" w:color="auto" w:fill="CCEEFF"/>
          </w:tcPr>
          <w:p>
            <w:pPr>
              <w:ind w:left="40"/>
              <w:spacing w:after="0"/>
              <w:rPr>
                <w:sz w:val="20"/>
                <w:szCs w:val="20"/>
                <w:color w:val="auto"/>
              </w:rPr>
            </w:pPr>
            <w:r>
              <w:rPr>
                <w:rFonts w:ascii="Arial" w:cs="Arial" w:eastAsia="Arial" w:hAnsi="Arial"/>
                <w:sz w:val="13"/>
                <w:szCs w:val="13"/>
                <w:color w:val="auto"/>
              </w:rPr>
              <w:t>Completed dispositions of 100% interest in properties not integral to our mega campus strategy</w:t>
            </w:r>
          </w:p>
        </w:tc>
        <w:tc>
          <w:tcPr>
            <w:tcW w:w="30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w:t>
            </w:r>
          </w:p>
        </w:tc>
        <w:tc>
          <w:tcPr>
            <w:tcW w:w="200" w:type="dxa"/>
            <w:vAlign w:val="bottom"/>
            <w:shd w:val="clear" w:color="auto" w:fill="CCEEFF"/>
          </w:tcPr>
          <w:p>
            <w:pPr>
              <w:jc w:val="right"/>
              <w:ind w:right="18"/>
              <w:spacing w:after="0"/>
              <w:rPr>
                <w:sz w:val="20"/>
                <w:szCs w:val="20"/>
                <w:color w:val="auto"/>
              </w:rPr>
            </w:pPr>
            <w:r>
              <w:rPr>
                <w:rFonts w:ascii="Arial" w:cs="Arial" w:eastAsia="Arial" w:hAnsi="Arial"/>
                <w:sz w:val="8"/>
                <w:szCs w:val="8"/>
                <w:color w:val="auto"/>
              </w:rPr>
              <w:t>(1)</w:t>
            </w:r>
          </w:p>
        </w:tc>
      </w:tr>
      <w:tr>
        <w:trPr>
          <w:trHeight w:val="183"/>
        </w:trPr>
        <w:tc>
          <w:tcPr>
            <w:tcW w:w="6560" w:type="dxa"/>
            <w:vAlign w:val="bottom"/>
          </w:tcPr>
          <w:p>
            <w:pPr>
              <w:ind w:left="40"/>
              <w:spacing w:after="0"/>
              <w:rPr>
                <w:sz w:val="20"/>
                <w:szCs w:val="20"/>
                <w:color w:val="auto"/>
              </w:rPr>
            </w:pPr>
            <w:r>
              <w:rPr>
                <w:rFonts w:ascii="Arial" w:cs="Arial" w:eastAsia="Arial" w:hAnsi="Arial"/>
                <w:sz w:val="13"/>
                <w:szCs w:val="13"/>
                <w:color w:val="auto"/>
              </w:rPr>
              <w:t>Pending transactions subject to letters of intent or purchase and sale agreement negotiations</w:t>
            </w:r>
          </w:p>
        </w:tc>
        <w:tc>
          <w:tcPr>
            <w:tcW w:w="3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807</w:t>
            </w:r>
          </w:p>
        </w:tc>
        <w:tc>
          <w:tcPr>
            <w:tcW w:w="200" w:type="dxa"/>
            <w:vAlign w:val="bottom"/>
          </w:tcPr>
          <w:p>
            <w:pPr>
              <w:spacing w:after="0"/>
              <w:rPr>
                <w:sz w:val="15"/>
                <w:szCs w:val="15"/>
                <w:color w:val="auto"/>
              </w:rPr>
            </w:pPr>
          </w:p>
        </w:tc>
      </w:tr>
      <w:tr>
        <w:trPr>
          <w:trHeight w:val="183"/>
        </w:trPr>
        <w:tc>
          <w:tcPr>
            <w:tcW w:w="6560" w:type="dxa"/>
            <w:vAlign w:val="bottom"/>
            <w:shd w:val="clear" w:color="auto" w:fill="CCEEFF"/>
          </w:tcPr>
          <w:p>
            <w:pPr>
              <w:ind w:left="40"/>
              <w:spacing w:after="0"/>
              <w:rPr>
                <w:sz w:val="20"/>
                <w:szCs w:val="20"/>
                <w:color w:val="auto"/>
              </w:rPr>
            </w:pPr>
            <w:r>
              <w:rPr>
                <w:rFonts w:ascii="Arial" w:cs="Arial" w:eastAsia="Arial" w:hAnsi="Arial"/>
                <w:sz w:val="13"/>
                <w:szCs w:val="13"/>
                <w:color w:val="auto"/>
              </w:rPr>
              <w:t>Forward equity sales agreements expected to be settled in 2024</w:t>
            </w:r>
          </w:p>
        </w:tc>
        <w:tc>
          <w:tcPr>
            <w:tcW w:w="30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w:t>
            </w:r>
          </w:p>
        </w:tc>
        <w:tc>
          <w:tcPr>
            <w:tcW w:w="200" w:type="dxa"/>
            <w:vAlign w:val="bottom"/>
            <w:shd w:val="clear" w:color="auto" w:fill="CCEEFF"/>
          </w:tcPr>
          <w:p>
            <w:pPr>
              <w:spacing w:after="0"/>
              <w:rPr>
                <w:sz w:val="15"/>
                <w:szCs w:val="15"/>
                <w:color w:val="auto"/>
              </w:rPr>
            </w:pPr>
          </w:p>
        </w:tc>
      </w:tr>
      <w:tr>
        <w:trPr>
          <w:trHeight w:val="163"/>
        </w:trPr>
        <w:tc>
          <w:tcPr>
            <w:tcW w:w="6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911</w:t>
            </w:r>
          </w:p>
        </w:tc>
        <w:tc>
          <w:tcPr>
            <w:tcW w:w="200" w:type="dxa"/>
            <w:vAlign w:val="bottom"/>
          </w:tcPr>
          <w:p>
            <w:pPr>
              <w:spacing w:after="0"/>
              <w:rPr>
                <w:sz w:val="14"/>
                <w:szCs w:val="14"/>
                <w:color w:val="auto"/>
              </w:rPr>
            </w:pPr>
          </w:p>
        </w:tc>
      </w:tr>
      <w:tr>
        <w:trPr>
          <w:trHeight w:val="183"/>
        </w:trPr>
        <w:tc>
          <w:tcPr>
            <w:tcW w:w="6560" w:type="dxa"/>
            <w:vAlign w:val="bottom"/>
            <w:shd w:val="clear" w:color="auto" w:fill="CCEEFF"/>
          </w:tcPr>
          <w:p>
            <w:pPr>
              <w:ind w:left="40"/>
              <w:spacing w:after="0"/>
              <w:rPr>
                <w:sz w:val="20"/>
                <w:szCs w:val="20"/>
                <w:color w:val="auto"/>
              </w:rPr>
            </w:pPr>
            <w:r>
              <w:rPr>
                <w:rFonts w:ascii="Arial" w:cs="Arial" w:eastAsia="Arial" w:hAnsi="Arial"/>
                <w:sz w:val="13"/>
                <w:szCs w:val="13"/>
                <w:color w:val="auto"/>
              </w:rPr>
              <w:t>Additional targeted dispositions, sales of partial interests, and common equity</w:t>
            </w:r>
          </w:p>
        </w:tc>
        <w:tc>
          <w:tcPr>
            <w:tcW w:w="30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639</w:t>
            </w:r>
          </w:p>
        </w:tc>
        <w:tc>
          <w:tcPr>
            <w:tcW w:w="200" w:type="dxa"/>
            <w:vAlign w:val="bottom"/>
            <w:shd w:val="clear" w:color="auto" w:fill="CCEEFF"/>
          </w:tcPr>
          <w:p>
            <w:pPr>
              <w:spacing w:after="0"/>
              <w:rPr>
                <w:sz w:val="15"/>
                <w:szCs w:val="15"/>
                <w:color w:val="auto"/>
              </w:rPr>
            </w:pPr>
          </w:p>
        </w:tc>
      </w:tr>
      <w:tr>
        <w:trPr>
          <w:trHeight w:val="141"/>
        </w:trPr>
        <w:tc>
          <w:tcPr>
            <w:tcW w:w="6560" w:type="dxa"/>
            <w:vAlign w:val="bottom"/>
          </w:tcPr>
          <w:p>
            <w:pPr>
              <w:ind w:left="100"/>
              <w:spacing w:after="0" w:line="131" w:lineRule="exact"/>
              <w:rPr>
                <w:sz w:val="20"/>
                <w:szCs w:val="20"/>
                <w:color w:val="auto"/>
              </w:rPr>
            </w:pPr>
            <w:r>
              <w:rPr>
                <w:rFonts w:ascii="Arial" w:cs="Arial" w:eastAsia="Arial" w:hAnsi="Arial"/>
                <w:sz w:val="13"/>
                <w:szCs w:val="13"/>
                <w:color w:val="auto"/>
              </w:rPr>
              <w:t>2024 guidance midpoint for dispositions, sales of partial interests, and common equity</w:t>
            </w:r>
          </w:p>
        </w:tc>
        <w:tc>
          <w:tcPr>
            <w:tcW w:w="300" w:type="dxa"/>
            <w:vAlign w:val="bottom"/>
            <w:tcBorders>
              <w:bottom w:val="single" w:sz="8" w:color="auto"/>
            </w:tcBorders>
          </w:tcPr>
          <w:p>
            <w:pPr>
              <w:jc w:val="right"/>
              <w:ind w:right="136"/>
              <w:spacing w:after="0" w:line="131" w:lineRule="exact"/>
              <w:rPr>
                <w:sz w:val="20"/>
                <w:szCs w:val="20"/>
                <w:color w:val="auto"/>
              </w:rPr>
            </w:pPr>
            <w:r>
              <w:rPr>
                <w:rFonts w:ascii="Arial" w:cs="Arial" w:eastAsia="Arial" w:hAnsi="Arial"/>
                <w:sz w:val="13"/>
                <w:szCs w:val="13"/>
                <w:color w:val="auto"/>
              </w:rPr>
              <w:t>$</w:t>
            </w:r>
          </w:p>
        </w:tc>
        <w:tc>
          <w:tcPr>
            <w:tcW w:w="560" w:type="dxa"/>
            <w:vAlign w:val="bottom"/>
            <w:tcBorders>
              <w:bottom w:val="single" w:sz="8" w:color="auto"/>
            </w:tcBorders>
          </w:tcPr>
          <w:p>
            <w:pPr>
              <w:jc w:val="right"/>
              <w:spacing w:after="0" w:line="131" w:lineRule="exact"/>
              <w:rPr>
                <w:sz w:val="20"/>
                <w:szCs w:val="20"/>
                <w:color w:val="auto"/>
              </w:rPr>
            </w:pPr>
            <w:r>
              <w:rPr>
                <w:rFonts w:ascii="Arial" w:cs="Arial" w:eastAsia="Arial" w:hAnsi="Arial"/>
                <w:sz w:val="13"/>
                <w:szCs w:val="13"/>
                <w:color w:val="auto"/>
              </w:rPr>
              <w:t>1,550</w:t>
            </w:r>
          </w:p>
        </w:tc>
        <w:tc>
          <w:tcPr>
            <w:tcW w:w="200" w:type="dxa"/>
            <w:vAlign w:val="bottom"/>
          </w:tcPr>
          <w:p>
            <w:pPr>
              <w:spacing w:after="0"/>
              <w:rPr>
                <w:sz w:val="12"/>
                <w:szCs w:val="12"/>
                <w:color w:val="auto"/>
              </w:rPr>
            </w:pPr>
          </w:p>
        </w:tc>
      </w:tr>
      <w:tr>
        <w:trPr>
          <w:trHeight w:val="20"/>
        </w:trPr>
        <w:tc>
          <w:tcPr>
            <w:tcW w:w="65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71" w:lineRule="exact"/>
        <w:rPr>
          <w:sz w:val="20"/>
          <w:szCs w:val="20"/>
          <w:color w:val="auto"/>
        </w:rPr>
      </w:pPr>
    </w:p>
    <w:p>
      <w:pPr>
        <w:ind w:left="1080" w:hanging="249"/>
        <w:spacing w:after="0"/>
        <w:tabs>
          <w:tab w:leader="none" w:pos="1080" w:val="left"/>
        </w:tabs>
        <w:numPr>
          <w:ilvl w:val="0"/>
          <w:numId w:val="67"/>
        </w:numPr>
        <w:rPr>
          <w:rFonts w:ascii="Arial" w:cs="Arial" w:eastAsia="Arial" w:hAnsi="Arial"/>
          <w:sz w:val="10"/>
          <w:szCs w:val="10"/>
          <w:color w:val="auto"/>
        </w:rPr>
      </w:pPr>
      <w:r>
        <w:rPr>
          <w:rFonts w:ascii="Arial" w:cs="Arial" w:eastAsia="Arial" w:hAnsi="Arial"/>
          <w:sz w:val="10"/>
          <w:szCs w:val="10"/>
          <w:color w:val="auto"/>
        </w:rPr>
        <w:t>Refer to “Dispositions and sales of partial interests” in Item 2 for additional details.</w:t>
      </w:r>
    </w:p>
    <w:p>
      <w:pPr>
        <w:spacing w:after="0" w:line="201" w:lineRule="exact"/>
        <w:rPr>
          <w:sz w:val="20"/>
          <w:szCs w:val="20"/>
          <w:color w:val="auto"/>
        </w:rPr>
      </w:pPr>
    </w:p>
    <w:p>
      <w:pPr>
        <w:ind w:left="640"/>
        <w:spacing w:after="0"/>
        <w:rPr>
          <w:sz w:val="20"/>
          <w:szCs w:val="20"/>
          <w:color w:val="auto"/>
        </w:rPr>
      </w:pPr>
      <w:r>
        <w:rPr>
          <w:rFonts w:ascii="Arial" w:cs="Arial" w:eastAsia="Arial" w:hAnsi="Arial"/>
          <w:sz w:val="13"/>
          <w:szCs w:val="13"/>
          <w:u w:val="single" w:color="auto"/>
          <w:color w:val="auto"/>
          <w:highlight w:val="white"/>
        </w:rPr>
        <w:t>Strong balance sheet management</w:t>
      </w:r>
    </w:p>
    <w:p>
      <w:pPr>
        <w:spacing w:after="0" w:line="164" w:lineRule="exact"/>
        <w:rPr>
          <w:sz w:val="20"/>
          <w:szCs w:val="20"/>
          <w:color w:val="auto"/>
        </w:rPr>
      </w:pPr>
    </w:p>
    <w:p>
      <w:pPr>
        <w:ind w:left="640"/>
        <w:spacing w:after="0"/>
        <w:rPr>
          <w:sz w:val="20"/>
          <w:szCs w:val="20"/>
          <w:color w:val="auto"/>
        </w:rPr>
      </w:pPr>
      <w:r>
        <w:rPr>
          <w:rFonts w:ascii="Arial" w:cs="Arial" w:eastAsia="Arial" w:hAnsi="Arial"/>
          <w:sz w:val="13"/>
          <w:szCs w:val="13"/>
          <w:i w:val="1"/>
          <w:iCs w:val="1"/>
          <w:u w:val="single" w:color="auto"/>
          <w:color w:val="auto"/>
        </w:rPr>
        <w:t>Key capital metrics as of or for the three months ended June 30, 2024</w:t>
      </w:r>
    </w:p>
    <w:p>
      <w:pPr>
        <w:spacing w:after="0" w:line="149"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3660" w:type="dxa"/>
            <w:vAlign w:val="bottom"/>
          </w:tcPr>
          <w:p>
            <w:pPr>
              <w:spacing w:after="0"/>
              <w:rPr>
                <w:sz w:val="13"/>
                <w:szCs w:val="13"/>
                <w:color w:val="auto"/>
              </w:rPr>
            </w:pPr>
          </w:p>
        </w:tc>
        <w:tc>
          <w:tcPr>
            <w:tcW w:w="2160" w:type="dxa"/>
            <w:vAlign w:val="bottom"/>
            <w:tcBorders>
              <w:bottom w:val="single" w:sz="8" w:color="auto"/>
            </w:tcBorders>
            <w:gridSpan w:val="3"/>
          </w:tcPr>
          <w:p>
            <w:pPr>
              <w:ind w:left="680"/>
              <w:spacing w:after="0"/>
              <w:rPr>
                <w:sz w:val="20"/>
                <w:szCs w:val="20"/>
                <w:color w:val="auto"/>
              </w:rPr>
            </w:pPr>
            <w:r>
              <w:rPr>
                <w:rFonts w:ascii="Arial" w:cs="Arial" w:eastAsia="Arial" w:hAnsi="Arial"/>
                <w:sz w:val="13"/>
                <w:szCs w:val="13"/>
                <w:color w:val="auto"/>
              </w:rPr>
              <w:t>June 30, 2024</w:t>
            </w:r>
          </w:p>
        </w:tc>
        <w:tc>
          <w:tcPr>
            <w:tcW w:w="6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131"/>
        </w:trPr>
        <w:tc>
          <w:tcPr>
            <w:tcW w:w="3660" w:type="dxa"/>
            <w:vAlign w:val="bottom"/>
          </w:tcPr>
          <w:p>
            <w:pPr>
              <w:spacing w:after="0"/>
              <w:rPr>
                <w:sz w:val="11"/>
                <w:szCs w:val="11"/>
                <w:color w:val="auto"/>
              </w:rPr>
            </w:pPr>
          </w:p>
        </w:tc>
        <w:tc>
          <w:tcPr>
            <w:tcW w:w="1100" w:type="dxa"/>
            <w:vAlign w:val="bottom"/>
            <w:gridSpan w:val="2"/>
          </w:tcPr>
          <w:p>
            <w:pPr>
              <w:jc w:val="center"/>
              <w:ind w:right="60"/>
              <w:spacing w:after="0" w:line="131" w:lineRule="exact"/>
              <w:rPr>
                <w:sz w:val="20"/>
                <w:szCs w:val="20"/>
                <w:color w:val="auto"/>
              </w:rPr>
            </w:pPr>
            <w:r>
              <w:rPr>
                <w:rFonts w:ascii="Arial" w:cs="Arial" w:eastAsia="Arial" w:hAnsi="Arial"/>
                <w:sz w:val="13"/>
                <w:szCs w:val="13"/>
                <w:color w:val="auto"/>
                <w:w w:val="99"/>
              </w:rPr>
              <w:t>Quarter</w:t>
            </w:r>
          </w:p>
        </w:tc>
        <w:tc>
          <w:tcPr>
            <w:tcW w:w="1060" w:type="dxa"/>
            <w:vAlign w:val="bottom"/>
          </w:tcPr>
          <w:p>
            <w:pPr>
              <w:jc w:val="center"/>
              <w:spacing w:after="0" w:line="131" w:lineRule="exact"/>
              <w:rPr>
                <w:sz w:val="20"/>
                <w:szCs w:val="20"/>
                <w:color w:val="auto"/>
              </w:rPr>
            </w:pPr>
            <w:r>
              <w:rPr>
                <w:rFonts w:ascii="Arial" w:cs="Arial" w:eastAsia="Arial" w:hAnsi="Arial"/>
                <w:sz w:val="13"/>
                <w:szCs w:val="13"/>
                <w:color w:val="auto"/>
                <w:w w:val="98"/>
              </w:rPr>
              <w:t>Trailing</w:t>
            </w:r>
          </w:p>
        </w:tc>
        <w:tc>
          <w:tcPr>
            <w:tcW w:w="60" w:type="dxa"/>
            <w:vAlign w:val="bottom"/>
          </w:tcPr>
          <w:p>
            <w:pPr>
              <w:spacing w:after="0"/>
              <w:rPr>
                <w:sz w:val="11"/>
                <w:szCs w:val="11"/>
                <w:color w:val="auto"/>
              </w:rPr>
            </w:pPr>
          </w:p>
        </w:tc>
        <w:tc>
          <w:tcPr>
            <w:tcW w:w="1860" w:type="dxa"/>
            <w:vAlign w:val="bottom"/>
          </w:tcPr>
          <w:p>
            <w:pPr>
              <w:jc w:val="center"/>
              <w:spacing w:after="0" w:line="131" w:lineRule="exact"/>
              <w:rPr>
                <w:sz w:val="20"/>
                <w:szCs w:val="20"/>
                <w:color w:val="auto"/>
              </w:rPr>
            </w:pPr>
            <w:r>
              <w:rPr>
                <w:rFonts w:ascii="Arial" w:cs="Arial" w:eastAsia="Arial" w:hAnsi="Arial"/>
                <w:sz w:val="13"/>
                <w:szCs w:val="13"/>
                <w:color w:val="auto"/>
                <w:w w:val="97"/>
              </w:rPr>
              <w:t>Target for Fourth Quarter of</w:t>
            </w:r>
          </w:p>
        </w:tc>
      </w:tr>
      <w:tr>
        <w:trPr>
          <w:trHeight w:val="161"/>
        </w:trPr>
        <w:tc>
          <w:tcPr>
            <w:tcW w:w="3660" w:type="dxa"/>
            <w:vAlign w:val="bottom"/>
            <w:tcBorders>
              <w:bottom w:val="single" w:sz="8" w:color="CCEEFF"/>
            </w:tcBorders>
          </w:tcPr>
          <w:p>
            <w:pPr>
              <w:spacing w:after="0"/>
              <w:rPr>
                <w:sz w:val="13"/>
                <w:szCs w:val="13"/>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9"/>
              </w:rPr>
              <w:t>Annualized</w:t>
            </w:r>
          </w:p>
        </w:tc>
        <w:tc>
          <w:tcPr>
            <w:tcW w:w="60" w:type="dxa"/>
            <w:vAlign w:val="bottom"/>
            <w:tcBorders>
              <w:bottom w:val="single" w:sz="8" w:color="CCEEFF"/>
            </w:tcBorders>
          </w:tcPr>
          <w:p>
            <w:pPr>
              <w:spacing w:after="0"/>
              <w:rPr>
                <w:sz w:val="13"/>
                <w:szCs w:val="13"/>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8"/>
              </w:rPr>
              <w:t>12 Months</w:t>
            </w:r>
          </w:p>
        </w:tc>
        <w:tc>
          <w:tcPr>
            <w:tcW w:w="60" w:type="dxa"/>
            <w:vAlign w:val="bottom"/>
            <w:tcBorders>
              <w:bottom w:val="single" w:sz="8" w:color="CCEEFF"/>
            </w:tcBorders>
          </w:tcPr>
          <w:p>
            <w:pPr>
              <w:spacing w:after="0"/>
              <w:rPr>
                <w:sz w:val="13"/>
                <w:szCs w:val="13"/>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9"/>
              </w:rPr>
              <w:t>2024 Annualized</w:t>
            </w:r>
          </w:p>
        </w:tc>
      </w:tr>
      <w:tr>
        <w:trPr>
          <w:trHeight w:val="184"/>
        </w:trPr>
        <w:tc>
          <w:tcPr>
            <w:tcW w:w="366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debt and preferred stock to Adjusted EBITDA</w:t>
            </w:r>
          </w:p>
        </w:tc>
        <w:tc>
          <w:tcPr>
            <w:tcW w:w="1100" w:type="dxa"/>
            <w:vAlign w:val="bottom"/>
            <w:gridSpan w:val="2"/>
            <w:shd w:val="clear" w:color="auto" w:fill="CCEEFF"/>
          </w:tcPr>
          <w:p>
            <w:pPr>
              <w:jc w:val="center"/>
              <w:ind w:right="60"/>
              <w:spacing w:after="0"/>
              <w:rPr>
                <w:sz w:val="20"/>
                <w:szCs w:val="20"/>
                <w:color w:val="auto"/>
              </w:rPr>
            </w:pPr>
            <w:r>
              <w:rPr>
                <w:rFonts w:ascii="Arial" w:cs="Arial" w:eastAsia="Arial" w:hAnsi="Arial"/>
                <w:sz w:val="13"/>
                <w:szCs w:val="13"/>
                <w:color w:val="auto"/>
                <w:w w:val="97"/>
              </w:rPr>
              <w:t>5.4x</w:t>
            </w:r>
          </w:p>
        </w:tc>
        <w:tc>
          <w:tcPr>
            <w:tcW w:w="10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5.6x</w:t>
            </w:r>
          </w:p>
        </w:tc>
        <w:tc>
          <w:tcPr>
            <w:tcW w:w="60" w:type="dxa"/>
            <w:vAlign w:val="bottom"/>
            <w:shd w:val="clear" w:color="auto" w:fill="CCEEFF"/>
          </w:tcPr>
          <w:p>
            <w:pPr>
              <w:spacing w:after="0"/>
              <w:rPr>
                <w:sz w:val="16"/>
                <w:szCs w:val="16"/>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8"/>
              </w:rPr>
              <w:t>Less than or equal to 5.1x</w:t>
            </w:r>
          </w:p>
        </w:tc>
      </w:tr>
      <w:tr>
        <w:trPr>
          <w:trHeight w:val="201"/>
        </w:trPr>
        <w:tc>
          <w:tcPr>
            <w:tcW w:w="3660" w:type="dxa"/>
            <w:vAlign w:val="bottom"/>
          </w:tcPr>
          <w:p>
            <w:pPr>
              <w:ind w:left="40"/>
              <w:spacing w:after="0"/>
              <w:rPr>
                <w:sz w:val="20"/>
                <w:szCs w:val="20"/>
                <w:color w:val="auto"/>
              </w:rPr>
            </w:pPr>
            <w:r>
              <w:rPr>
                <w:rFonts w:ascii="Arial" w:cs="Arial" w:eastAsia="Arial" w:hAnsi="Arial"/>
                <w:sz w:val="13"/>
                <w:szCs w:val="13"/>
                <w:color w:val="auto"/>
              </w:rPr>
              <w:t>Fixed-charge coverage ratio</w:t>
            </w:r>
          </w:p>
        </w:tc>
        <w:tc>
          <w:tcPr>
            <w:tcW w:w="1100" w:type="dxa"/>
            <w:vAlign w:val="bottom"/>
            <w:gridSpan w:val="2"/>
          </w:tcPr>
          <w:p>
            <w:pPr>
              <w:jc w:val="center"/>
              <w:ind w:right="60"/>
              <w:spacing w:after="0"/>
              <w:rPr>
                <w:sz w:val="20"/>
                <w:szCs w:val="20"/>
                <w:color w:val="auto"/>
              </w:rPr>
            </w:pPr>
            <w:r>
              <w:rPr>
                <w:rFonts w:ascii="Arial" w:cs="Arial" w:eastAsia="Arial" w:hAnsi="Arial"/>
                <w:sz w:val="13"/>
                <w:szCs w:val="13"/>
                <w:color w:val="auto"/>
                <w:w w:val="97"/>
              </w:rPr>
              <w:t>4.5x</w:t>
            </w:r>
          </w:p>
        </w:tc>
        <w:tc>
          <w:tcPr>
            <w:tcW w:w="1060" w:type="dxa"/>
            <w:vAlign w:val="bottom"/>
          </w:tcPr>
          <w:p>
            <w:pPr>
              <w:jc w:val="center"/>
              <w:spacing w:after="0"/>
              <w:rPr>
                <w:sz w:val="20"/>
                <w:szCs w:val="20"/>
                <w:color w:val="auto"/>
              </w:rPr>
            </w:pPr>
            <w:r>
              <w:rPr>
                <w:rFonts w:ascii="Arial" w:cs="Arial" w:eastAsia="Arial" w:hAnsi="Arial"/>
                <w:sz w:val="13"/>
                <w:szCs w:val="13"/>
                <w:color w:val="auto"/>
                <w:w w:val="97"/>
              </w:rPr>
              <w:t>4.6x</w:t>
            </w:r>
          </w:p>
        </w:tc>
        <w:tc>
          <w:tcPr>
            <w:tcW w:w="60" w:type="dxa"/>
            <w:vAlign w:val="bottom"/>
          </w:tcPr>
          <w:p>
            <w:pPr>
              <w:spacing w:after="0"/>
              <w:rPr>
                <w:sz w:val="17"/>
                <w:szCs w:val="17"/>
                <w:color w:val="auto"/>
              </w:rPr>
            </w:pPr>
          </w:p>
        </w:tc>
        <w:tc>
          <w:tcPr>
            <w:tcW w:w="1860" w:type="dxa"/>
            <w:vAlign w:val="bottom"/>
          </w:tcPr>
          <w:p>
            <w:pPr>
              <w:jc w:val="center"/>
              <w:spacing w:after="0"/>
              <w:rPr>
                <w:sz w:val="20"/>
                <w:szCs w:val="20"/>
                <w:color w:val="auto"/>
              </w:rPr>
            </w:pPr>
            <w:r>
              <w:rPr>
                <w:rFonts w:ascii="Arial" w:cs="Arial" w:eastAsia="Arial" w:hAnsi="Arial"/>
                <w:sz w:val="13"/>
                <w:szCs w:val="13"/>
                <w:color w:val="auto"/>
                <w:w w:val="98"/>
              </w:rPr>
              <w:t>Greater than or equal to 4.5x</w:t>
            </w:r>
          </w:p>
        </w:tc>
      </w:tr>
    </w:tbl>
    <w:p>
      <w:pPr>
        <w:spacing w:after="0" w:line="68" w:lineRule="exact"/>
        <w:rPr>
          <w:sz w:val="20"/>
          <w:szCs w:val="20"/>
          <w:color w:val="auto"/>
        </w:rPr>
      </w:pPr>
    </w:p>
    <w:p>
      <w:pPr>
        <w:ind w:left="1160" w:hanging="264"/>
        <w:spacing w:after="0"/>
        <w:tabs>
          <w:tab w:leader="none" w:pos="1160" w:val="left"/>
        </w:tabs>
        <w:numPr>
          <w:ilvl w:val="0"/>
          <w:numId w:val="68"/>
        </w:numPr>
        <w:rPr>
          <w:rFonts w:ascii="Arial" w:cs="Arial" w:eastAsia="Arial" w:hAnsi="Arial"/>
          <w:sz w:val="13"/>
          <w:szCs w:val="13"/>
          <w:color w:val="auto"/>
        </w:rPr>
      </w:pPr>
      <w:r>
        <w:rPr>
          <w:rFonts w:ascii="Arial" w:cs="Arial" w:eastAsia="Arial" w:hAnsi="Arial"/>
          <w:sz w:val="13"/>
          <w:szCs w:val="13"/>
          <w:color w:val="auto"/>
        </w:rPr>
        <w:t>$32.5 billion in total market capitalization.</w:t>
      </w:r>
    </w:p>
    <w:p>
      <w:pPr>
        <w:spacing w:after="0" w:line="19" w:lineRule="exact"/>
        <w:rPr>
          <w:rFonts w:ascii="Arial" w:cs="Arial" w:eastAsia="Arial" w:hAnsi="Arial"/>
          <w:sz w:val="13"/>
          <w:szCs w:val="13"/>
          <w:color w:val="auto"/>
        </w:rPr>
      </w:pPr>
    </w:p>
    <w:p>
      <w:pPr>
        <w:ind w:left="1160" w:hanging="264"/>
        <w:spacing w:after="0"/>
        <w:tabs>
          <w:tab w:leader="none" w:pos="1160" w:val="left"/>
        </w:tabs>
        <w:numPr>
          <w:ilvl w:val="0"/>
          <w:numId w:val="68"/>
        </w:numPr>
        <w:rPr>
          <w:rFonts w:ascii="Arial" w:cs="Arial" w:eastAsia="Arial" w:hAnsi="Arial"/>
          <w:sz w:val="13"/>
          <w:szCs w:val="13"/>
          <w:color w:val="auto"/>
        </w:rPr>
      </w:pPr>
      <w:r>
        <w:rPr>
          <w:rFonts w:ascii="Arial" w:cs="Arial" w:eastAsia="Arial" w:hAnsi="Arial"/>
          <w:sz w:val="13"/>
          <w:szCs w:val="13"/>
          <w:color w:val="auto"/>
        </w:rPr>
        <w:t>$20.1 billion in total equity capitalization, which ranks in the top 10% among all publicly traded U.S. REITs.</w:t>
      </w:r>
    </w:p>
    <w:p>
      <w:pPr>
        <w:spacing w:after="0" w:line="5" w:lineRule="exact"/>
        <w:rPr>
          <w:rFonts w:ascii="Arial" w:cs="Arial" w:eastAsia="Arial" w:hAnsi="Arial"/>
          <w:sz w:val="13"/>
          <w:szCs w:val="13"/>
          <w:color w:val="auto"/>
        </w:rPr>
      </w:pPr>
    </w:p>
    <w:p>
      <w:pPr>
        <w:ind w:left="1160" w:hanging="264"/>
        <w:spacing w:after="0"/>
        <w:tabs>
          <w:tab w:leader="none" w:pos="1160" w:val="left"/>
        </w:tabs>
        <w:numPr>
          <w:ilvl w:val="0"/>
          <w:numId w:val="68"/>
        </w:numPr>
        <w:rPr>
          <w:rFonts w:ascii="Arial" w:cs="Arial" w:eastAsia="Arial" w:hAnsi="Arial"/>
          <w:sz w:val="13"/>
          <w:szCs w:val="13"/>
          <w:color w:val="auto"/>
        </w:rPr>
      </w:pPr>
      <w:r>
        <w:rPr>
          <w:rFonts w:ascii="Arial" w:cs="Arial" w:eastAsia="Arial" w:hAnsi="Arial"/>
          <w:sz w:val="13"/>
          <w:szCs w:val="13"/>
          <w:color w:val="auto"/>
        </w:rPr>
        <w:t>As of June 30, 2024, our non-real estate investments aggregated $1.5 billion:</w:t>
      </w:r>
    </w:p>
    <w:p>
      <w:pPr>
        <w:ind w:left="1420" w:right="679" w:hanging="267"/>
        <w:spacing w:after="0" w:line="249" w:lineRule="auto"/>
        <w:tabs>
          <w:tab w:leader="none" w:pos="1420" w:val="left"/>
        </w:tabs>
        <w:numPr>
          <w:ilvl w:val="1"/>
          <w:numId w:val="68"/>
        </w:numPr>
        <w:rPr>
          <w:rFonts w:ascii="Arial" w:cs="Arial" w:eastAsia="Arial" w:hAnsi="Arial"/>
          <w:sz w:val="13"/>
          <w:szCs w:val="13"/>
          <w:color w:val="auto"/>
        </w:rPr>
      </w:pPr>
      <w:r>
        <w:rPr>
          <w:rFonts w:ascii="Arial" w:cs="Arial" w:eastAsia="Arial" w:hAnsi="Arial"/>
          <w:sz w:val="13"/>
          <w:szCs w:val="13"/>
          <w:color w:val="auto"/>
        </w:rPr>
        <w:t>Unrealized gains presented in our consolidated balance sheet were $159.8 million, comprising gross unrealized gains and losses aggregating $284.2 million and $124.4 million, respectively.</w:t>
      </w:r>
    </w:p>
    <w:p>
      <w:pPr>
        <w:spacing w:after="0" w:line="1" w:lineRule="exact"/>
        <w:rPr>
          <w:rFonts w:ascii="Arial" w:cs="Arial" w:eastAsia="Arial" w:hAnsi="Arial"/>
          <w:sz w:val="13"/>
          <w:szCs w:val="13"/>
          <w:color w:val="auto"/>
        </w:rPr>
      </w:pPr>
    </w:p>
    <w:p>
      <w:pPr>
        <w:ind w:left="1160" w:right="839" w:hanging="264"/>
        <w:spacing w:after="0" w:line="252" w:lineRule="auto"/>
        <w:tabs>
          <w:tab w:leader="none" w:pos="1160" w:val="left"/>
        </w:tabs>
        <w:numPr>
          <w:ilvl w:val="0"/>
          <w:numId w:val="68"/>
        </w:numPr>
        <w:rPr>
          <w:rFonts w:ascii="Arial" w:cs="Arial" w:eastAsia="Arial" w:hAnsi="Arial"/>
          <w:sz w:val="12"/>
          <w:szCs w:val="12"/>
          <w:color w:val="auto"/>
        </w:rPr>
      </w:pPr>
      <w:r>
        <w:rPr>
          <w:rFonts w:ascii="Arial" w:cs="Arial" w:eastAsia="Arial" w:hAnsi="Arial"/>
          <w:sz w:val="13"/>
          <w:szCs w:val="13"/>
          <w:color w:val="auto"/>
        </w:rPr>
        <w:t>Investment loss of $43.7 million for the three months ended June 30, 2024 presented in our consolidated statement of operations consisted of $33.4 million of realized gains, offset by $12.8 million of impairment charges and $64.2 million of unrealized losses. Investment loss of $0.4 million for the six months ended June 30, 2024 presented in our consolidated statement of operations consisted of $62.2 million of realized gains, offset by impairment charges of $27.5 million and $35.1 million of unrealized losses.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188595</wp:posOffset>
            </wp:positionV>
            <wp:extent cx="5584190" cy="57588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584190" cy="5758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640"/>
        <w:spacing w:after="0"/>
        <w:rPr>
          <w:sz w:val="20"/>
          <w:szCs w:val="20"/>
          <w:color w:val="auto"/>
        </w:rPr>
      </w:pPr>
      <w:r>
        <w:rPr>
          <w:rFonts w:ascii="Arial" w:cs="Arial" w:eastAsia="Arial" w:hAnsi="Arial"/>
          <w:sz w:val="13"/>
          <w:szCs w:val="13"/>
          <w:i w:val="1"/>
          <w:iCs w:val="1"/>
          <w:u w:val="single" w:color="auto"/>
          <w:color w:val="auto"/>
        </w:rPr>
        <w:t>Key capital events</w:t>
      </w:r>
    </w:p>
    <w:p>
      <w:pPr>
        <w:spacing w:after="0" w:line="160" w:lineRule="exact"/>
        <w:rPr>
          <w:sz w:val="20"/>
          <w:szCs w:val="20"/>
          <w:color w:val="auto"/>
        </w:rPr>
      </w:pPr>
    </w:p>
    <w:p>
      <w:pPr>
        <w:ind w:left="1160" w:right="739" w:hanging="264"/>
        <w:spacing w:after="0" w:line="253" w:lineRule="auto"/>
        <w:tabs>
          <w:tab w:leader="none" w:pos="1160" w:val="left"/>
        </w:tabs>
        <w:numPr>
          <w:ilvl w:val="0"/>
          <w:numId w:val="69"/>
        </w:numPr>
        <w:rPr>
          <w:rFonts w:ascii="Arial" w:cs="Arial" w:eastAsia="Arial" w:hAnsi="Arial"/>
          <w:sz w:val="12"/>
          <w:szCs w:val="12"/>
          <w:color w:val="auto"/>
        </w:rPr>
      </w:pPr>
      <w:r>
        <w:rPr>
          <w:rFonts w:ascii="Arial" w:cs="Arial" w:eastAsia="Arial" w:hAnsi="Arial"/>
          <w:sz w:val="13"/>
          <w:szCs w:val="13"/>
          <w:color w:val="auto"/>
        </w:rPr>
        <w:t>In July 2024, we executed an agreement with the lender group to amend and restate our unsecured senior line of credit to, among other changes, extend the maturity date from January 22, 2028 to January 22, 2030, including extension options that we control. We expect that the amendment and restatement will become effective in September 2024 upon the satisfaction of certain conditions.</w:t>
      </w:r>
    </w:p>
    <w:p>
      <w:pPr>
        <w:ind w:left="1160" w:hanging="264"/>
        <w:spacing w:after="0"/>
        <w:tabs>
          <w:tab w:leader="none" w:pos="1160" w:val="left"/>
        </w:tabs>
        <w:numPr>
          <w:ilvl w:val="0"/>
          <w:numId w:val="69"/>
        </w:numPr>
        <w:rPr>
          <w:rFonts w:ascii="Arial" w:cs="Arial" w:eastAsia="Arial" w:hAnsi="Arial"/>
          <w:sz w:val="13"/>
          <w:szCs w:val="13"/>
          <w:color w:val="auto"/>
        </w:rPr>
      </w:pPr>
      <w:r>
        <w:rPr>
          <w:rFonts w:ascii="Arial" w:cs="Arial" w:eastAsia="Arial" w:hAnsi="Arial"/>
          <w:sz w:val="13"/>
          <w:szCs w:val="13"/>
          <w:color w:val="auto"/>
        </w:rPr>
        <w:t>During the three months ended June 30, 2024, we entered into new forward equity sales agreements aggregating</w:t>
      </w:r>
    </w:p>
    <w:p>
      <w:pPr>
        <w:spacing w:after="0" w:line="5" w:lineRule="exact"/>
        <w:rPr>
          <w:rFonts w:ascii="Arial" w:cs="Arial" w:eastAsia="Arial" w:hAnsi="Arial"/>
          <w:sz w:val="13"/>
          <w:szCs w:val="13"/>
          <w:color w:val="auto"/>
        </w:rPr>
      </w:pPr>
    </w:p>
    <w:p>
      <w:pPr>
        <w:ind w:left="1160" w:right="679"/>
        <w:spacing w:after="0" w:line="250" w:lineRule="auto"/>
        <w:rPr>
          <w:rFonts w:ascii="Arial" w:cs="Arial" w:eastAsia="Arial" w:hAnsi="Arial"/>
          <w:sz w:val="13"/>
          <w:szCs w:val="13"/>
          <w:color w:val="auto"/>
        </w:rPr>
      </w:pPr>
      <w:r>
        <w:rPr>
          <w:rFonts w:ascii="Arial" w:cs="Arial" w:eastAsia="Arial" w:hAnsi="Arial"/>
          <w:sz w:val="13"/>
          <w:szCs w:val="13"/>
          <w:color w:val="auto"/>
        </w:rPr>
        <w:t>$27.8 million to sell 230 thousand shares of common stock under our ATM program at an average price of $122.32 (before underwriting discounts). We expect to settle these forward equity sales agreements in 2024. As of June 30, 2024 and as of the date of this report, the remaining aggregate amount available under our ATM program for future sales of common stock was $1.47 billion.</w:t>
      </w:r>
    </w:p>
    <w:p>
      <w:pPr>
        <w:spacing w:after="0" w:line="138" w:lineRule="exact"/>
        <w:rPr>
          <w:sz w:val="20"/>
          <w:szCs w:val="20"/>
          <w:color w:val="auto"/>
        </w:rPr>
      </w:pPr>
    </w:p>
    <w:p>
      <w:pPr>
        <w:ind w:left="640"/>
        <w:spacing w:after="0"/>
        <w:rPr>
          <w:sz w:val="20"/>
          <w:szCs w:val="20"/>
          <w:color w:val="auto"/>
        </w:rPr>
      </w:pPr>
      <w:r>
        <w:rPr>
          <w:rFonts w:ascii="Arial" w:cs="Arial" w:eastAsia="Arial" w:hAnsi="Arial"/>
          <w:sz w:val="13"/>
          <w:szCs w:val="13"/>
          <w:u w:val="single" w:color="auto"/>
          <w:color w:val="auto"/>
        </w:rPr>
        <w:t>External growth and investments in real estate</w:t>
      </w:r>
    </w:p>
    <w:p>
      <w:pPr>
        <w:spacing w:after="0" w:line="164" w:lineRule="exact"/>
        <w:rPr>
          <w:sz w:val="20"/>
          <w:szCs w:val="20"/>
          <w:color w:val="auto"/>
        </w:rPr>
      </w:pPr>
    </w:p>
    <w:p>
      <w:pPr>
        <w:jc w:val="both"/>
        <w:ind w:left="640" w:right="659"/>
        <w:spacing w:after="0" w:line="263" w:lineRule="auto"/>
        <w:rPr>
          <w:sz w:val="20"/>
          <w:szCs w:val="20"/>
          <w:color w:val="auto"/>
        </w:rPr>
      </w:pPr>
      <w:r>
        <w:rPr>
          <w:rFonts w:ascii="Arial" w:cs="Arial" w:eastAsia="Arial" w:hAnsi="Arial"/>
          <w:sz w:val="13"/>
          <w:szCs w:val="13"/>
          <w:i w:val="1"/>
          <w:iCs w:val="1"/>
          <w:u w:val="single" w:color="auto"/>
          <w:color w:val="auto"/>
        </w:rPr>
        <w:t>Alexandria’s highly leased value-creation pipeline delivered incremental annual net operating income of $16 million, commencing during the three months ended June 30, 2024, and is expected to deliver incremental annual net operating income aggregating $480 million by the first quarter of 2028</w:t>
      </w:r>
    </w:p>
    <w:p>
      <w:pPr>
        <w:spacing w:after="0" w:line="129" w:lineRule="exact"/>
        <w:rPr>
          <w:sz w:val="20"/>
          <w:szCs w:val="20"/>
          <w:color w:val="auto"/>
        </w:rPr>
      </w:pPr>
    </w:p>
    <w:p>
      <w:pPr>
        <w:ind w:left="1160" w:right="779" w:hanging="264"/>
        <w:spacing w:after="0" w:line="251" w:lineRule="auto"/>
        <w:tabs>
          <w:tab w:leader="none" w:pos="1160" w:val="left"/>
        </w:tabs>
        <w:numPr>
          <w:ilvl w:val="0"/>
          <w:numId w:val="70"/>
        </w:numPr>
        <w:rPr>
          <w:rFonts w:ascii="Arial" w:cs="Arial" w:eastAsia="Arial" w:hAnsi="Arial"/>
          <w:sz w:val="13"/>
          <w:szCs w:val="13"/>
          <w:color w:val="auto"/>
          <w:highlight w:val="white"/>
        </w:rPr>
      </w:pPr>
      <w:r>
        <w:rPr>
          <w:rFonts w:ascii="Arial" w:cs="Arial" w:eastAsia="Arial" w:hAnsi="Arial"/>
          <w:sz w:val="13"/>
          <w:szCs w:val="13"/>
          <w:color w:val="auto"/>
        </w:rPr>
        <w:t>During the three months ended June 30, 2024, we placed into service development and redevelopment projects aggregating 284,982 RSF that are 100% leased across multiple submarkets and delivered incremental annual net operating income of $16 million. Deliveries during the three months ended June 30, 2024 included:</w:t>
      </w:r>
    </w:p>
    <w:p>
      <w:pPr>
        <w:ind w:left="1420" w:right="1199" w:hanging="267"/>
        <w:spacing w:after="0" w:line="227" w:lineRule="auto"/>
        <w:tabs>
          <w:tab w:leader="none" w:pos="1420" w:val="left"/>
        </w:tabs>
        <w:numPr>
          <w:ilvl w:val="1"/>
          <w:numId w:val="70"/>
        </w:numPr>
        <w:rPr>
          <w:rFonts w:ascii="Arial" w:cs="Arial" w:eastAsia="Arial" w:hAnsi="Arial"/>
          <w:sz w:val="13"/>
          <w:szCs w:val="13"/>
          <w:color w:val="auto"/>
        </w:rPr>
      </w:pPr>
      <w:r>
        <w:rPr>
          <w:rFonts w:ascii="Arial" w:cs="Arial" w:eastAsia="Arial" w:hAnsi="Arial"/>
          <w:sz w:val="13"/>
          <w:szCs w:val="13"/>
          <w:color w:val="auto"/>
        </w:rPr>
        <w:t>195,435 and 25,655 RSF at 9810 Darnestown Road and 9808 Medical Center Drive, respectively, located on the Alexandria Center</w:t>
      </w:r>
      <w:r>
        <w:rPr>
          <w:rFonts w:ascii="Arial" w:cs="Arial" w:eastAsia="Arial" w:hAnsi="Arial"/>
          <w:sz w:val="16"/>
          <w:szCs w:val="16"/>
          <w:color w:val="auto"/>
          <w:vertAlign w:val="superscript"/>
        </w:rPr>
        <w:t>®</w:t>
      </w:r>
      <w:r>
        <w:rPr>
          <w:rFonts w:ascii="Arial" w:cs="Arial" w:eastAsia="Arial" w:hAnsi="Arial"/>
          <w:sz w:val="13"/>
          <w:szCs w:val="13"/>
          <w:color w:val="auto"/>
        </w:rPr>
        <w:t xml:space="preserve"> for Life Science – Shady Grove mega campus in our Rockville submarket.</w:t>
      </w:r>
    </w:p>
    <w:p>
      <w:pPr>
        <w:ind w:left="1160" w:right="919" w:hanging="264"/>
        <w:spacing w:after="0" w:line="241" w:lineRule="auto"/>
        <w:tabs>
          <w:tab w:leader="none" w:pos="1160" w:val="left"/>
        </w:tabs>
        <w:numPr>
          <w:ilvl w:val="0"/>
          <w:numId w:val="70"/>
        </w:numPr>
        <w:rPr>
          <w:rFonts w:ascii="Arial" w:cs="Arial" w:eastAsia="Arial" w:hAnsi="Arial"/>
          <w:sz w:val="13"/>
          <w:szCs w:val="13"/>
          <w:color w:val="auto"/>
        </w:rPr>
      </w:pPr>
      <w:r>
        <w:rPr>
          <w:rFonts w:ascii="Arial" w:cs="Arial" w:eastAsia="Arial" w:hAnsi="Arial"/>
          <w:sz w:val="13"/>
          <w:szCs w:val="13"/>
          <w:color w:val="auto"/>
        </w:rPr>
        <w:t>Annual net operating income (cash basis) is expected to increase by $80 million upon the burn-off of initial free rent, with a weighted-average burn-off period of approximately seven months, from recently delivered projects.</w:t>
      </w:r>
    </w:p>
    <w:p>
      <w:pPr>
        <w:ind w:left="1160" w:hanging="264"/>
        <w:spacing w:after="0"/>
        <w:tabs>
          <w:tab w:leader="none" w:pos="1160" w:val="left"/>
        </w:tabs>
        <w:numPr>
          <w:ilvl w:val="0"/>
          <w:numId w:val="70"/>
        </w:numPr>
        <w:rPr>
          <w:rFonts w:ascii="Arial" w:cs="Arial" w:eastAsia="Arial" w:hAnsi="Arial"/>
          <w:sz w:val="13"/>
          <w:szCs w:val="13"/>
          <w:color w:val="auto"/>
        </w:rPr>
      </w:pPr>
      <w:r>
        <w:rPr>
          <w:rFonts w:ascii="Arial" w:cs="Arial" w:eastAsia="Arial" w:hAnsi="Arial"/>
          <w:sz w:val="13"/>
          <w:szCs w:val="13"/>
          <w:color w:val="auto"/>
        </w:rPr>
        <w:t>69% of the RSF in our total value-creation pipeline is within our mega campuses.</w:t>
      </w:r>
    </w:p>
    <w:p>
      <w:pPr>
        <w:spacing w:after="0" w:line="194" w:lineRule="exact"/>
        <w:rPr>
          <w:sz w:val="20"/>
          <w:szCs w:val="20"/>
          <w:color w:val="auto"/>
        </w:rPr>
      </w:pPr>
    </w:p>
    <w:tbl>
      <w:tblPr>
        <w:tblLayout w:type="fixed"/>
        <w:tblInd w:w="900" w:type="dxa"/>
        <w:tblCellMar>
          <w:top w:w="0" w:type="dxa"/>
          <w:left w:w="0" w:type="dxa"/>
          <w:bottom w:w="0" w:type="dxa"/>
          <w:right w:w="0" w:type="dxa"/>
        </w:tblCellMar>
      </w:tblPr>
      <w:tr>
        <w:trPr>
          <w:trHeight w:val="149"/>
        </w:trPr>
        <w:tc>
          <w:tcPr>
            <w:tcW w:w="3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jc w:val="center"/>
              <w:ind w:right="116"/>
              <w:spacing w:after="0"/>
              <w:rPr>
                <w:sz w:val="20"/>
                <w:szCs w:val="20"/>
                <w:color w:val="auto"/>
              </w:rPr>
            </w:pPr>
            <w:r>
              <w:rPr>
                <w:rFonts w:ascii="Arial" w:cs="Arial" w:eastAsia="Arial" w:hAnsi="Arial"/>
                <w:sz w:val="13"/>
                <w:szCs w:val="13"/>
                <w:color w:val="auto"/>
              </w:rPr>
              <w:t>Incremental</w:t>
            </w: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center"/>
              <w:ind w:left="196"/>
              <w:spacing w:after="0"/>
              <w:rPr>
                <w:sz w:val="20"/>
                <w:szCs w:val="20"/>
                <w:color w:val="auto"/>
              </w:rPr>
            </w:pPr>
            <w:r>
              <w:rPr>
                <w:rFonts w:ascii="Arial" w:cs="Arial" w:eastAsia="Arial" w:hAnsi="Arial"/>
                <w:sz w:val="13"/>
                <w:szCs w:val="13"/>
                <w:color w:val="auto"/>
                <w:w w:val="99"/>
              </w:rPr>
              <w:t>Leased/</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960" w:type="dxa"/>
            <w:vAlign w:val="bottom"/>
            <w:vMerge w:val="restart"/>
          </w:tcPr>
          <w:p>
            <w:pPr>
              <w:ind w:left="40"/>
              <w:spacing w:after="0"/>
              <w:rPr>
                <w:sz w:val="20"/>
                <w:szCs w:val="20"/>
                <w:color w:val="auto"/>
              </w:rPr>
            </w:pPr>
            <w:r>
              <w:rPr>
                <w:rFonts w:ascii="Arial" w:cs="Arial" w:eastAsia="Arial" w:hAnsi="Arial"/>
                <w:sz w:val="13"/>
                <w:szCs w:val="13"/>
                <w:color w:val="auto"/>
              </w:rPr>
              <w:t>Development and Redevelopment Projects</w:t>
            </w:r>
          </w:p>
        </w:tc>
        <w:tc>
          <w:tcPr>
            <w:tcW w:w="80" w:type="dxa"/>
            <w:vAlign w:val="bottom"/>
            <w:vMerge w:val="restart"/>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jc w:val="center"/>
              <w:ind w:right="116"/>
              <w:spacing w:after="0" w:line="129" w:lineRule="exact"/>
              <w:rPr>
                <w:sz w:val="20"/>
                <w:szCs w:val="20"/>
                <w:color w:val="auto"/>
              </w:rPr>
            </w:pPr>
            <w:r>
              <w:rPr>
                <w:rFonts w:ascii="Arial" w:cs="Arial" w:eastAsia="Arial" w:hAnsi="Arial"/>
                <w:sz w:val="13"/>
                <w:szCs w:val="13"/>
                <w:color w:val="auto"/>
                <w:w w:val="99"/>
              </w:rPr>
              <w:t>Annual Net</w:t>
            </w:r>
          </w:p>
        </w:tc>
        <w:tc>
          <w:tcPr>
            <w:tcW w:w="220" w:type="dxa"/>
            <w:vAlign w:val="bottom"/>
          </w:tcPr>
          <w:p>
            <w:pPr>
              <w:spacing w:after="0"/>
              <w:rPr>
                <w:sz w:val="11"/>
                <w:szCs w:val="11"/>
                <w:color w:val="auto"/>
              </w:rPr>
            </w:pPr>
          </w:p>
        </w:tc>
        <w:tc>
          <w:tcPr>
            <w:tcW w:w="880" w:type="dxa"/>
            <w:vAlign w:val="bottom"/>
            <w:vMerge w:val="restart"/>
          </w:tcPr>
          <w:p>
            <w:pPr>
              <w:jc w:val="right"/>
              <w:ind w:right="276"/>
              <w:spacing w:after="0"/>
              <w:rPr>
                <w:sz w:val="20"/>
                <w:szCs w:val="20"/>
                <w:color w:val="auto"/>
              </w:rPr>
            </w:pPr>
            <w:r>
              <w:rPr>
                <w:rFonts w:ascii="Arial" w:cs="Arial" w:eastAsia="Arial" w:hAnsi="Arial"/>
                <w:sz w:val="13"/>
                <w:szCs w:val="13"/>
                <w:color w:val="auto"/>
              </w:rPr>
              <w:t>RSF</w:t>
            </w:r>
          </w:p>
        </w:tc>
        <w:tc>
          <w:tcPr>
            <w:tcW w:w="80" w:type="dxa"/>
            <w:vAlign w:val="bottom"/>
            <w:vMerge w:val="restart"/>
          </w:tcPr>
          <w:p>
            <w:pPr>
              <w:spacing w:after="0"/>
              <w:rPr>
                <w:sz w:val="11"/>
                <w:szCs w:val="11"/>
                <w:color w:val="auto"/>
              </w:rPr>
            </w:pPr>
          </w:p>
        </w:tc>
        <w:tc>
          <w:tcPr>
            <w:tcW w:w="1000" w:type="dxa"/>
            <w:vAlign w:val="bottom"/>
            <w:gridSpan w:val="2"/>
          </w:tcPr>
          <w:p>
            <w:pPr>
              <w:jc w:val="center"/>
              <w:spacing w:after="0" w:line="129" w:lineRule="exact"/>
              <w:rPr>
                <w:sz w:val="20"/>
                <w:szCs w:val="20"/>
                <w:color w:val="auto"/>
              </w:rPr>
            </w:pPr>
            <w:r>
              <w:rPr>
                <w:rFonts w:ascii="Arial" w:cs="Arial" w:eastAsia="Arial" w:hAnsi="Arial"/>
                <w:sz w:val="13"/>
                <w:szCs w:val="13"/>
                <w:color w:val="auto"/>
                <w:w w:val="97"/>
              </w:rPr>
              <w:t>Negotiating</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96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vMerge w:val="continue"/>
          </w:tcPr>
          <w:p>
            <w:pPr>
              <w:spacing w:after="0"/>
              <w:rPr>
                <w:sz w:val="13"/>
                <w:szCs w:val="13"/>
                <w:color w:val="auto"/>
              </w:rPr>
            </w:pPr>
          </w:p>
        </w:tc>
        <w:tc>
          <w:tcPr>
            <w:tcW w:w="120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color w:val="auto"/>
              </w:rPr>
              <w:t>Operating Income</w:t>
            </w:r>
          </w:p>
        </w:tc>
        <w:tc>
          <w:tcPr>
            <w:tcW w:w="22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vMerge w:val="continue"/>
          </w:tcPr>
          <w:p>
            <w:pPr>
              <w:spacing w:after="0"/>
              <w:rPr>
                <w:sz w:val="13"/>
                <w:szCs w:val="13"/>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color w:val="auto"/>
                <w:w w:val="99"/>
              </w:rPr>
              <w:t>Percentage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4040" w:type="dxa"/>
            <w:vAlign w:val="bottom"/>
            <w:gridSpan w:val="2"/>
            <w:shd w:val="clear" w:color="auto" w:fill="CCEEFF"/>
          </w:tcPr>
          <w:p>
            <w:pPr>
              <w:ind w:left="40"/>
              <w:spacing w:after="0"/>
              <w:rPr>
                <w:sz w:val="20"/>
                <w:szCs w:val="20"/>
                <w:color w:val="auto"/>
              </w:rPr>
            </w:pPr>
            <w:r>
              <w:rPr>
                <w:rFonts w:ascii="Arial" w:cs="Arial" w:eastAsia="Arial" w:hAnsi="Arial"/>
                <w:sz w:val="13"/>
                <w:szCs w:val="13"/>
                <w:i w:val="1"/>
                <w:iCs w:val="1"/>
                <w:color w:val="auto"/>
              </w:rPr>
              <w:t>(dollars in millions)</w:t>
            </w: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20" w:type="dxa"/>
            <w:vAlign w:val="bottom"/>
            <w:tcBorders>
              <w:right w:val="single" w:sz="8" w:color="CCEEFF"/>
            </w:tcBorders>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040" w:type="dxa"/>
            <w:vAlign w:val="bottom"/>
            <w:gridSpan w:val="2"/>
          </w:tcPr>
          <w:p>
            <w:pPr>
              <w:ind w:left="40"/>
              <w:spacing w:after="0"/>
              <w:rPr>
                <w:sz w:val="20"/>
                <w:szCs w:val="20"/>
                <w:color w:val="auto"/>
              </w:rPr>
            </w:pPr>
            <w:r>
              <w:rPr>
                <w:rFonts w:ascii="Arial" w:cs="Arial" w:eastAsia="Arial" w:hAnsi="Arial"/>
                <w:sz w:val="13"/>
                <w:szCs w:val="13"/>
                <w:color w:val="auto"/>
              </w:rPr>
              <w:t>Placed into service:</w:t>
            </w: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04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Three months ended March 31, 2024</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w:t>
            </w:r>
          </w:p>
        </w:tc>
        <w:tc>
          <w:tcPr>
            <w:tcW w:w="1100" w:type="dxa"/>
            <w:vAlign w:val="bottom"/>
            <w:gridSpan w:val="2"/>
            <w:shd w:val="clear" w:color="auto" w:fill="CCEEFF"/>
          </w:tcPr>
          <w:p>
            <w:pPr>
              <w:jc w:val="right"/>
              <w:ind w:right="116"/>
              <w:spacing w:after="0"/>
              <w:rPr>
                <w:sz w:val="20"/>
                <w:szCs w:val="20"/>
                <w:color w:val="auto"/>
              </w:rPr>
            </w:pPr>
            <w:r>
              <w:rPr>
                <w:rFonts w:ascii="Arial" w:cs="Arial" w:eastAsia="Arial" w:hAnsi="Arial"/>
                <w:sz w:val="13"/>
                <w:szCs w:val="13"/>
                <w:color w:val="auto"/>
              </w:rPr>
              <w:t>343,445</w:t>
            </w: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2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040" w:type="dxa"/>
            <w:vAlign w:val="bottom"/>
            <w:tcBorders>
              <w:bottom w:val="single" w:sz="8" w:color="CCEEFF"/>
            </w:tcBorders>
            <w:gridSpan w:val="2"/>
          </w:tcPr>
          <w:p>
            <w:pPr>
              <w:ind w:left="120"/>
              <w:spacing w:after="0"/>
              <w:rPr>
                <w:sz w:val="20"/>
                <w:szCs w:val="20"/>
                <w:color w:val="auto"/>
              </w:rPr>
            </w:pPr>
            <w:r>
              <w:rPr>
                <w:rFonts w:ascii="Arial" w:cs="Arial" w:eastAsia="Arial" w:hAnsi="Arial"/>
                <w:sz w:val="13"/>
                <w:szCs w:val="13"/>
                <w:color w:val="auto"/>
              </w:rPr>
              <w:t>Three months ended June 30, 2024</w:t>
            </w: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w:t>
            </w:r>
          </w:p>
        </w:tc>
        <w:tc>
          <w:tcPr>
            <w:tcW w:w="22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rPr>
              <w:t>284,982</w:t>
            </w:r>
          </w:p>
        </w:tc>
        <w:tc>
          <w:tcPr>
            <w:tcW w:w="8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100</w:t>
            </w:r>
          </w:p>
        </w:tc>
        <w:tc>
          <w:tcPr>
            <w:tcW w:w="2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4040" w:type="dxa"/>
            <w:vAlign w:val="bottom"/>
            <w:gridSpan w:val="2"/>
            <w:shd w:val="clear" w:color="auto" w:fill="CCEEFF"/>
          </w:tcPr>
          <w:p>
            <w:pPr>
              <w:ind w:left="40"/>
              <w:spacing w:after="0" w:line="131" w:lineRule="exact"/>
              <w:rPr>
                <w:sz w:val="20"/>
                <w:szCs w:val="20"/>
                <w:color w:val="auto"/>
              </w:rPr>
            </w:pPr>
            <w:r>
              <w:rPr>
                <w:rFonts w:ascii="Arial" w:cs="Arial" w:eastAsia="Arial" w:hAnsi="Arial"/>
                <w:sz w:val="13"/>
                <w:szCs w:val="13"/>
                <w:color w:val="auto"/>
              </w:rPr>
              <w:t>Total placed into service during six months ended June 30, 2024</w:t>
            </w:r>
          </w:p>
        </w:tc>
        <w:tc>
          <w:tcPr>
            <w:tcW w:w="18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42</w:t>
            </w:r>
          </w:p>
        </w:tc>
        <w:tc>
          <w:tcPr>
            <w:tcW w:w="1100" w:type="dxa"/>
            <w:vAlign w:val="bottom"/>
            <w:gridSpan w:val="2"/>
            <w:shd w:val="clear" w:color="auto" w:fill="CCEEFF"/>
          </w:tcPr>
          <w:p>
            <w:pPr>
              <w:jc w:val="right"/>
              <w:ind w:right="116"/>
              <w:spacing w:after="0" w:line="131" w:lineRule="exact"/>
              <w:rPr>
                <w:sz w:val="20"/>
                <w:szCs w:val="20"/>
                <w:color w:val="auto"/>
              </w:rPr>
            </w:pPr>
            <w:r>
              <w:rPr>
                <w:rFonts w:ascii="Arial" w:cs="Arial" w:eastAsia="Arial" w:hAnsi="Arial"/>
                <w:sz w:val="13"/>
                <w:szCs w:val="13"/>
                <w:color w:val="auto"/>
              </w:rPr>
              <w:t>628,427</w:t>
            </w: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100%</w:t>
            </w:r>
          </w:p>
        </w:tc>
        <w:tc>
          <w:tcPr>
            <w:tcW w:w="24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3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4040" w:type="dxa"/>
            <w:vAlign w:val="bottom"/>
            <w:gridSpan w:val="2"/>
            <w:shd w:val="clear" w:color="auto" w:fill="CCEEFF"/>
          </w:tcPr>
          <w:p>
            <w:pPr>
              <w:ind w:left="40"/>
              <w:spacing w:after="0" w:line="183" w:lineRule="exact"/>
              <w:rPr>
                <w:sz w:val="20"/>
                <w:szCs w:val="20"/>
                <w:color w:val="auto"/>
              </w:rPr>
            </w:pPr>
            <w:r>
              <w:rPr>
                <w:rFonts w:ascii="Arial" w:cs="Arial" w:eastAsia="Arial" w:hAnsi="Arial"/>
                <w:sz w:val="13"/>
                <w:szCs w:val="13"/>
                <w:color w:val="auto"/>
              </w:rPr>
              <w:t>Expected to be placed into service</w:t>
            </w:r>
            <w:r>
              <w:rPr>
                <w:rFonts w:ascii="Arial" w:cs="Arial" w:eastAsia="Arial" w:hAnsi="Arial"/>
                <w:sz w:val="16"/>
                <w:szCs w:val="16"/>
                <w:color w:val="auto"/>
                <w:vertAlign w:val="superscript"/>
              </w:rPr>
              <w:t>(1)</w:t>
            </w: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20" w:type="dxa"/>
            <w:vAlign w:val="bottom"/>
            <w:tcBorders>
              <w:right w:val="single" w:sz="8" w:color="CCEEFF"/>
            </w:tcBorders>
            <w:shd w:val="clear" w:color="auto" w:fill="CCEEFF"/>
          </w:tcPr>
          <w:p>
            <w:pPr>
              <w:spacing w:after="0"/>
              <w:rPr>
                <w:sz w:val="15"/>
                <w:szCs w:val="15"/>
                <w:color w:val="auto"/>
              </w:rPr>
            </w:pPr>
          </w:p>
        </w:tc>
        <w:tc>
          <w:tcPr>
            <w:tcW w:w="880" w:type="dxa"/>
            <w:vAlign w:val="bottom"/>
            <w:tcBorders>
              <w:bottom w:val="single" w:sz="8" w:color="B6B6B6"/>
            </w:tcBorders>
            <w:shd w:val="clear" w:color="auto" w:fill="CCEEFF"/>
          </w:tcPr>
          <w:p>
            <w:pPr>
              <w:spacing w:after="0"/>
              <w:rPr>
                <w:sz w:val="15"/>
                <w:szCs w:val="15"/>
                <w:color w:val="auto"/>
              </w:rPr>
            </w:pPr>
          </w:p>
        </w:tc>
        <w:tc>
          <w:tcPr>
            <w:tcW w:w="80" w:type="dxa"/>
            <w:vAlign w:val="bottom"/>
            <w:tcBorders>
              <w:bottom w:val="single" w:sz="8" w:color="B6B6B6"/>
            </w:tcBorders>
            <w:shd w:val="clear" w:color="auto" w:fill="CCEEFF"/>
          </w:tcPr>
          <w:p>
            <w:pPr>
              <w:spacing w:after="0"/>
              <w:rPr>
                <w:sz w:val="15"/>
                <w:szCs w:val="15"/>
                <w:color w:val="auto"/>
              </w:rPr>
            </w:pPr>
          </w:p>
        </w:tc>
        <w:tc>
          <w:tcPr>
            <w:tcW w:w="760" w:type="dxa"/>
            <w:vAlign w:val="bottom"/>
            <w:tcBorders>
              <w:bottom w:val="single" w:sz="8" w:color="B6B6B6"/>
            </w:tcBorders>
            <w:shd w:val="clear" w:color="auto" w:fill="CCEEFF"/>
          </w:tcPr>
          <w:p>
            <w:pPr>
              <w:spacing w:after="0"/>
              <w:rPr>
                <w:sz w:val="15"/>
                <w:szCs w:val="15"/>
                <w:color w:val="auto"/>
              </w:rPr>
            </w:pPr>
          </w:p>
        </w:tc>
        <w:tc>
          <w:tcPr>
            <w:tcW w:w="240" w:type="dxa"/>
            <w:vAlign w:val="bottom"/>
            <w:tcBorders>
              <w:bottom w:val="single" w:sz="8" w:color="B6B6B6"/>
            </w:tcBorders>
            <w:shd w:val="clear" w:color="auto" w:fill="CCEEFF"/>
          </w:tcPr>
          <w:p>
            <w:pPr>
              <w:spacing w:after="0"/>
              <w:rPr>
                <w:sz w:val="15"/>
                <w:szCs w:val="15"/>
                <w:color w:val="auto"/>
              </w:rPr>
            </w:pPr>
          </w:p>
        </w:tc>
        <w:tc>
          <w:tcPr>
            <w:tcW w:w="20" w:type="dxa"/>
            <w:vAlign w:val="bottom"/>
            <w:tcBorders>
              <w:bottom w:val="single" w:sz="8" w:color="B6B6B6"/>
            </w:tcBorders>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4040" w:type="dxa"/>
            <w:vAlign w:val="bottom"/>
            <w:gridSpan w:val="2"/>
          </w:tcPr>
          <w:p>
            <w:pPr>
              <w:ind w:left="120"/>
              <w:spacing w:after="0"/>
              <w:rPr>
                <w:sz w:val="20"/>
                <w:szCs w:val="20"/>
                <w:color w:val="auto"/>
              </w:rPr>
            </w:pPr>
            <w:r>
              <w:rPr>
                <w:rFonts w:ascii="Arial" w:cs="Arial" w:eastAsia="Arial" w:hAnsi="Arial"/>
                <w:sz w:val="13"/>
                <w:szCs w:val="13"/>
                <w:color w:val="auto"/>
              </w:rPr>
              <w:t>Third quarter of 2024 through fourth quarter of 2025</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187</w:t>
            </w:r>
          </w:p>
        </w:tc>
        <w:tc>
          <w:tcPr>
            <w:tcW w:w="220" w:type="dxa"/>
            <w:vAlign w:val="bottom"/>
            <w:tcBorders>
              <w:right w:val="single" w:sz="8" w:color="B6B6B6"/>
            </w:tcBorders>
          </w:tcPr>
          <w:p>
            <w:pPr>
              <w:jc w:val="right"/>
              <w:ind w:right="23"/>
              <w:spacing w:after="0"/>
              <w:rPr>
                <w:sz w:val="20"/>
                <w:szCs w:val="20"/>
                <w:color w:val="auto"/>
              </w:rPr>
            </w:pPr>
            <w:r>
              <w:rPr>
                <w:rFonts w:ascii="Arial" w:cs="Arial" w:eastAsia="Arial" w:hAnsi="Arial"/>
                <w:sz w:val="8"/>
                <w:szCs w:val="8"/>
                <w:color w:val="auto"/>
              </w:rPr>
              <w:t>(2)</w:t>
            </w: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shd w:val="clear" w:color="auto" w:fill="B6B6B6"/>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04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First quarter of 2026 through first quarter of 2028</w:t>
            </w:r>
          </w:p>
        </w:tc>
        <w:tc>
          <w:tcPr>
            <w:tcW w:w="18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293</w:t>
            </w:r>
          </w:p>
        </w:tc>
        <w:tc>
          <w:tcPr>
            <w:tcW w:w="220" w:type="dxa"/>
            <w:vAlign w:val="bottom"/>
            <w:tcBorders>
              <w:right w:val="single" w:sz="8" w:color="B6B6B6"/>
            </w:tcBorders>
            <w:shd w:val="clear" w:color="auto" w:fill="CCEEFF"/>
          </w:tcPr>
          <w:p>
            <w:pPr>
              <w:spacing w:after="0"/>
              <w:rPr>
                <w:sz w:val="15"/>
                <w:szCs w:val="15"/>
                <w:color w:val="auto"/>
              </w:rPr>
            </w:pPr>
          </w:p>
        </w:tc>
        <w:tc>
          <w:tcPr>
            <w:tcW w:w="880" w:type="dxa"/>
            <w:vAlign w:val="bottom"/>
          </w:tcPr>
          <w:p>
            <w:pPr>
              <w:jc w:val="right"/>
              <w:ind w:right="116"/>
              <w:spacing w:after="0"/>
              <w:rPr>
                <w:sz w:val="20"/>
                <w:szCs w:val="20"/>
                <w:color w:val="auto"/>
              </w:rPr>
            </w:pPr>
            <w:r>
              <w:rPr>
                <w:rFonts w:ascii="Arial" w:cs="Arial" w:eastAsia="Arial" w:hAnsi="Arial"/>
                <w:sz w:val="13"/>
                <w:szCs w:val="13"/>
                <w:color w:val="auto"/>
              </w:rPr>
              <w:t>5,432,915</w:t>
            </w: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61%</w:t>
            </w:r>
          </w:p>
        </w:tc>
        <w:tc>
          <w:tcPr>
            <w:tcW w:w="240" w:type="dxa"/>
            <w:vAlign w:val="bottom"/>
          </w:tcPr>
          <w:p>
            <w:pPr>
              <w:jc w:val="right"/>
              <w:ind w:right="58"/>
              <w:spacing w:after="0"/>
              <w:rPr>
                <w:sz w:val="20"/>
                <w:szCs w:val="20"/>
                <w:color w:val="auto"/>
              </w:rPr>
            </w:pPr>
            <w:r>
              <w:rPr>
                <w:rFonts w:ascii="Arial" w:cs="Arial" w:eastAsia="Arial" w:hAnsi="Arial"/>
                <w:sz w:val="8"/>
                <w:szCs w:val="8"/>
                <w:color w:val="auto"/>
              </w:rPr>
              <w:t>(3)</w:t>
            </w:r>
          </w:p>
        </w:tc>
        <w:tc>
          <w:tcPr>
            <w:tcW w:w="20" w:type="dxa"/>
            <w:vAlign w:val="bottom"/>
            <w:tcBorders>
              <w:bottom w:val="single" w:sz="8" w:color="B6B6B6"/>
            </w:tcBorders>
            <w:shd w:val="clear" w:color="auto" w:fill="B6B6B6"/>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3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bottom w:val="single" w:sz="8" w:color="auto"/>
            </w:tcBorders>
          </w:tcPr>
          <w:p>
            <w:pPr>
              <w:jc w:val="right"/>
              <w:spacing w:after="0" w:line="131" w:lineRule="exact"/>
              <w:rPr>
                <w:sz w:val="20"/>
                <w:szCs w:val="20"/>
                <w:color w:val="auto"/>
              </w:rPr>
            </w:pPr>
            <w:r>
              <w:rPr>
                <w:rFonts w:ascii="Arial" w:cs="Arial" w:eastAsia="Arial" w:hAnsi="Arial"/>
                <w:sz w:val="13"/>
                <w:szCs w:val="13"/>
                <w:color w:val="auto"/>
              </w:rPr>
              <w:t>$</w:t>
            </w:r>
          </w:p>
        </w:tc>
        <w:tc>
          <w:tcPr>
            <w:tcW w:w="1020" w:type="dxa"/>
            <w:vAlign w:val="bottom"/>
            <w:tcBorders>
              <w:bottom w:val="single" w:sz="8" w:color="auto"/>
            </w:tcBorders>
          </w:tcPr>
          <w:p>
            <w:pPr>
              <w:jc w:val="right"/>
              <w:spacing w:after="0" w:line="131" w:lineRule="exact"/>
              <w:rPr>
                <w:sz w:val="20"/>
                <w:szCs w:val="20"/>
                <w:color w:val="auto"/>
              </w:rPr>
            </w:pPr>
            <w:r>
              <w:rPr>
                <w:rFonts w:ascii="Arial" w:cs="Arial" w:eastAsia="Arial" w:hAnsi="Arial"/>
                <w:sz w:val="13"/>
                <w:szCs w:val="13"/>
                <w:color w:val="auto"/>
              </w:rPr>
              <w:t>480</w:t>
            </w:r>
          </w:p>
        </w:tc>
        <w:tc>
          <w:tcPr>
            <w:tcW w:w="220" w:type="dxa"/>
            <w:vAlign w:val="bottom"/>
            <w:tcBorders>
              <w:right w:val="single" w:sz="8" w:color="B6B6B6"/>
            </w:tcBorders>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Borders>
              <w:bottom w:val="single" w:sz="8" w:color="B6B6B6"/>
            </w:tcBorders>
            <w:shd w:val="clear" w:color="auto" w:fill="B6B6B6"/>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Borders>
              <w:right w:val="single" w:sz="8" w:color="B6B6B6"/>
            </w:tcBorders>
          </w:tcPr>
          <w:p>
            <w:pPr>
              <w:spacing w:after="0" w:line="20" w:lineRule="exact"/>
              <w:rPr>
                <w:sz w:val="1"/>
                <w:szCs w:val="1"/>
                <w:color w:val="auto"/>
              </w:rPr>
            </w:pPr>
          </w:p>
        </w:tc>
        <w:tc>
          <w:tcPr>
            <w:tcW w:w="880" w:type="dxa"/>
            <w:vAlign w:val="bottom"/>
            <w:tcBorders>
              <w:bottom w:val="single" w:sz="8" w:color="B6B6B6"/>
            </w:tcBorders>
          </w:tcPr>
          <w:p>
            <w:pPr>
              <w:spacing w:after="0" w:line="20" w:lineRule="exact"/>
              <w:rPr>
                <w:sz w:val="1"/>
                <w:szCs w:val="1"/>
                <w:color w:val="auto"/>
              </w:rPr>
            </w:pPr>
          </w:p>
        </w:tc>
        <w:tc>
          <w:tcPr>
            <w:tcW w:w="80" w:type="dxa"/>
            <w:vAlign w:val="bottom"/>
            <w:tcBorders>
              <w:bottom w:val="single" w:sz="8" w:color="B6B6B6"/>
            </w:tcBorders>
          </w:tcPr>
          <w:p>
            <w:pPr>
              <w:spacing w:after="0" w:line="20" w:lineRule="exact"/>
              <w:rPr>
                <w:sz w:val="1"/>
                <w:szCs w:val="1"/>
                <w:color w:val="auto"/>
              </w:rPr>
            </w:pPr>
          </w:p>
        </w:tc>
        <w:tc>
          <w:tcPr>
            <w:tcW w:w="760" w:type="dxa"/>
            <w:vAlign w:val="bottom"/>
            <w:tcBorders>
              <w:bottom w:val="single" w:sz="8" w:color="B6B6B6"/>
            </w:tcBorders>
          </w:tcPr>
          <w:p>
            <w:pPr>
              <w:spacing w:after="0" w:line="20" w:lineRule="exact"/>
              <w:rPr>
                <w:sz w:val="1"/>
                <w:szCs w:val="1"/>
                <w:color w:val="auto"/>
              </w:rPr>
            </w:pPr>
          </w:p>
        </w:tc>
        <w:tc>
          <w:tcPr>
            <w:tcW w:w="240" w:type="dxa"/>
            <w:vAlign w:val="bottom"/>
            <w:tcBorders>
              <w:bottom w:val="single" w:sz="8" w:color="B6B6B6"/>
            </w:tcBorders>
          </w:tcPr>
          <w:p>
            <w:pPr>
              <w:spacing w:after="0" w:line="20" w:lineRule="exact"/>
              <w:rPr>
                <w:sz w:val="1"/>
                <w:szCs w:val="1"/>
                <w:color w:val="auto"/>
              </w:rPr>
            </w:pPr>
          </w:p>
        </w:tc>
        <w:tc>
          <w:tcPr>
            <w:tcW w:w="20" w:type="dxa"/>
            <w:vAlign w:val="bottom"/>
            <w:tcBorders>
              <w:bottom w:val="single" w:sz="8" w:color="B6B6B6"/>
            </w:tcBorders>
            <w:shd w:val="clear" w:color="auto" w:fill="B6B6B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1" w:lineRule="exact"/>
        <w:rPr>
          <w:sz w:val="20"/>
          <w:szCs w:val="20"/>
          <w:color w:val="auto"/>
        </w:rPr>
      </w:pPr>
    </w:p>
    <w:p>
      <w:pPr>
        <w:ind w:left="1160" w:right="839" w:hanging="264"/>
        <w:spacing w:after="0" w:line="256" w:lineRule="auto"/>
        <w:tabs>
          <w:tab w:leader="none" w:pos="1160" w:val="left"/>
        </w:tabs>
        <w:numPr>
          <w:ilvl w:val="0"/>
          <w:numId w:val="71"/>
        </w:numPr>
        <w:rPr>
          <w:rFonts w:ascii="Arial" w:cs="Arial" w:eastAsia="Arial" w:hAnsi="Arial"/>
          <w:sz w:val="10"/>
          <w:szCs w:val="10"/>
          <w:color w:val="auto"/>
        </w:rPr>
      </w:pPr>
      <w:r>
        <w:rPr>
          <w:rFonts w:ascii="Arial" w:cs="Arial" w:eastAsia="Arial" w:hAnsi="Arial"/>
          <w:sz w:val="10"/>
          <w:szCs w:val="10"/>
          <w:color w:val="auto"/>
        </w:rPr>
        <w:t>Represents expected incremental annual net operating income to be placed into service from deliveries of projects undergoing construction and one committed near-term project expected to commence construction in the next two years.</w:t>
      </w:r>
    </w:p>
    <w:p>
      <w:pPr>
        <w:ind w:left="1160" w:right="679" w:hanging="264"/>
        <w:spacing w:after="0" w:line="252" w:lineRule="auto"/>
        <w:tabs>
          <w:tab w:leader="none" w:pos="1160" w:val="left"/>
        </w:tabs>
        <w:numPr>
          <w:ilvl w:val="0"/>
          <w:numId w:val="71"/>
        </w:numPr>
        <w:rPr>
          <w:rFonts w:ascii="Arial" w:cs="Arial" w:eastAsia="Arial" w:hAnsi="Arial"/>
          <w:sz w:val="10"/>
          <w:szCs w:val="10"/>
          <w:color w:val="auto"/>
        </w:rPr>
      </w:pPr>
      <w:r>
        <w:rPr>
          <w:rFonts w:ascii="Arial" w:cs="Arial" w:eastAsia="Arial" w:hAnsi="Arial"/>
          <w:sz w:val="10"/>
          <w:szCs w:val="10"/>
          <w:color w:val="auto"/>
        </w:rPr>
        <w:t>Includes 1.5 million RSF that is expected to stabilize through 2025 and is 87% leased, and partial deliveries through fourth quarter of 2025 from projects expected to stabilize in 2026 and beyond. In addition to the projects represented, we are evaluating one priority anticipated development project that could commence active construction in the second half of 2024 and may have initial delivery in 2025. Refer to the initial and stabilized occupancy years under “New Class A/A+ development and redevelopment properties: current projects” in Item 2 for additional details.</w:t>
      </w:r>
    </w:p>
    <w:p>
      <w:pPr>
        <w:ind w:left="1160" w:hanging="264"/>
        <w:spacing w:after="0"/>
        <w:tabs>
          <w:tab w:leader="none" w:pos="1160" w:val="left"/>
        </w:tabs>
        <w:numPr>
          <w:ilvl w:val="0"/>
          <w:numId w:val="71"/>
        </w:numPr>
        <w:rPr>
          <w:rFonts w:ascii="Arial" w:cs="Arial" w:eastAsia="Arial" w:hAnsi="Arial"/>
          <w:sz w:val="10"/>
          <w:szCs w:val="10"/>
          <w:color w:val="auto"/>
        </w:rPr>
      </w:pPr>
      <w:r>
        <w:rPr>
          <w:rFonts w:ascii="Arial" w:cs="Arial" w:eastAsia="Arial" w:hAnsi="Arial"/>
          <w:sz w:val="10"/>
          <w:szCs w:val="10"/>
          <w:color w:val="auto"/>
        </w:rPr>
        <w:t>71% of the leased RSF of our value-creation projects was generated from our existing tenant base.</w:t>
      </w:r>
    </w:p>
    <w:p>
      <w:pPr>
        <w:sectPr>
          <w:pgSz w:w="11900" w:h="16838" w:orient="portrait"/>
          <w:cols w:equalWidth="0" w:num="1">
            <w:col w:w="9019"/>
          </w:cols>
          <w:pgMar w:left="1440" w:top="67" w:right="1440" w:bottom="301" w:gutter="0" w:footer="0" w:header="0"/>
        </w:sectPr>
      </w:pPr>
    </w:p>
    <w:bookmarkStart w:id="33" w:name="page34"/>
    <w:bookmarkEnd w:id="3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982345</wp:posOffset>
            </wp:positionH>
            <wp:positionV relativeFrom="page">
              <wp:posOffset>88900</wp:posOffset>
            </wp:positionV>
            <wp:extent cx="5584190" cy="14554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584190" cy="145542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-722630</wp:posOffset>
            </wp:positionH>
            <wp:positionV relativeFrom="paragraph">
              <wp:posOffset>195580</wp:posOffset>
            </wp:positionV>
            <wp:extent cx="7212965" cy="55841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12965" cy="55841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80"/>
        <w:spacing w:after="0"/>
        <w:rPr>
          <w:sz w:val="20"/>
          <w:szCs w:val="20"/>
          <w:color w:val="auto"/>
        </w:rPr>
      </w:pPr>
      <w:r>
        <w:rPr>
          <w:rFonts w:ascii="Arial" w:cs="Arial" w:eastAsia="Arial" w:hAnsi="Arial"/>
          <w:sz w:val="12"/>
          <w:szCs w:val="1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-722630</wp:posOffset>
            </wp:positionH>
            <wp:positionV relativeFrom="paragraph">
              <wp:posOffset>195580</wp:posOffset>
            </wp:positionV>
            <wp:extent cx="7212965" cy="33515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12965" cy="335153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34" w:name="page35"/>
    <w:bookmarkEnd w:id="3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212965" cy="22263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12965" cy="2226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80"/>
        <w:spacing w:after="0"/>
        <w:rPr>
          <w:sz w:val="20"/>
          <w:szCs w:val="20"/>
          <w:color w:val="auto"/>
        </w:rPr>
      </w:pPr>
      <w:r>
        <w:rPr>
          <w:rFonts w:ascii="Arial" w:cs="Arial" w:eastAsia="Arial" w:hAnsi="Arial"/>
          <w:sz w:val="12"/>
          <w:szCs w:val="1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195580</wp:posOffset>
            </wp:positionV>
            <wp:extent cx="5584190" cy="72205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r>
    </w:p>
    <w:p>
      <w:pPr>
        <w:sectPr>
          <w:pgSz w:w="11900" w:h="16838" w:orient="portrait"/>
          <w:cols w:equalWidth="0" w:num="1">
            <w:col w:w="9019"/>
          </w:cols>
          <w:pgMar w:left="144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Operating summary</w:t>
      </w:r>
    </w:p>
    <w:p>
      <w:pPr>
        <w:spacing w:after="0" w:line="90" w:lineRule="exact"/>
        <w:rPr>
          <w:sz w:val="20"/>
          <w:szCs w:val="20"/>
          <w:color w:val="auto"/>
        </w:rPr>
      </w:pPr>
    </w:p>
    <w:p>
      <w:pPr>
        <w:ind w:left="1840"/>
        <w:spacing w:after="0"/>
        <w:rPr>
          <w:sz w:val="20"/>
          <w:szCs w:val="20"/>
          <w:color w:val="auto"/>
        </w:rPr>
      </w:pPr>
      <w:r>
        <w:rPr>
          <w:rFonts w:ascii="Arial" w:cs="Arial" w:eastAsia="Arial" w:hAnsi="Arial"/>
          <w:sz w:val="17"/>
          <w:szCs w:val="17"/>
          <w:b w:val="1"/>
          <w:bCs w:val="1"/>
          <w:color w:val="00497F"/>
        </w:rPr>
        <w:t>Same Property Net</w:t>
      </w:r>
    </w:p>
    <w:p>
      <w:pPr>
        <w:ind w:left="1580"/>
        <w:spacing w:after="0"/>
        <w:rPr>
          <w:sz w:val="20"/>
          <w:szCs w:val="20"/>
          <w:color w:val="auto"/>
        </w:rPr>
      </w:pPr>
      <w:r>
        <w:rPr>
          <w:rFonts w:ascii="Arial" w:cs="Arial" w:eastAsia="Arial" w:hAnsi="Arial"/>
          <w:sz w:val="17"/>
          <w:szCs w:val="17"/>
          <w:b w:val="1"/>
          <w:bCs w:val="1"/>
          <w:color w:val="00497F"/>
        </w:rPr>
        <w:t>Operating Income 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240"/>
        <w:spacing w:after="0"/>
        <w:rPr>
          <w:sz w:val="20"/>
          <w:szCs w:val="20"/>
          <w:color w:val="auto"/>
        </w:rPr>
      </w:pPr>
      <w:r>
        <w:rPr>
          <w:rFonts w:ascii="Arial" w:cs="Arial" w:eastAsia="Arial" w:hAnsi="Arial"/>
          <w:sz w:val="16"/>
          <w:szCs w:val="16"/>
          <w:b w:val="1"/>
          <w:bCs w:val="1"/>
          <w:color w:val="0F497D"/>
        </w:rPr>
        <w:t>Margins</w:t>
      </w:r>
      <w:r>
        <w:rPr>
          <w:rFonts w:ascii="Arial" w:cs="Arial" w:eastAsia="Arial" w:hAnsi="Arial"/>
          <w:sz w:val="20"/>
          <w:szCs w:val="20"/>
          <w:b w:val="1"/>
          <w:bCs w:val="1"/>
          <w:color w:val="0F497D"/>
          <w:vertAlign w:val="superscript"/>
        </w:rPr>
        <w:t>(1)</w:t>
      </w:r>
    </w:p>
    <w:p>
      <w:pPr>
        <w:spacing w:after="0" w:line="107" w:lineRule="exact"/>
        <w:rPr>
          <w:sz w:val="20"/>
          <w:szCs w:val="20"/>
          <w:color w:val="auto"/>
        </w:rPr>
      </w:pPr>
    </w:p>
    <w:p>
      <w:pPr>
        <w:jc w:val="both"/>
        <w:ind w:left="1240"/>
        <w:spacing w:after="0"/>
        <w:tabs>
          <w:tab w:leader="none" w:pos="2840" w:val="left"/>
        </w:tabs>
        <w:rPr>
          <w:sz w:val="20"/>
          <w:szCs w:val="20"/>
          <w:color w:val="auto"/>
        </w:rPr>
      </w:pPr>
      <w:r>
        <w:rPr>
          <w:rFonts w:ascii="Arial" w:cs="Arial" w:eastAsia="Arial" w:hAnsi="Arial"/>
          <w:sz w:val="17"/>
          <w:szCs w:val="17"/>
          <w:b w:val="1"/>
          <w:bCs w:val="1"/>
          <w:color w:val="0F497D"/>
        </w:rPr>
        <w:t>Operating</w:t>
      </w:r>
      <w:r>
        <w:rPr>
          <w:sz w:val="20"/>
          <w:szCs w:val="20"/>
          <w:color w:val="auto"/>
        </w:rPr>
        <w:tab/>
      </w:r>
      <w:r>
        <w:rPr>
          <w:rFonts w:ascii="Arial" w:cs="Arial" w:eastAsia="Arial" w:hAnsi="Arial"/>
          <w:sz w:val="17"/>
          <w:szCs w:val="17"/>
          <w:b w:val="1"/>
          <w:bCs w:val="1"/>
          <w:color w:val="0F497D"/>
        </w:rPr>
        <w:t>Adjusted EBITDA</w:t>
      </w:r>
    </w:p>
    <w:p>
      <w:pPr>
        <w:spacing w:after="0" w:line="35" w:lineRule="exact"/>
        <w:rPr>
          <w:sz w:val="20"/>
          <w:szCs w:val="20"/>
          <w:color w:val="auto"/>
        </w:rPr>
      </w:pPr>
    </w:p>
    <w:p>
      <w:pPr>
        <w:ind w:left="1040"/>
        <w:spacing w:after="0"/>
        <w:tabs>
          <w:tab w:leader="none" w:pos="2960" w:val="left"/>
        </w:tabs>
        <w:rPr>
          <w:sz w:val="20"/>
          <w:szCs w:val="20"/>
          <w:color w:val="auto"/>
        </w:rPr>
      </w:pPr>
      <w:r>
        <w:rPr>
          <w:rFonts w:ascii="Arial" w:cs="Arial" w:eastAsia="Arial" w:hAnsi="Arial"/>
          <w:sz w:val="60"/>
          <w:szCs w:val="60"/>
          <w:color w:val="0F497D"/>
        </w:rPr>
        <w:t>72%</w:t>
        <w:tab/>
        <w:t>72%</w:t>
      </w:r>
    </w:p>
    <w:p>
      <w:pPr>
        <w:spacing w:after="0" w:line="159" w:lineRule="exact"/>
        <w:rPr>
          <w:sz w:val="20"/>
          <w:szCs w:val="20"/>
          <w:color w:val="auto"/>
        </w:rPr>
      </w:pPr>
    </w:p>
    <w:p>
      <w:pPr>
        <w:jc w:val="center"/>
        <w:ind w:left="900"/>
        <w:spacing w:after="0"/>
        <w:rPr>
          <w:sz w:val="20"/>
          <w:szCs w:val="20"/>
          <w:color w:val="auto"/>
        </w:rPr>
      </w:pPr>
      <w:r>
        <w:rPr>
          <w:rFonts w:ascii="Arial" w:cs="Arial" w:eastAsia="Arial" w:hAnsi="Arial"/>
          <w:sz w:val="17"/>
          <w:szCs w:val="17"/>
          <w:b w:val="1"/>
          <w:bCs w:val="1"/>
          <w:color w:val="0F497D"/>
        </w:rPr>
        <w:t>Weighted-Average Lease Term</w:t>
      </w:r>
    </w:p>
    <w:p>
      <w:pPr>
        <w:jc w:val="center"/>
        <w:ind w:left="940"/>
        <w:spacing w:after="0"/>
        <w:rPr>
          <w:sz w:val="20"/>
          <w:szCs w:val="20"/>
          <w:color w:val="auto"/>
        </w:rPr>
      </w:pPr>
      <w:r>
        <w:rPr>
          <w:rFonts w:ascii="Arial" w:cs="Arial" w:eastAsia="Arial" w:hAnsi="Arial"/>
          <w:sz w:val="17"/>
          <w:szCs w:val="17"/>
          <w:b w:val="1"/>
          <w:bCs w:val="1"/>
          <w:color w:val="0F497D"/>
        </w:rPr>
        <w:t>of Executed Leases</w:t>
      </w:r>
      <w:r>
        <w:rPr>
          <w:rFonts w:ascii="Arial" w:cs="Arial" w:eastAsia="Arial" w:hAnsi="Arial"/>
          <w:sz w:val="22"/>
          <w:szCs w:val="22"/>
          <w:b w:val="1"/>
          <w:bCs w:val="1"/>
          <w:color w:val="0F497D"/>
          <w:vertAlign w:val="superscript"/>
        </w:rPr>
        <w:t>(3)</w:t>
      </w:r>
    </w:p>
    <w:p>
      <w:pPr>
        <w:spacing w:after="0" w:line="191" w:lineRule="exact"/>
        <w:rPr>
          <w:sz w:val="20"/>
          <w:szCs w:val="20"/>
          <w:color w:val="auto"/>
        </w:rPr>
      </w:pPr>
    </w:p>
    <w:p>
      <w:pPr>
        <w:ind w:left="1720"/>
        <w:spacing w:after="0"/>
        <w:rPr>
          <w:sz w:val="20"/>
          <w:szCs w:val="20"/>
          <w:color w:val="auto"/>
        </w:rPr>
      </w:pPr>
      <w:r>
        <w:rPr>
          <w:rFonts w:ascii="Arial" w:cs="Arial" w:eastAsia="Arial" w:hAnsi="Arial"/>
          <w:sz w:val="43"/>
          <w:szCs w:val="43"/>
          <w:color w:val="1F497D"/>
        </w:rPr>
        <w:t>8.8 years</w:t>
      </w:r>
    </w:p>
    <w:p>
      <w:pPr>
        <w:spacing w:after="0" w:line="368" w:lineRule="exact"/>
        <w:rPr>
          <w:sz w:val="20"/>
          <w:szCs w:val="20"/>
          <w:color w:val="auto"/>
        </w:rPr>
      </w:pPr>
    </w:p>
    <w:p>
      <w:pPr>
        <w:jc w:val="center"/>
        <w:ind w:left="940"/>
        <w:spacing w:after="0"/>
        <w:rPr>
          <w:sz w:val="20"/>
          <w:szCs w:val="20"/>
          <w:color w:val="auto"/>
        </w:rPr>
      </w:pPr>
      <w:r>
        <w:rPr>
          <w:rFonts w:ascii="Arial" w:cs="Arial" w:eastAsia="Arial" w:hAnsi="Arial"/>
          <w:sz w:val="16"/>
          <w:szCs w:val="16"/>
          <w:b w:val="1"/>
          <w:bCs w:val="1"/>
          <w:color w:val="0F497D"/>
        </w:rPr>
        <w:t>Net Debt and Preferred Stock</w:t>
      </w:r>
    </w:p>
    <w:p>
      <w:pPr>
        <w:jc w:val="center"/>
        <w:ind w:left="940"/>
        <w:spacing w:after="0"/>
        <w:rPr>
          <w:sz w:val="20"/>
          <w:szCs w:val="20"/>
          <w:color w:val="auto"/>
        </w:rPr>
      </w:pPr>
      <w:r>
        <w:rPr>
          <w:rFonts w:ascii="Arial" w:cs="Arial" w:eastAsia="Arial" w:hAnsi="Arial"/>
          <w:sz w:val="16"/>
          <w:szCs w:val="16"/>
          <w:b w:val="1"/>
          <w:bCs w:val="1"/>
          <w:color w:val="0F497D"/>
        </w:rPr>
        <w:t>to Adjusted EBITDA</w:t>
      </w:r>
      <w:r>
        <w:rPr>
          <w:rFonts w:ascii="Arial" w:cs="Arial" w:eastAsia="Arial" w:hAnsi="Arial"/>
          <w:sz w:val="20"/>
          <w:szCs w:val="20"/>
          <w:b w:val="1"/>
          <w:bCs w:val="1"/>
          <w:color w:val="0F497D"/>
          <w:vertAlign w:val="superscript"/>
        </w:rPr>
        <w:t>(4)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719"/>
        <w:spacing w:after="0"/>
        <w:rPr>
          <w:sz w:val="20"/>
          <w:szCs w:val="20"/>
          <w:color w:val="auto"/>
        </w:rPr>
      </w:pPr>
      <w:r>
        <w:rPr>
          <w:rFonts w:ascii="Arial" w:cs="Arial" w:eastAsia="Arial" w:hAnsi="Arial"/>
          <w:sz w:val="17"/>
          <w:szCs w:val="17"/>
          <w:b w:val="1"/>
          <w:bCs w:val="1"/>
          <w:color w:val="00497F"/>
        </w:rPr>
        <w:t>Rental Rate Growth:</w:t>
      </w:r>
    </w:p>
    <w:p>
      <w:pPr>
        <w:ind w:left="640"/>
        <w:spacing w:after="0"/>
        <w:rPr>
          <w:sz w:val="20"/>
          <w:szCs w:val="20"/>
          <w:color w:val="auto"/>
        </w:rPr>
      </w:pPr>
      <w:r>
        <w:rPr>
          <w:rFonts w:ascii="Arial" w:cs="Arial" w:eastAsia="Arial" w:hAnsi="Arial"/>
          <w:sz w:val="17"/>
          <w:szCs w:val="17"/>
          <w:b w:val="1"/>
          <w:bCs w:val="1"/>
          <w:color w:val="00497F"/>
        </w:rPr>
        <w:t>Renewed/Re-Leased Space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959"/>
        <w:spacing w:after="0"/>
        <w:rPr>
          <w:sz w:val="20"/>
          <w:szCs w:val="20"/>
          <w:color w:val="auto"/>
        </w:rPr>
      </w:pPr>
      <w:r>
        <w:rPr>
          <w:rFonts w:ascii="Arial" w:cs="Arial" w:eastAsia="Arial" w:hAnsi="Arial"/>
          <w:sz w:val="17"/>
          <w:szCs w:val="17"/>
          <w:b w:val="1"/>
          <w:bCs w:val="1"/>
          <w:color w:val="0F497D"/>
        </w:rPr>
        <w:t>Favorable Lease Structure</w:t>
      </w:r>
      <w:r>
        <w:rPr>
          <w:rFonts w:ascii="Arial" w:cs="Arial" w:eastAsia="Arial" w:hAnsi="Arial"/>
          <w:sz w:val="22"/>
          <w:szCs w:val="22"/>
          <w:b w:val="1"/>
          <w:bCs w:val="1"/>
          <w:color w:val="0F497D"/>
          <w:vertAlign w:val="superscript"/>
        </w:rPr>
        <w:t>(2)</w:t>
      </w:r>
    </w:p>
    <w:p>
      <w:pPr>
        <w:jc w:val="center"/>
        <w:ind w:right="959"/>
        <w:spacing w:after="0" w:line="234" w:lineRule="auto"/>
        <w:rPr>
          <w:sz w:val="20"/>
          <w:szCs w:val="20"/>
          <w:color w:val="auto"/>
        </w:rPr>
      </w:pPr>
      <w:r>
        <w:rPr>
          <w:rFonts w:ascii="Arial" w:cs="Arial" w:eastAsia="Arial" w:hAnsi="Arial"/>
          <w:sz w:val="12"/>
          <w:szCs w:val="12"/>
          <w:b w:val="1"/>
          <w:bCs w:val="1"/>
          <w:color w:val="1F497D"/>
        </w:rPr>
        <w:t>Strategic Lease Structure by Owner and Operator of</w:t>
      </w:r>
    </w:p>
    <w:p>
      <w:pPr>
        <w:jc w:val="center"/>
        <w:ind w:right="959"/>
        <w:spacing w:after="0"/>
        <w:rPr>
          <w:sz w:val="20"/>
          <w:szCs w:val="20"/>
          <w:color w:val="auto"/>
        </w:rPr>
      </w:pPr>
      <w:r>
        <w:rPr>
          <w:rFonts w:ascii="Arial" w:cs="Arial" w:eastAsia="Arial" w:hAnsi="Arial"/>
          <w:sz w:val="12"/>
          <w:szCs w:val="12"/>
          <w:b w:val="1"/>
          <w:bCs w:val="1"/>
          <w:color w:val="1F497D"/>
        </w:rPr>
        <w:t>Collaborative Life Science Mega Campuses</w:t>
      </w:r>
    </w:p>
    <w:p>
      <w:pPr>
        <w:spacing w:after="0" w:line="103" w:lineRule="exact"/>
        <w:rPr>
          <w:sz w:val="20"/>
          <w:szCs w:val="20"/>
          <w:color w:val="auto"/>
        </w:rPr>
      </w:pPr>
    </w:p>
    <w:p>
      <w:pPr>
        <w:spacing w:after="0"/>
        <w:rPr>
          <w:sz w:val="20"/>
          <w:szCs w:val="20"/>
          <w:color w:val="auto"/>
        </w:rPr>
      </w:pPr>
      <w:r>
        <w:rPr>
          <w:rFonts w:ascii="Arial" w:cs="Arial" w:eastAsia="Arial" w:hAnsi="Arial"/>
          <w:sz w:val="13"/>
          <w:szCs w:val="13"/>
          <w:i w:val="1"/>
          <w:iCs w:val="1"/>
          <w:color w:val="1F497D"/>
        </w:rPr>
        <w:t>Increasing cash flows</w:t>
      </w:r>
    </w:p>
    <w:tbl>
      <w:tblPr>
        <w:tblLayout w:type="fixed"/>
        <w:tblInd w:w="0" w:type="dxa"/>
        <w:tblCellMar>
          <w:top w:w="0" w:type="dxa"/>
          <w:left w:w="0" w:type="dxa"/>
          <w:bottom w:w="0" w:type="dxa"/>
          <w:right w:w="0" w:type="dxa"/>
        </w:tblCellMar>
      </w:tblPr>
      <w:tr>
        <w:trPr>
          <w:trHeight w:val="171"/>
        </w:trPr>
        <w:tc>
          <w:tcPr>
            <w:tcW w:w="2500" w:type="dxa"/>
            <w:vAlign w:val="bottom"/>
          </w:tcPr>
          <w:p>
            <w:pPr>
              <w:spacing w:after="0"/>
              <w:rPr>
                <w:sz w:val="20"/>
                <w:szCs w:val="20"/>
                <w:color w:val="auto"/>
              </w:rPr>
            </w:pPr>
            <w:r>
              <w:rPr>
                <w:rFonts w:ascii="Arial" w:cs="Arial" w:eastAsia="Arial" w:hAnsi="Arial"/>
                <w:sz w:val="13"/>
                <w:szCs w:val="13"/>
                <w:b w:val="1"/>
                <w:bCs w:val="1"/>
                <w:color w:val="1F497D"/>
              </w:rPr>
              <w:t>Percentage of leases containing annual</w:t>
            </w:r>
          </w:p>
        </w:tc>
        <w:tc>
          <w:tcPr>
            <w:tcW w:w="760" w:type="dxa"/>
            <w:vAlign w:val="bottom"/>
          </w:tcPr>
          <w:p>
            <w:pPr>
              <w:jc w:val="right"/>
              <w:spacing w:after="0" w:line="171" w:lineRule="exact"/>
              <w:rPr>
                <w:sz w:val="20"/>
                <w:szCs w:val="20"/>
                <w:color w:val="auto"/>
              </w:rPr>
            </w:pPr>
            <w:r>
              <w:rPr>
                <w:rFonts w:ascii="Arial" w:cs="Arial" w:eastAsia="Arial" w:hAnsi="Arial"/>
                <w:sz w:val="19"/>
                <w:szCs w:val="19"/>
                <w:b w:val="1"/>
                <w:bCs w:val="1"/>
                <w:color w:val="1F497D"/>
              </w:rPr>
              <w:t>96%</w:t>
            </w:r>
          </w:p>
        </w:tc>
        <w:tc>
          <w:tcPr>
            <w:tcW w:w="0" w:type="dxa"/>
            <w:vAlign w:val="bottom"/>
          </w:tcPr>
          <w:p>
            <w:pPr>
              <w:spacing w:after="0"/>
              <w:rPr>
                <w:sz w:val="1"/>
                <w:szCs w:val="1"/>
                <w:color w:val="auto"/>
              </w:rPr>
            </w:pPr>
          </w:p>
        </w:tc>
      </w:tr>
      <w:tr>
        <w:trPr>
          <w:trHeight w:val="177"/>
        </w:trPr>
        <w:tc>
          <w:tcPr>
            <w:tcW w:w="2500" w:type="dxa"/>
            <w:vAlign w:val="bottom"/>
          </w:tcPr>
          <w:p>
            <w:pPr>
              <w:ind w:left="140"/>
              <w:spacing w:after="0"/>
              <w:rPr>
                <w:sz w:val="20"/>
                <w:szCs w:val="20"/>
                <w:color w:val="auto"/>
              </w:rPr>
            </w:pPr>
            <w:r>
              <w:rPr>
                <w:rFonts w:ascii="Arial" w:cs="Arial" w:eastAsia="Arial" w:hAnsi="Arial"/>
                <w:sz w:val="13"/>
                <w:szCs w:val="13"/>
                <w:b w:val="1"/>
                <w:bCs w:val="1"/>
                <w:color w:val="1F497D"/>
              </w:rPr>
              <w:t>rent escalations</w:t>
            </w: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3"/>
        </w:trPr>
        <w:tc>
          <w:tcPr>
            <w:tcW w:w="2500" w:type="dxa"/>
            <w:vAlign w:val="bottom"/>
          </w:tcPr>
          <w:p>
            <w:pPr>
              <w:spacing w:after="0"/>
              <w:rPr>
                <w:sz w:val="20"/>
                <w:szCs w:val="20"/>
                <w:color w:val="auto"/>
              </w:rPr>
            </w:pPr>
            <w:r>
              <w:rPr>
                <w:rFonts w:ascii="Arial" w:cs="Arial" w:eastAsia="Arial" w:hAnsi="Arial"/>
                <w:sz w:val="13"/>
                <w:szCs w:val="13"/>
                <w:i w:val="1"/>
                <w:iCs w:val="1"/>
                <w:color w:val="1F497D"/>
              </w:rPr>
              <w:t>Stable cash flows</w:t>
            </w:r>
          </w:p>
        </w:tc>
        <w:tc>
          <w:tcPr>
            <w:tcW w:w="760" w:type="dxa"/>
            <w:vAlign w:val="bottom"/>
            <w:vMerge w:val="restart"/>
          </w:tcPr>
          <w:p>
            <w:pPr>
              <w:jc w:val="right"/>
              <w:spacing w:after="0"/>
              <w:rPr>
                <w:sz w:val="20"/>
                <w:szCs w:val="20"/>
                <w:color w:val="auto"/>
              </w:rPr>
            </w:pPr>
            <w:r>
              <w:rPr>
                <w:rFonts w:ascii="Arial" w:cs="Arial" w:eastAsia="Arial" w:hAnsi="Arial"/>
                <w:sz w:val="34"/>
                <w:szCs w:val="34"/>
                <w:b w:val="1"/>
                <w:bCs w:val="1"/>
                <w:color w:val="1F497D"/>
              </w:rPr>
              <w:t>94%</w:t>
            </w:r>
          </w:p>
        </w:tc>
        <w:tc>
          <w:tcPr>
            <w:tcW w:w="0" w:type="dxa"/>
            <w:vAlign w:val="bottom"/>
          </w:tcPr>
          <w:p>
            <w:pPr>
              <w:spacing w:after="0"/>
              <w:rPr>
                <w:sz w:val="1"/>
                <w:szCs w:val="1"/>
                <w:color w:val="auto"/>
              </w:rPr>
            </w:pPr>
          </w:p>
        </w:tc>
      </w:tr>
      <w:tr>
        <w:trPr>
          <w:trHeight w:val="154"/>
        </w:trPr>
        <w:tc>
          <w:tcPr>
            <w:tcW w:w="2500" w:type="dxa"/>
            <w:vAlign w:val="bottom"/>
          </w:tcPr>
          <w:p>
            <w:pPr>
              <w:spacing w:after="0"/>
              <w:rPr>
                <w:sz w:val="20"/>
                <w:szCs w:val="20"/>
                <w:color w:val="auto"/>
              </w:rPr>
            </w:pPr>
            <w:r>
              <w:rPr>
                <w:rFonts w:ascii="Arial" w:cs="Arial" w:eastAsia="Arial" w:hAnsi="Arial"/>
                <w:sz w:val="13"/>
                <w:szCs w:val="13"/>
                <w:b w:val="1"/>
                <w:bCs w:val="1"/>
                <w:color w:val="1F497D"/>
              </w:rPr>
              <w:t>Percentage of triple</w:t>
            </w:r>
          </w:p>
        </w:tc>
        <w:tc>
          <w:tcPr>
            <w:tcW w:w="7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2500" w:type="dxa"/>
            <w:vAlign w:val="bottom"/>
          </w:tcPr>
          <w:p>
            <w:pPr>
              <w:ind w:left="140"/>
              <w:spacing w:after="0"/>
              <w:rPr>
                <w:sz w:val="20"/>
                <w:szCs w:val="20"/>
                <w:color w:val="auto"/>
              </w:rPr>
            </w:pPr>
            <w:r>
              <w:rPr>
                <w:rFonts w:ascii="Arial" w:cs="Arial" w:eastAsia="Arial" w:hAnsi="Arial"/>
                <w:sz w:val="13"/>
                <w:szCs w:val="13"/>
                <w:b w:val="1"/>
                <w:bCs w:val="1"/>
                <w:color w:val="1F497D"/>
              </w:rPr>
              <w:t>net leases</w:t>
            </w: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3"/>
        </w:trPr>
        <w:tc>
          <w:tcPr>
            <w:tcW w:w="2500" w:type="dxa"/>
            <w:vAlign w:val="bottom"/>
          </w:tcPr>
          <w:p>
            <w:pPr>
              <w:spacing w:after="0"/>
              <w:rPr>
                <w:sz w:val="20"/>
                <w:szCs w:val="20"/>
                <w:color w:val="auto"/>
              </w:rPr>
            </w:pPr>
            <w:r>
              <w:rPr>
                <w:rFonts w:ascii="Arial" w:cs="Arial" w:eastAsia="Arial" w:hAnsi="Arial"/>
                <w:sz w:val="13"/>
                <w:szCs w:val="13"/>
                <w:i w:val="1"/>
                <w:iCs w:val="1"/>
                <w:color w:val="1F497D"/>
              </w:rPr>
              <w:t>Lower capex burden</w:t>
            </w:r>
          </w:p>
        </w:tc>
        <w:tc>
          <w:tcPr>
            <w:tcW w:w="760" w:type="dxa"/>
            <w:vAlign w:val="bottom"/>
            <w:vMerge w:val="restart"/>
          </w:tcPr>
          <w:p>
            <w:pPr>
              <w:jc w:val="right"/>
              <w:spacing w:after="0"/>
              <w:rPr>
                <w:sz w:val="20"/>
                <w:szCs w:val="20"/>
                <w:color w:val="auto"/>
              </w:rPr>
            </w:pPr>
            <w:r>
              <w:rPr>
                <w:rFonts w:ascii="Arial" w:cs="Arial" w:eastAsia="Arial" w:hAnsi="Arial"/>
                <w:sz w:val="34"/>
                <w:szCs w:val="34"/>
                <w:b w:val="1"/>
                <w:bCs w:val="1"/>
                <w:color w:val="1F497D"/>
              </w:rPr>
              <w:t>93%</w:t>
            </w:r>
          </w:p>
        </w:tc>
        <w:tc>
          <w:tcPr>
            <w:tcW w:w="0" w:type="dxa"/>
            <w:vAlign w:val="bottom"/>
          </w:tcPr>
          <w:p>
            <w:pPr>
              <w:spacing w:after="0"/>
              <w:rPr>
                <w:sz w:val="1"/>
                <w:szCs w:val="1"/>
                <w:color w:val="auto"/>
              </w:rPr>
            </w:pPr>
          </w:p>
        </w:tc>
      </w:tr>
      <w:tr>
        <w:trPr>
          <w:trHeight w:val="154"/>
        </w:trPr>
        <w:tc>
          <w:tcPr>
            <w:tcW w:w="2500" w:type="dxa"/>
            <w:vAlign w:val="bottom"/>
          </w:tcPr>
          <w:p>
            <w:pPr>
              <w:spacing w:after="0"/>
              <w:rPr>
                <w:sz w:val="20"/>
                <w:szCs w:val="20"/>
                <w:color w:val="auto"/>
              </w:rPr>
            </w:pPr>
            <w:r>
              <w:rPr>
                <w:rFonts w:ascii="Arial" w:cs="Arial" w:eastAsia="Arial" w:hAnsi="Arial"/>
                <w:sz w:val="13"/>
                <w:szCs w:val="13"/>
                <w:b w:val="1"/>
                <w:bCs w:val="1"/>
                <w:color w:val="1F497D"/>
              </w:rPr>
              <w:t>Percentage of leases providing for the</w:t>
            </w:r>
          </w:p>
        </w:tc>
        <w:tc>
          <w:tcPr>
            <w:tcW w:w="7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2500" w:type="dxa"/>
            <w:vAlign w:val="bottom"/>
          </w:tcPr>
          <w:p>
            <w:pPr>
              <w:ind w:left="140"/>
              <w:spacing w:after="0"/>
              <w:rPr>
                <w:sz w:val="20"/>
                <w:szCs w:val="20"/>
                <w:color w:val="auto"/>
              </w:rPr>
            </w:pPr>
            <w:r>
              <w:rPr>
                <w:rFonts w:ascii="Arial" w:cs="Arial" w:eastAsia="Arial" w:hAnsi="Arial"/>
                <w:sz w:val="13"/>
                <w:szCs w:val="13"/>
                <w:b w:val="1"/>
                <w:bCs w:val="1"/>
                <w:color w:val="1F497D"/>
              </w:rPr>
              <w:t>recapture of capital expenditures</w:t>
            </w: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0F497D"/>
        </w:rPr>
        <w:t>Fixed-Charge Coverage Ratio</w:t>
      </w:r>
      <w:r>
        <w:rPr>
          <w:rFonts w:ascii="Arial" w:cs="Arial" w:eastAsia="Arial" w:hAnsi="Arial"/>
          <w:sz w:val="20"/>
          <w:szCs w:val="20"/>
          <w:b w:val="1"/>
          <w:bCs w:val="1"/>
          <w:color w:val="0F497D"/>
          <w:vertAlign w:val="superscript"/>
        </w:rPr>
        <w:t>(4)</w:t>
      </w:r>
    </w:p>
    <w:p>
      <w:pPr>
        <w:spacing w:after="0" w:line="210" w:lineRule="exact"/>
        <w:rPr>
          <w:sz w:val="20"/>
          <w:szCs w:val="20"/>
          <w:color w:val="auto"/>
        </w:rPr>
      </w:pPr>
    </w:p>
    <w:p>
      <w:pPr>
        <w:sectPr>
          <w:pgSz w:w="11900" w:h="16838" w:orient="portrait"/>
          <w:cols w:equalWidth="0" w:num="2">
            <w:col w:w="4280" w:space="500"/>
            <w:col w:w="4239"/>
          </w:cols>
          <w:pgMar w:left="1440" w:top="1440"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both"/>
        <w:ind w:left="640" w:right="999"/>
        <w:spacing w:after="0" w:line="265" w:lineRule="auto"/>
        <w:rPr>
          <w:sz w:val="20"/>
          <w:szCs w:val="20"/>
          <w:color w:val="auto"/>
        </w:rPr>
      </w:pPr>
      <w:r>
        <w:rPr>
          <w:rFonts w:ascii="Arial" w:cs="Arial" w:eastAsia="Arial" w:hAnsi="Arial"/>
          <w:sz w:val="10"/>
          <w:szCs w:val="10"/>
          <w:color w:val="auto"/>
        </w:rPr>
        <w:t>Refer to “Same properties” and “Definitions and reconciliations” in Item 2 for additional details. “Definitions and reconciliations” contains the definitions of “Fixed-charge coverage ratio,” “Net debt and preferred stock to Adjusted EBITDA,” and “Net operating income” and their respective reconciliations from the most directly comparable financial measures presented in accordance with GAAP.</w:t>
      </w:r>
    </w:p>
    <w:p>
      <w:pPr>
        <w:spacing w:after="0" w:line="102" w:lineRule="exact"/>
        <w:rPr>
          <w:sz w:val="20"/>
          <w:szCs w:val="20"/>
          <w:color w:val="auto"/>
        </w:rPr>
      </w:pPr>
    </w:p>
    <w:p>
      <w:pPr>
        <w:ind w:left="900" w:hanging="262"/>
        <w:spacing w:after="0"/>
        <w:tabs>
          <w:tab w:leader="none" w:pos="900" w:val="left"/>
        </w:tabs>
        <w:numPr>
          <w:ilvl w:val="0"/>
          <w:numId w:val="72"/>
        </w:numPr>
        <w:rPr>
          <w:rFonts w:ascii="Arial" w:cs="Arial" w:eastAsia="Arial" w:hAnsi="Arial"/>
          <w:sz w:val="10"/>
          <w:szCs w:val="10"/>
          <w:color w:val="auto"/>
        </w:rPr>
      </w:pPr>
      <w:r>
        <w:rPr>
          <w:rFonts w:ascii="Arial" w:cs="Arial" w:eastAsia="Arial" w:hAnsi="Arial"/>
          <w:sz w:val="10"/>
          <w:szCs w:val="10"/>
          <w:color w:val="auto"/>
        </w:rPr>
        <w:t>For the three months ended June 30, 2024.</w:t>
      </w:r>
    </w:p>
    <w:p>
      <w:pPr>
        <w:spacing w:after="0" w:line="13" w:lineRule="exact"/>
        <w:rPr>
          <w:rFonts w:ascii="Arial" w:cs="Arial" w:eastAsia="Arial" w:hAnsi="Arial"/>
          <w:sz w:val="10"/>
          <w:szCs w:val="10"/>
          <w:color w:val="auto"/>
        </w:rPr>
      </w:pPr>
    </w:p>
    <w:p>
      <w:pPr>
        <w:ind w:left="900" w:hanging="262"/>
        <w:spacing w:after="0"/>
        <w:tabs>
          <w:tab w:leader="none" w:pos="900" w:val="left"/>
        </w:tabs>
        <w:numPr>
          <w:ilvl w:val="0"/>
          <w:numId w:val="72"/>
        </w:numPr>
        <w:rPr>
          <w:rFonts w:ascii="Arial" w:cs="Arial" w:eastAsia="Arial" w:hAnsi="Arial"/>
          <w:sz w:val="10"/>
          <w:szCs w:val="10"/>
          <w:color w:val="auto"/>
        </w:rPr>
      </w:pPr>
      <w:r>
        <w:rPr>
          <w:rFonts w:ascii="Arial" w:cs="Arial" w:eastAsia="Arial" w:hAnsi="Arial"/>
          <w:sz w:val="10"/>
          <w:szCs w:val="10"/>
          <w:color w:val="auto"/>
        </w:rPr>
        <w:t>Percentages calculated based on our annual rental revenue in effect as of June 30, 2024.</w:t>
      </w:r>
    </w:p>
    <w:p>
      <w:pPr>
        <w:spacing w:after="0" w:line="3" w:lineRule="exact"/>
        <w:rPr>
          <w:rFonts w:ascii="Arial" w:cs="Arial" w:eastAsia="Arial" w:hAnsi="Arial"/>
          <w:sz w:val="10"/>
          <w:szCs w:val="10"/>
          <w:color w:val="auto"/>
        </w:rPr>
      </w:pPr>
    </w:p>
    <w:p>
      <w:pPr>
        <w:ind w:left="900" w:hanging="262"/>
        <w:spacing w:after="0"/>
        <w:tabs>
          <w:tab w:leader="none" w:pos="900" w:val="left"/>
        </w:tabs>
        <w:numPr>
          <w:ilvl w:val="0"/>
          <w:numId w:val="72"/>
        </w:numPr>
        <w:rPr>
          <w:rFonts w:ascii="Arial" w:cs="Arial" w:eastAsia="Arial" w:hAnsi="Arial"/>
          <w:sz w:val="10"/>
          <w:szCs w:val="10"/>
          <w:color w:val="auto"/>
        </w:rPr>
      </w:pPr>
      <w:r>
        <w:rPr>
          <w:rFonts w:ascii="Arial" w:cs="Arial" w:eastAsia="Arial" w:hAnsi="Arial"/>
          <w:sz w:val="10"/>
          <w:szCs w:val="10"/>
          <w:color w:val="auto"/>
        </w:rPr>
        <w:t>Represents the weighted-average lease term of executed leases for the 10-year period from December 31, 2015 through June 30, 2024.</w:t>
      </w:r>
    </w:p>
    <w:p>
      <w:pPr>
        <w:spacing w:after="0" w:line="3" w:lineRule="exact"/>
        <w:rPr>
          <w:rFonts w:ascii="Arial" w:cs="Arial" w:eastAsia="Arial" w:hAnsi="Arial"/>
          <w:sz w:val="10"/>
          <w:szCs w:val="10"/>
          <w:color w:val="auto"/>
        </w:rPr>
      </w:pPr>
    </w:p>
    <w:p>
      <w:pPr>
        <w:ind w:left="900" w:hanging="262"/>
        <w:spacing w:after="0"/>
        <w:tabs>
          <w:tab w:leader="none" w:pos="900" w:val="left"/>
        </w:tabs>
        <w:numPr>
          <w:ilvl w:val="0"/>
          <w:numId w:val="72"/>
        </w:numPr>
        <w:rPr>
          <w:rFonts w:ascii="Arial" w:cs="Arial" w:eastAsia="Arial" w:hAnsi="Arial"/>
          <w:sz w:val="10"/>
          <w:szCs w:val="10"/>
          <w:color w:val="auto"/>
        </w:rPr>
      </w:pPr>
      <w:r>
        <w:rPr>
          <w:rFonts w:ascii="Arial" w:cs="Arial" w:eastAsia="Arial" w:hAnsi="Arial"/>
          <w:sz w:val="10"/>
          <w:szCs w:val="10"/>
          <w:color w:val="auto"/>
        </w:rPr>
        <w:t>Quarter annualized.</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188595</wp:posOffset>
            </wp:positionV>
            <wp:extent cx="5584190" cy="9442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584190" cy="944245"/>
                    </a:xfrm>
                    <a:prstGeom prst="rect">
                      <a:avLst/>
                    </a:prstGeom>
                    <a:noFill/>
                  </pic:spPr>
                </pic:pic>
              </a:graphicData>
            </a:graphic>
          </wp:anchor>
        </w:drawing>
      </w:r>
    </w:p>
    <w:p>
      <w:pPr>
        <w:sectPr>
          <w:pgSz w:w="11900" w:h="16838" w:orient="portrait"/>
          <w:cols w:equalWidth="0" w:num="1">
            <w:col w:w="9019"/>
          </w:cols>
          <w:pgMar w:left="1440" w:top="1440"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1F497D"/>
        </w:rPr>
        <w:t>Stable Cash Flows From Our High-Quality and Diverse Mix of</w:t>
      </w:r>
    </w:p>
    <w:p>
      <w:pPr>
        <w:jc w:val="center"/>
        <w:ind w:right="19"/>
        <w:spacing w:after="0"/>
        <w:rPr>
          <w:sz w:val="20"/>
          <w:szCs w:val="20"/>
          <w:color w:val="auto"/>
        </w:rPr>
      </w:pPr>
      <w:r>
        <w:rPr>
          <w:rFonts w:ascii="Arial" w:cs="Arial" w:eastAsia="Arial" w:hAnsi="Arial"/>
          <w:sz w:val="20"/>
          <w:szCs w:val="20"/>
          <w:b w:val="1"/>
          <w:bCs w:val="1"/>
          <w:color w:val="1F497D"/>
        </w:rPr>
        <w:t>Approximately 800 Tenants</w:t>
      </w:r>
    </w:p>
    <w:p>
      <w:pPr>
        <w:sectPr>
          <w:pgSz w:w="11900" w:h="16838" w:orient="portrait"/>
          <w:cols w:equalWidth="0" w:num="1">
            <w:col w:w="9019"/>
          </w:cols>
          <w:pgMar w:left="1440" w:top="1440" w:right="1440" w:bottom="0" w:gutter="0" w:footer="0" w:header="0"/>
          <w:type w:val="continuous"/>
        </w:sectPr>
      </w:pPr>
    </w:p>
    <w:bookmarkStart w:id="35" w:name="page36"/>
    <w:bookmarkEnd w:id="35"/>
    <w:tbl>
      <w:tblPr>
        <w:tblLayout w:type="fixed"/>
        <w:tblInd w:w="360" w:type="dxa"/>
        <w:tblCellMar>
          <w:top w:w="0" w:type="dxa"/>
          <w:left w:w="0" w:type="dxa"/>
          <w:bottom w:w="0" w:type="dxa"/>
          <w:right w:w="0" w:type="dxa"/>
        </w:tblCellMar>
      </w:tblPr>
      <w:tr>
        <w:trPr>
          <w:trHeight w:val="144"/>
        </w:trPr>
        <w:tc>
          <w:tcPr>
            <w:tcW w:w="300" w:type="dxa"/>
            <w:vAlign w:val="bottom"/>
            <w:tcBorders>
              <w:right w:val="single" w:sz="8" w:color="auto"/>
            </w:tcBorders>
          </w:tcPr>
          <w:p>
            <w:pPr>
              <w:spacing w:after="0"/>
              <w:rPr>
                <w:sz w:val="12"/>
                <w:szCs w:val="12"/>
                <w:color w:val="auto"/>
              </w:rPr>
            </w:pPr>
          </w:p>
        </w:tc>
        <w:tc>
          <w:tcPr>
            <w:tcW w:w="2240" w:type="dxa"/>
            <w:vAlign w:val="bottom"/>
            <w:tcBorders>
              <w:top w:val="single" w:sz="8" w:color="auto"/>
            </w:tcBorders>
            <w:vMerge w:val="restart"/>
          </w:tcPr>
          <w:p>
            <w:pPr>
              <w:ind w:left="200"/>
              <w:spacing w:after="0"/>
              <w:rPr>
                <w:sz w:val="20"/>
                <w:szCs w:val="20"/>
                <w:color w:val="auto"/>
              </w:rPr>
            </w:pPr>
            <w:r>
              <w:rPr>
                <w:rFonts w:ascii="Times New Roman" w:cs="Times New Roman" w:eastAsia="Times New Roman" w:hAnsi="Times New Roman"/>
                <w:sz w:val="11"/>
                <w:szCs w:val="11"/>
                <w:color w:val="auto"/>
              </w:rPr>
              <w:t>Multinational</w:t>
            </w:r>
          </w:p>
        </w:tc>
        <w:tc>
          <w:tcPr>
            <w:tcW w:w="1640" w:type="dxa"/>
            <w:vAlign w:val="bottom"/>
            <w:tcBorders>
              <w:top w:val="single" w:sz="8" w:color="auto"/>
            </w:tcBorders>
          </w:tcPr>
          <w:p>
            <w:pPr>
              <w:ind w:left="540"/>
              <w:spacing w:after="0"/>
              <w:rPr>
                <w:sz w:val="20"/>
                <w:szCs w:val="20"/>
                <w:color w:val="auto"/>
              </w:rPr>
            </w:pPr>
            <w:r>
              <w:rPr>
                <w:rFonts w:ascii="Times New Roman" w:cs="Times New Roman" w:eastAsia="Times New Roman" w:hAnsi="Times New Roman"/>
                <w:sz w:val="11"/>
                <w:szCs w:val="11"/>
                <w:color w:val="auto"/>
              </w:rPr>
              <w:t>Life Science</w:t>
            </w:r>
          </w:p>
        </w:tc>
        <w:tc>
          <w:tcPr>
            <w:tcW w:w="3840" w:type="dxa"/>
            <w:vAlign w:val="bottom"/>
            <w:tcBorders>
              <w:top w:val="single" w:sz="8" w:color="auto"/>
            </w:tcBorders>
            <w:vMerge w:val="restart"/>
          </w:tcPr>
          <w:p>
            <w:pPr>
              <w:jc w:val="center"/>
              <w:spacing w:after="0"/>
              <w:rPr>
                <w:sz w:val="20"/>
                <w:szCs w:val="20"/>
                <w:color w:val="auto"/>
              </w:rPr>
            </w:pPr>
            <w:r>
              <w:rPr>
                <w:rFonts w:ascii="Arial" w:cs="Arial" w:eastAsia="Arial" w:hAnsi="Arial"/>
                <w:sz w:val="20"/>
                <w:szCs w:val="20"/>
                <w:b w:val="1"/>
                <w:bCs w:val="1"/>
                <w:color w:val="00497F"/>
                <w:w w:val="99"/>
              </w:rPr>
              <w:t>Investment-Grade or Publicly Traded</w:t>
            </w:r>
          </w:p>
        </w:tc>
        <w:tc>
          <w:tcPr>
            <w:tcW w:w="20" w:type="dxa"/>
            <w:vAlign w:val="bottom"/>
            <w:tcBorders>
              <w:top w:val="single" w:sz="8" w:color="auto"/>
            </w:tcBorders>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300" w:type="dxa"/>
            <w:vAlign w:val="bottom"/>
            <w:tcBorders>
              <w:right w:val="single" w:sz="8" w:color="auto"/>
            </w:tcBorders>
          </w:tcPr>
          <w:p>
            <w:pPr>
              <w:spacing w:after="0"/>
              <w:rPr>
                <w:sz w:val="9"/>
                <w:szCs w:val="9"/>
                <w:color w:val="auto"/>
              </w:rPr>
            </w:pPr>
          </w:p>
        </w:tc>
        <w:tc>
          <w:tcPr>
            <w:tcW w:w="2240" w:type="dxa"/>
            <w:vAlign w:val="bottom"/>
            <w:vMerge w:val="continue"/>
          </w:tcPr>
          <w:p>
            <w:pPr>
              <w:spacing w:after="0"/>
              <w:rPr>
                <w:sz w:val="9"/>
                <w:szCs w:val="9"/>
                <w:color w:val="auto"/>
              </w:rPr>
            </w:pPr>
          </w:p>
        </w:tc>
        <w:tc>
          <w:tcPr>
            <w:tcW w:w="1640" w:type="dxa"/>
            <w:vAlign w:val="bottom"/>
          </w:tcPr>
          <w:p>
            <w:pPr>
              <w:ind w:left="540"/>
              <w:spacing w:after="0" w:line="114" w:lineRule="exact"/>
              <w:rPr>
                <w:sz w:val="20"/>
                <w:szCs w:val="20"/>
                <w:color w:val="auto"/>
              </w:rPr>
            </w:pPr>
            <w:r>
              <w:rPr>
                <w:rFonts w:ascii="Times New Roman" w:cs="Times New Roman" w:eastAsia="Times New Roman" w:hAnsi="Times New Roman"/>
                <w:sz w:val="11"/>
                <w:szCs w:val="11"/>
                <w:color w:val="auto"/>
              </w:rPr>
              <w:t>Product,</w:t>
            </w:r>
          </w:p>
        </w:tc>
        <w:tc>
          <w:tcPr>
            <w:tcW w:w="3840" w:type="dxa"/>
            <w:vAlign w:val="bottom"/>
            <w:vMerge w:val="continue"/>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161"/>
        </w:trPr>
        <w:tc>
          <w:tcPr>
            <w:tcW w:w="300" w:type="dxa"/>
            <w:vAlign w:val="bottom"/>
            <w:tcBorders>
              <w:right w:val="single" w:sz="8" w:color="auto"/>
            </w:tcBorders>
          </w:tcPr>
          <w:p>
            <w:pPr>
              <w:spacing w:after="0"/>
              <w:rPr>
                <w:sz w:val="14"/>
                <w:szCs w:val="14"/>
                <w:color w:val="auto"/>
              </w:rPr>
            </w:pPr>
          </w:p>
        </w:tc>
        <w:tc>
          <w:tcPr>
            <w:tcW w:w="22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Pharmaceutical</w:t>
            </w:r>
          </w:p>
        </w:tc>
        <w:tc>
          <w:tcPr>
            <w:tcW w:w="1640" w:type="dxa"/>
            <w:vAlign w:val="bottom"/>
          </w:tcPr>
          <w:p>
            <w:pPr>
              <w:ind w:left="540"/>
              <w:spacing w:after="0"/>
              <w:rPr>
                <w:sz w:val="20"/>
                <w:szCs w:val="20"/>
                <w:color w:val="auto"/>
              </w:rPr>
            </w:pPr>
            <w:r>
              <w:rPr>
                <w:rFonts w:ascii="Times New Roman" w:cs="Times New Roman" w:eastAsia="Times New Roman" w:hAnsi="Times New Roman"/>
                <w:sz w:val="11"/>
                <w:szCs w:val="11"/>
                <w:color w:val="auto"/>
              </w:rPr>
              <w:t>Service,</w:t>
            </w:r>
          </w:p>
        </w:tc>
        <w:tc>
          <w:tcPr>
            <w:tcW w:w="3840" w:type="dxa"/>
            <w:vAlign w:val="bottom"/>
          </w:tcPr>
          <w:p>
            <w:pPr>
              <w:jc w:val="center"/>
              <w:spacing w:after="0" w:line="161" w:lineRule="exact"/>
              <w:rPr>
                <w:sz w:val="20"/>
                <w:szCs w:val="20"/>
                <w:color w:val="auto"/>
              </w:rPr>
            </w:pPr>
            <w:r>
              <w:rPr>
                <w:rFonts w:ascii="Arial" w:cs="Arial" w:eastAsia="Arial" w:hAnsi="Arial"/>
                <w:sz w:val="18"/>
                <w:szCs w:val="18"/>
                <w:b w:val="1"/>
                <w:bCs w:val="1"/>
                <w:color w:val="00497F"/>
              </w:rPr>
              <w:t>Large Cap Tenants</w:t>
            </w:r>
          </w:p>
        </w:tc>
        <w:tc>
          <w:tcPr>
            <w:tcW w:w="20" w:type="dxa"/>
            <w:vAlign w:val="bottom"/>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300" w:type="dxa"/>
            <w:vAlign w:val="bottom"/>
            <w:tcBorders>
              <w:right w:val="single" w:sz="8" w:color="auto"/>
            </w:tcBorders>
          </w:tcPr>
          <w:p>
            <w:pPr>
              <w:spacing w:after="0"/>
              <w:rPr>
                <w:sz w:val="9"/>
                <w:szCs w:val="9"/>
                <w:color w:val="auto"/>
              </w:rPr>
            </w:pPr>
          </w:p>
        </w:tc>
        <w:tc>
          <w:tcPr>
            <w:tcW w:w="2240" w:type="dxa"/>
            <w:vAlign w:val="bottom"/>
          </w:tcPr>
          <w:p>
            <w:pPr>
              <w:spacing w:after="0"/>
              <w:rPr>
                <w:sz w:val="9"/>
                <w:szCs w:val="9"/>
                <w:color w:val="auto"/>
              </w:rPr>
            </w:pPr>
          </w:p>
        </w:tc>
        <w:tc>
          <w:tcPr>
            <w:tcW w:w="1640" w:type="dxa"/>
            <w:vAlign w:val="bottom"/>
          </w:tcPr>
          <w:p>
            <w:pPr>
              <w:ind w:left="540"/>
              <w:spacing w:after="0" w:line="88" w:lineRule="exact"/>
              <w:rPr>
                <w:sz w:val="20"/>
                <w:szCs w:val="20"/>
                <w:color w:val="auto"/>
              </w:rPr>
            </w:pPr>
            <w:r>
              <w:rPr>
                <w:rFonts w:ascii="Times New Roman" w:cs="Times New Roman" w:eastAsia="Times New Roman" w:hAnsi="Times New Roman"/>
                <w:sz w:val="10"/>
                <w:szCs w:val="10"/>
                <w:color w:val="auto"/>
              </w:rPr>
              <w:t>and Device</w:t>
            </w:r>
          </w:p>
        </w:tc>
        <w:tc>
          <w:tcPr>
            <w:tcW w:w="3840" w:type="dxa"/>
            <w:vAlign w:val="bottom"/>
            <w:vMerge w:val="restart"/>
          </w:tcPr>
          <w:p>
            <w:pPr>
              <w:jc w:val="center"/>
              <w:spacing w:after="0"/>
              <w:rPr>
                <w:sz w:val="20"/>
                <w:szCs w:val="20"/>
                <w:color w:val="auto"/>
              </w:rPr>
            </w:pPr>
            <w:r>
              <w:rPr>
                <w:rFonts w:ascii="Arial" w:cs="Arial" w:eastAsia="Arial" w:hAnsi="Arial"/>
                <w:sz w:val="46"/>
                <w:szCs w:val="46"/>
                <w:b w:val="1"/>
                <w:bCs w:val="1"/>
                <w:color w:val="1F497D"/>
                <w:w w:val="97"/>
              </w:rPr>
              <w:t>92%</w:t>
            </w:r>
          </w:p>
        </w:tc>
        <w:tc>
          <w:tcPr>
            <w:tcW w:w="20" w:type="dxa"/>
            <w:vAlign w:val="bottom"/>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563"/>
        </w:trPr>
        <w:tc>
          <w:tcPr>
            <w:tcW w:w="25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Biomedical and</w:t>
            </w:r>
          </w:p>
        </w:tc>
        <w:tc>
          <w:tcPr>
            <w:tcW w:w="1640" w:type="dxa"/>
            <w:vAlign w:val="bottom"/>
          </w:tcPr>
          <w:p>
            <w:pPr>
              <w:spacing w:after="0"/>
              <w:rPr>
                <w:sz w:val="24"/>
                <w:szCs w:val="24"/>
                <w:color w:val="auto"/>
              </w:rPr>
            </w:pPr>
          </w:p>
        </w:tc>
        <w:tc>
          <w:tcPr>
            <w:tcW w:w="38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254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Government</w:t>
            </w:r>
          </w:p>
        </w:tc>
        <w:tc>
          <w:tcPr>
            <w:tcW w:w="1640" w:type="dxa"/>
            <w:vAlign w:val="bottom"/>
          </w:tcPr>
          <w:p>
            <w:pPr>
              <w:ind w:left="740"/>
              <w:spacing w:after="0"/>
              <w:rPr>
                <w:sz w:val="20"/>
                <w:szCs w:val="20"/>
                <w:color w:val="auto"/>
              </w:rPr>
            </w:pPr>
            <w:r>
              <w:rPr>
                <w:rFonts w:ascii="Times New Roman" w:cs="Times New Roman" w:eastAsia="Times New Roman" w:hAnsi="Times New Roman"/>
                <w:sz w:val="11"/>
                <w:szCs w:val="11"/>
                <w:color w:val="auto"/>
              </w:rPr>
              <w:t>Public</w:t>
            </w:r>
          </w:p>
        </w:tc>
        <w:tc>
          <w:tcPr>
            <w:tcW w:w="384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254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auto"/>
              </w:rPr>
              <w:t>Institutions</w:t>
            </w:r>
          </w:p>
        </w:tc>
        <w:tc>
          <w:tcPr>
            <w:tcW w:w="1640" w:type="dxa"/>
            <w:vAlign w:val="bottom"/>
          </w:tcPr>
          <w:p>
            <w:pPr>
              <w:ind w:left="740"/>
              <w:spacing w:after="0"/>
              <w:rPr>
                <w:sz w:val="20"/>
                <w:szCs w:val="20"/>
                <w:color w:val="auto"/>
              </w:rPr>
            </w:pPr>
            <w:r>
              <w:rPr>
                <w:rFonts w:ascii="Times New Roman" w:cs="Times New Roman" w:eastAsia="Times New Roman" w:hAnsi="Times New Roman"/>
                <w:sz w:val="11"/>
                <w:szCs w:val="11"/>
                <w:color w:val="auto"/>
              </w:rPr>
              <w:t>Biotechnology –</w:t>
            </w:r>
          </w:p>
        </w:tc>
        <w:tc>
          <w:tcPr>
            <w:tcW w:w="3860" w:type="dxa"/>
            <w:vAlign w:val="bottom"/>
            <w:gridSpan w:val="2"/>
          </w:tcPr>
          <w:p>
            <w:pPr>
              <w:jc w:val="center"/>
              <w:ind w:right="60"/>
              <w:spacing w:after="0" w:line="140" w:lineRule="exact"/>
              <w:rPr>
                <w:sz w:val="20"/>
                <w:szCs w:val="20"/>
                <w:color w:val="auto"/>
              </w:rPr>
            </w:pPr>
            <w:r>
              <w:rPr>
                <w:rFonts w:ascii="Arial" w:cs="Arial" w:eastAsia="Arial" w:hAnsi="Arial"/>
                <w:sz w:val="16"/>
                <w:szCs w:val="16"/>
                <w:color w:val="1F497D"/>
              </w:rPr>
              <w:t>of ARE’s Top 20 Tenant</w:t>
            </w:r>
          </w:p>
        </w:tc>
        <w:tc>
          <w:tcPr>
            <w:tcW w:w="0" w:type="dxa"/>
            <w:vAlign w:val="bottom"/>
          </w:tcPr>
          <w:p>
            <w:pPr>
              <w:spacing w:after="0"/>
              <w:rPr>
                <w:sz w:val="1"/>
                <w:szCs w:val="1"/>
                <w:color w:val="auto"/>
              </w:rPr>
            </w:pPr>
          </w:p>
        </w:tc>
      </w:tr>
      <w:tr>
        <w:trPr>
          <w:trHeight w:val="176"/>
        </w:trPr>
        <w:tc>
          <w:tcPr>
            <w:tcW w:w="30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640" w:type="dxa"/>
            <w:vAlign w:val="bottom"/>
          </w:tcPr>
          <w:p>
            <w:pPr>
              <w:ind w:left="740"/>
              <w:spacing w:after="0"/>
              <w:rPr>
                <w:sz w:val="20"/>
                <w:szCs w:val="20"/>
                <w:color w:val="auto"/>
              </w:rPr>
            </w:pPr>
            <w:r>
              <w:rPr>
                <w:rFonts w:ascii="Times New Roman" w:cs="Times New Roman" w:eastAsia="Times New Roman" w:hAnsi="Times New Roman"/>
                <w:sz w:val="11"/>
                <w:szCs w:val="11"/>
                <w:color w:val="auto"/>
              </w:rPr>
              <w:t xml:space="preserve">Approved  </w:t>
            </w:r>
            <w:r>
              <w:rPr>
                <w:rFonts w:ascii="Times New Roman" w:cs="Times New Roman" w:eastAsia="Times New Roman" w:hAnsi="Times New Roman"/>
                <w:sz w:val="12"/>
                <w:szCs w:val="12"/>
                <w:color w:val="auto"/>
              </w:rPr>
              <w:t>or</w:t>
            </w:r>
          </w:p>
        </w:tc>
        <w:tc>
          <w:tcPr>
            <w:tcW w:w="3860" w:type="dxa"/>
            <w:vAlign w:val="bottom"/>
            <w:gridSpan w:val="2"/>
          </w:tcPr>
          <w:p>
            <w:pPr>
              <w:jc w:val="center"/>
              <w:ind w:right="60"/>
              <w:spacing w:after="0" w:line="176" w:lineRule="exact"/>
              <w:rPr>
                <w:sz w:val="20"/>
                <w:szCs w:val="20"/>
                <w:color w:val="auto"/>
              </w:rPr>
            </w:pPr>
            <w:r>
              <w:rPr>
                <w:rFonts w:ascii="Arial" w:cs="Arial" w:eastAsia="Arial" w:hAnsi="Arial"/>
                <w:sz w:val="17"/>
                <w:szCs w:val="17"/>
                <w:color w:val="1F497D"/>
              </w:rPr>
              <w:t>Annual Rental Revenue</w:t>
            </w:r>
          </w:p>
        </w:tc>
        <w:tc>
          <w:tcPr>
            <w:tcW w:w="0" w:type="dxa"/>
            <w:vAlign w:val="bottom"/>
          </w:tcPr>
          <w:p>
            <w:pPr>
              <w:spacing w:after="0"/>
              <w:rPr>
                <w:sz w:val="1"/>
                <w:szCs w:val="1"/>
                <w:color w:val="auto"/>
              </w:rPr>
            </w:pPr>
          </w:p>
        </w:tc>
      </w:tr>
      <w:tr>
        <w:trPr>
          <w:trHeight w:val="139"/>
        </w:trPr>
        <w:tc>
          <w:tcPr>
            <w:tcW w:w="254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Future Change</w:t>
            </w:r>
          </w:p>
        </w:tc>
        <w:tc>
          <w:tcPr>
            <w:tcW w:w="1640" w:type="dxa"/>
            <w:vAlign w:val="bottom"/>
          </w:tcPr>
          <w:p>
            <w:pPr>
              <w:ind w:left="740"/>
              <w:spacing w:after="0"/>
              <w:rPr>
                <w:sz w:val="20"/>
                <w:szCs w:val="20"/>
                <w:color w:val="auto"/>
              </w:rPr>
            </w:pPr>
            <w:r>
              <w:rPr>
                <w:rFonts w:ascii="Times New Roman" w:cs="Times New Roman" w:eastAsia="Times New Roman" w:hAnsi="Times New Roman"/>
                <w:sz w:val="11"/>
                <w:szCs w:val="11"/>
                <w:color w:val="auto"/>
              </w:rPr>
              <w:t>Marketed</w:t>
            </w:r>
          </w:p>
        </w:tc>
        <w:tc>
          <w:tcPr>
            <w:tcW w:w="3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300" w:type="dxa"/>
            <w:vAlign w:val="bottom"/>
          </w:tcPr>
          <w:p>
            <w:pPr>
              <w:spacing w:after="0"/>
              <w:rPr>
                <w:sz w:val="19"/>
                <w:szCs w:val="19"/>
                <w:color w:val="auto"/>
              </w:rPr>
            </w:pPr>
          </w:p>
        </w:tc>
        <w:tc>
          <w:tcPr>
            <w:tcW w:w="224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 xml:space="preserve">in </w:t>
            </w:r>
            <w:r>
              <w:rPr>
                <w:rFonts w:ascii="Times New Roman" w:cs="Times New Roman" w:eastAsia="Times New Roman" w:hAnsi="Times New Roman"/>
                <w:sz w:val="12"/>
                <w:szCs w:val="12"/>
                <w:color w:val="auto"/>
              </w:rPr>
              <w:t>Use</w:t>
            </w: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6"/>
                <w:szCs w:val="16"/>
                <w:color w:val="auto"/>
                <w:vertAlign w:val="superscript"/>
              </w:rPr>
              <w:t>(1)</w:t>
            </w:r>
          </w:p>
        </w:tc>
        <w:tc>
          <w:tcPr>
            <w:tcW w:w="1640" w:type="dxa"/>
            <w:vAlign w:val="bottom"/>
          </w:tcPr>
          <w:p>
            <w:pPr>
              <w:ind w:left="740"/>
              <w:spacing w:after="0"/>
              <w:rPr>
                <w:sz w:val="20"/>
                <w:szCs w:val="20"/>
                <w:color w:val="auto"/>
              </w:rPr>
            </w:pPr>
            <w:r>
              <w:rPr>
                <w:rFonts w:ascii="Times New Roman" w:cs="Times New Roman" w:eastAsia="Times New Roman" w:hAnsi="Times New Roman"/>
                <w:sz w:val="11"/>
                <w:szCs w:val="11"/>
                <w:color w:val="auto"/>
              </w:rPr>
              <w:t xml:space="preserve">Produc </w:t>
            </w:r>
            <w:r>
              <w:rPr>
                <w:rFonts w:ascii="Times New Roman" w:cs="Times New Roman" w:eastAsia="Times New Roman" w:hAnsi="Times New Roman"/>
                <w:sz w:val="12"/>
                <w:szCs w:val="12"/>
                <w:color w:val="auto"/>
              </w:rPr>
              <w:t>t</w:t>
            </w:r>
          </w:p>
        </w:tc>
        <w:tc>
          <w:tcPr>
            <w:tcW w:w="3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7"/>
        </w:trPr>
        <w:tc>
          <w:tcPr>
            <w:tcW w:w="2540" w:type="dxa"/>
            <w:vAlign w:val="bottom"/>
            <w:gridSpan w:val="2"/>
          </w:tcPr>
          <w:p>
            <w:pPr>
              <w:ind w:left="80"/>
              <w:spacing w:after="0"/>
              <w:rPr>
                <w:sz w:val="20"/>
                <w:szCs w:val="20"/>
                <w:color w:val="auto"/>
              </w:rPr>
            </w:pPr>
            <w:r>
              <w:rPr>
                <w:rFonts w:ascii="Times New Roman" w:cs="Times New Roman" w:eastAsia="Times New Roman" w:hAnsi="Times New Roman"/>
                <w:sz w:val="11"/>
                <w:szCs w:val="11"/>
                <w:color w:val="auto"/>
              </w:rPr>
              <w:t>Investment-Grade or</w:t>
            </w:r>
          </w:p>
        </w:tc>
        <w:tc>
          <w:tcPr>
            <w:tcW w:w="1640" w:type="dxa"/>
            <w:vAlign w:val="bottom"/>
          </w:tcPr>
          <w:p>
            <w:pPr>
              <w:spacing w:after="0"/>
              <w:rPr>
                <w:sz w:val="12"/>
                <w:szCs w:val="12"/>
                <w:color w:val="auto"/>
              </w:rPr>
            </w:pPr>
          </w:p>
        </w:tc>
        <w:tc>
          <w:tcPr>
            <w:tcW w:w="3840" w:type="dxa"/>
            <w:vAlign w:val="bottom"/>
            <w:vMerge w:val="restart"/>
          </w:tcPr>
          <w:p>
            <w:pPr>
              <w:jc w:val="center"/>
              <w:spacing w:after="0"/>
              <w:rPr>
                <w:sz w:val="20"/>
                <w:szCs w:val="20"/>
                <w:color w:val="auto"/>
              </w:rPr>
            </w:pPr>
            <w:r>
              <w:rPr>
                <w:rFonts w:ascii="Arial" w:cs="Arial" w:eastAsia="Arial" w:hAnsi="Arial"/>
                <w:sz w:val="46"/>
                <w:szCs w:val="46"/>
                <w:b w:val="1"/>
                <w:bCs w:val="1"/>
                <w:color w:val="1F497D"/>
                <w:w w:val="97"/>
              </w:rPr>
              <w:t>53%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224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Large Cap Tech</w:t>
            </w:r>
          </w:p>
        </w:tc>
        <w:tc>
          <w:tcPr>
            <w:tcW w:w="164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auto"/>
              </w:rPr>
              <w:t>Public</w:t>
            </w:r>
          </w:p>
        </w:tc>
        <w:tc>
          <w:tcPr>
            <w:tcW w:w="38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5"/>
        </w:trPr>
        <w:tc>
          <w:tcPr>
            <w:tcW w:w="300" w:type="dxa"/>
            <w:vAlign w:val="bottom"/>
          </w:tcPr>
          <w:p>
            <w:pPr>
              <w:spacing w:after="0"/>
              <w:rPr>
                <w:sz w:val="3"/>
                <w:szCs w:val="3"/>
                <w:color w:val="auto"/>
              </w:rPr>
            </w:pPr>
          </w:p>
        </w:tc>
        <w:tc>
          <w:tcPr>
            <w:tcW w:w="2240" w:type="dxa"/>
            <w:vAlign w:val="bottom"/>
          </w:tcPr>
          <w:p>
            <w:pPr>
              <w:spacing w:after="0"/>
              <w:rPr>
                <w:sz w:val="3"/>
                <w:szCs w:val="3"/>
                <w:color w:val="auto"/>
              </w:rPr>
            </w:pPr>
          </w:p>
        </w:tc>
        <w:tc>
          <w:tcPr>
            <w:tcW w:w="1640" w:type="dxa"/>
            <w:vAlign w:val="bottom"/>
            <w:vMerge w:val="continue"/>
          </w:tcPr>
          <w:p>
            <w:pPr>
              <w:spacing w:after="0"/>
              <w:rPr>
                <w:sz w:val="3"/>
                <w:szCs w:val="3"/>
                <w:color w:val="auto"/>
              </w:rPr>
            </w:pPr>
          </w:p>
        </w:tc>
        <w:tc>
          <w:tcPr>
            <w:tcW w:w="384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6"/>
        </w:trPr>
        <w:tc>
          <w:tcPr>
            <w:tcW w:w="300" w:type="dxa"/>
            <w:vAlign w:val="bottom"/>
          </w:tcPr>
          <w:p>
            <w:pPr>
              <w:spacing w:after="0"/>
              <w:rPr>
                <w:sz w:val="12"/>
                <w:szCs w:val="12"/>
                <w:color w:val="auto"/>
              </w:rPr>
            </w:pPr>
          </w:p>
        </w:tc>
        <w:tc>
          <w:tcPr>
            <w:tcW w:w="2240" w:type="dxa"/>
            <w:vAlign w:val="bottom"/>
          </w:tcPr>
          <w:p>
            <w:pPr>
              <w:ind w:left="940"/>
              <w:spacing w:after="0"/>
              <w:rPr>
                <w:sz w:val="20"/>
                <w:szCs w:val="20"/>
                <w:color w:val="auto"/>
              </w:rPr>
            </w:pPr>
            <w:r>
              <w:rPr>
                <w:rFonts w:ascii="Times New Roman" w:cs="Times New Roman" w:eastAsia="Times New Roman" w:hAnsi="Times New Roman"/>
                <w:sz w:val="11"/>
                <w:szCs w:val="11"/>
                <w:color w:val="auto"/>
              </w:rPr>
              <w:t xml:space="preserve">Other </w:t>
            </w:r>
            <w:r>
              <w:rPr>
                <w:rFonts w:ascii="Times New Roman" w:cs="Times New Roman" w:eastAsia="Times New Roman" w:hAnsi="Times New Roman"/>
                <w:sz w:val="7"/>
                <w:szCs w:val="7"/>
                <w:color w:val="auto"/>
              </w:rPr>
              <w:t>(2)</w:t>
            </w:r>
          </w:p>
        </w:tc>
        <w:tc>
          <w:tcPr>
            <w:tcW w:w="164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Biotechnology</w:t>
            </w:r>
          </w:p>
        </w:tc>
        <w:tc>
          <w:tcPr>
            <w:tcW w:w="38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300" w:type="dxa"/>
            <w:vAlign w:val="bottom"/>
          </w:tcPr>
          <w:p>
            <w:pPr>
              <w:spacing w:after="0"/>
              <w:rPr>
                <w:sz w:val="9"/>
                <w:szCs w:val="9"/>
                <w:color w:val="auto"/>
              </w:rPr>
            </w:pPr>
          </w:p>
        </w:tc>
        <w:tc>
          <w:tcPr>
            <w:tcW w:w="2240" w:type="dxa"/>
            <w:vAlign w:val="bottom"/>
          </w:tcPr>
          <w:p>
            <w:pPr>
              <w:ind w:left="1520"/>
              <w:spacing w:after="0" w:line="112" w:lineRule="exact"/>
              <w:rPr>
                <w:sz w:val="20"/>
                <w:szCs w:val="20"/>
                <w:color w:val="auto"/>
              </w:rPr>
            </w:pPr>
            <w:r>
              <w:rPr>
                <w:rFonts w:ascii="Times New Roman" w:cs="Times New Roman" w:eastAsia="Times New Roman" w:hAnsi="Times New Roman"/>
                <w:sz w:val="11"/>
                <w:szCs w:val="11"/>
                <w:color w:val="auto"/>
              </w:rPr>
              <w:t>Private</w:t>
            </w:r>
          </w:p>
        </w:tc>
        <w:tc>
          <w:tcPr>
            <w:tcW w:w="164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auto"/>
              </w:rPr>
              <w:t>– Preclinical or</w:t>
            </w:r>
          </w:p>
        </w:tc>
        <w:tc>
          <w:tcPr>
            <w:tcW w:w="38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300" w:type="dxa"/>
            <w:vAlign w:val="bottom"/>
          </w:tcPr>
          <w:p>
            <w:pPr>
              <w:spacing w:after="0"/>
              <w:rPr>
                <w:sz w:val="9"/>
                <w:szCs w:val="9"/>
                <w:color w:val="auto"/>
              </w:rPr>
            </w:pPr>
          </w:p>
        </w:tc>
        <w:tc>
          <w:tcPr>
            <w:tcW w:w="2240" w:type="dxa"/>
            <w:vAlign w:val="bottom"/>
          </w:tcPr>
          <w:p>
            <w:pPr>
              <w:ind w:left="1320"/>
              <w:spacing w:after="0" w:line="114" w:lineRule="exact"/>
              <w:rPr>
                <w:sz w:val="20"/>
                <w:szCs w:val="20"/>
                <w:color w:val="auto"/>
              </w:rPr>
            </w:pPr>
            <w:r>
              <w:rPr>
                <w:rFonts w:ascii="Times New Roman" w:cs="Times New Roman" w:eastAsia="Times New Roman" w:hAnsi="Times New Roman"/>
                <w:sz w:val="11"/>
                <w:szCs w:val="11"/>
                <w:color w:val="auto"/>
              </w:rPr>
              <w:t>Biotechnology</w:t>
            </w:r>
          </w:p>
        </w:tc>
        <w:tc>
          <w:tcPr>
            <w:tcW w:w="1640" w:type="dxa"/>
            <w:vAlign w:val="bottom"/>
            <w:vMerge w:val="continue"/>
          </w:tcPr>
          <w:p>
            <w:pPr>
              <w:spacing w:after="0"/>
              <w:rPr>
                <w:sz w:val="9"/>
                <w:szCs w:val="9"/>
                <w:color w:val="auto"/>
              </w:rPr>
            </w:pPr>
          </w:p>
        </w:tc>
        <w:tc>
          <w:tcPr>
            <w:tcW w:w="38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64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Clinical Stage</w:t>
            </w:r>
          </w:p>
        </w:tc>
        <w:tc>
          <w:tcPr>
            <w:tcW w:w="3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300" w:type="dxa"/>
            <w:vAlign w:val="bottom"/>
          </w:tcPr>
          <w:p>
            <w:pPr>
              <w:spacing w:after="0"/>
              <w:rPr>
                <w:sz w:val="19"/>
                <w:szCs w:val="19"/>
                <w:color w:val="auto"/>
              </w:rPr>
            </w:pPr>
          </w:p>
        </w:tc>
        <w:tc>
          <w:tcPr>
            <w:tcW w:w="3880" w:type="dxa"/>
            <w:vAlign w:val="bottom"/>
            <w:gridSpan w:val="2"/>
          </w:tcPr>
          <w:p>
            <w:pPr>
              <w:ind w:left="960"/>
              <w:spacing w:after="0"/>
              <w:rPr>
                <w:sz w:val="20"/>
                <w:szCs w:val="20"/>
                <w:color w:val="auto"/>
              </w:rPr>
            </w:pPr>
            <w:r>
              <w:rPr>
                <w:rFonts w:ascii="Arial" w:cs="Arial" w:eastAsia="Arial" w:hAnsi="Arial"/>
                <w:sz w:val="17"/>
                <w:szCs w:val="17"/>
                <w:color w:val="1F497D"/>
              </w:rPr>
              <w:t>Percentage of ARE’s</w:t>
            </w:r>
          </w:p>
        </w:tc>
        <w:tc>
          <w:tcPr>
            <w:tcW w:w="3860" w:type="dxa"/>
            <w:vAlign w:val="bottom"/>
            <w:gridSpan w:val="2"/>
          </w:tcPr>
          <w:p>
            <w:pPr>
              <w:jc w:val="center"/>
              <w:ind w:right="40"/>
              <w:spacing w:after="0"/>
              <w:rPr>
                <w:sz w:val="20"/>
                <w:szCs w:val="20"/>
                <w:color w:val="auto"/>
              </w:rPr>
            </w:pPr>
            <w:r>
              <w:rPr>
                <w:rFonts w:ascii="Arial" w:cs="Arial" w:eastAsia="Arial" w:hAnsi="Arial"/>
                <w:sz w:val="17"/>
                <w:szCs w:val="17"/>
                <w:color w:val="1F497D"/>
              </w:rPr>
              <w:t>of ARE’s Annual</w:t>
            </w:r>
          </w:p>
        </w:tc>
        <w:tc>
          <w:tcPr>
            <w:tcW w:w="0" w:type="dxa"/>
            <w:vAlign w:val="bottom"/>
          </w:tcPr>
          <w:p>
            <w:pPr>
              <w:spacing w:after="0"/>
              <w:rPr>
                <w:sz w:val="1"/>
                <w:szCs w:val="1"/>
                <w:color w:val="auto"/>
              </w:rPr>
            </w:pPr>
          </w:p>
        </w:tc>
      </w:tr>
      <w:tr>
        <w:trPr>
          <w:trHeight w:val="226"/>
        </w:trPr>
        <w:tc>
          <w:tcPr>
            <w:tcW w:w="300" w:type="dxa"/>
            <w:vAlign w:val="bottom"/>
          </w:tcPr>
          <w:p>
            <w:pPr>
              <w:spacing w:after="0"/>
              <w:rPr>
                <w:sz w:val="19"/>
                <w:szCs w:val="19"/>
                <w:color w:val="auto"/>
              </w:rPr>
            </w:pPr>
          </w:p>
        </w:tc>
        <w:tc>
          <w:tcPr>
            <w:tcW w:w="3880" w:type="dxa"/>
            <w:vAlign w:val="bottom"/>
            <w:gridSpan w:val="2"/>
          </w:tcPr>
          <w:p>
            <w:pPr>
              <w:ind w:left="840"/>
              <w:spacing w:after="0"/>
              <w:rPr>
                <w:sz w:val="20"/>
                <w:szCs w:val="20"/>
                <w:color w:val="auto"/>
              </w:rPr>
            </w:pPr>
            <w:r>
              <w:rPr>
                <w:rFonts w:ascii="Arial" w:cs="Arial" w:eastAsia="Arial" w:hAnsi="Arial"/>
                <w:sz w:val="17"/>
                <w:szCs w:val="17"/>
                <w:color w:val="1F497D"/>
              </w:rPr>
              <w:t>Annual Rental Revenue</w:t>
            </w:r>
          </w:p>
        </w:tc>
        <w:tc>
          <w:tcPr>
            <w:tcW w:w="3860" w:type="dxa"/>
            <w:vAlign w:val="bottom"/>
            <w:gridSpan w:val="2"/>
          </w:tcPr>
          <w:p>
            <w:pPr>
              <w:jc w:val="center"/>
              <w:ind w:right="60"/>
              <w:spacing w:after="0"/>
              <w:rPr>
                <w:sz w:val="20"/>
                <w:szCs w:val="20"/>
                <w:color w:val="auto"/>
              </w:rPr>
            </w:pPr>
            <w:r>
              <w:rPr>
                <w:rFonts w:ascii="Arial" w:cs="Arial" w:eastAsia="Arial" w:hAnsi="Arial"/>
                <w:sz w:val="17"/>
                <w:szCs w:val="17"/>
                <w:color w:val="1F497D"/>
              </w:rPr>
              <w:t>Rental Revenue</w:t>
            </w:r>
          </w:p>
        </w:tc>
        <w:tc>
          <w:tcPr>
            <w:tcW w:w="0" w:type="dxa"/>
            <w:vAlign w:val="bottom"/>
          </w:tcPr>
          <w:p>
            <w:pPr>
              <w:spacing w:after="0"/>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982345</wp:posOffset>
            </wp:positionH>
            <wp:positionV relativeFrom="page">
              <wp:posOffset>88900</wp:posOffset>
            </wp:positionV>
            <wp:extent cx="5584190" cy="62699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584190" cy="626999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1F497D"/>
        </w:rPr>
        <w:t>Solid Historical Occupancy of 96% Over Past 10 Years</w:t>
      </w:r>
      <w:r>
        <w:rPr>
          <w:rFonts w:ascii="Arial" w:cs="Arial" w:eastAsia="Arial" w:hAnsi="Arial"/>
          <w:sz w:val="26"/>
          <w:szCs w:val="26"/>
          <w:b w:val="1"/>
          <w:bCs w:val="1"/>
          <w:color w:val="1F497D"/>
          <w:vertAlign w:val="superscript"/>
        </w:rPr>
        <w:t>(3)</w:t>
      </w:r>
      <w:r>
        <w:rPr>
          <w:rFonts w:ascii="Arial" w:cs="Arial" w:eastAsia="Arial" w:hAnsi="Arial"/>
          <w:sz w:val="20"/>
          <w:szCs w:val="20"/>
          <w:b w:val="1"/>
          <w:bCs w:val="1"/>
          <w:color w:val="1F497D"/>
        </w:rPr>
        <w:t xml:space="preserve"> From</w:t>
      </w:r>
    </w:p>
    <w:p>
      <w:pPr>
        <w:jc w:val="center"/>
        <w:ind w:right="19"/>
        <w:spacing w:after="0"/>
        <w:rPr>
          <w:sz w:val="20"/>
          <w:szCs w:val="20"/>
          <w:color w:val="auto"/>
        </w:rPr>
      </w:pPr>
      <w:r>
        <w:rPr>
          <w:rFonts w:ascii="Arial" w:cs="Arial" w:eastAsia="Arial" w:hAnsi="Arial"/>
          <w:sz w:val="20"/>
          <w:szCs w:val="20"/>
          <w:b w:val="1"/>
          <w:bCs w:val="1"/>
          <w:color w:val="1F497D"/>
        </w:rPr>
        <w:t>Historically Strong Demand for Our Class A/A+ Properties in AAA Locations</w:t>
      </w:r>
    </w:p>
    <w:p>
      <w:pPr>
        <w:spacing w:after="0" w:line="244" w:lineRule="exact"/>
        <w:rPr>
          <w:sz w:val="20"/>
          <w:szCs w:val="20"/>
          <w:color w:val="auto"/>
        </w:rPr>
      </w:pPr>
    </w:p>
    <w:p>
      <w:pPr>
        <w:ind w:left="1220"/>
        <w:spacing w:after="0"/>
        <w:tabs>
          <w:tab w:leader="none" w:pos="4420" w:val="left"/>
        </w:tabs>
        <w:rPr>
          <w:sz w:val="20"/>
          <w:szCs w:val="20"/>
          <w:color w:val="auto"/>
        </w:rPr>
      </w:pPr>
      <w:r>
        <w:rPr>
          <w:rFonts w:ascii="Arial" w:cs="Arial" w:eastAsia="Arial" w:hAnsi="Arial"/>
          <w:sz w:val="20"/>
          <w:szCs w:val="20"/>
          <w:b w:val="1"/>
          <w:bCs w:val="1"/>
          <w:color w:val="1F497D"/>
        </w:rPr>
        <w:t>Mega Campuses</w:t>
      </w:r>
      <w:r>
        <w:rPr>
          <w:sz w:val="20"/>
          <w:szCs w:val="20"/>
          <w:color w:val="auto"/>
        </w:rPr>
        <w:tab/>
      </w:r>
      <w:r>
        <w:rPr>
          <w:rFonts w:ascii="Arial" w:cs="Arial" w:eastAsia="Arial" w:hAnsi="Arial"/>
          <w:sz w:val="20"/>
          <w:szCs w:val="20"/>
          <w:b w:val="1"/>
          <w:bCs w:val="1"/>
          <w:color w:val="1F497D"/>
        </w:rPr>
        <w:t>Occupancy Across Key Locations</w:t>
      </w:r>
    </w:p>
    <w:p>
      <w:pPr>
        <w:spacing w:after="0" w:line="56" w:lineRule="exact"/>
        <w:rPr>
          <w:sz w:val="20"/>
          <w:szCs w:val="20"/>
          <w:color w:val="auto"/>
        </w:rPr>
      </w:pPr>
    </w:p>
    <w:p>
      <w:pPr>
        <w:ind w:left="720"/>
        <w:spacing w:after="0"/>
        <w:rPr>
          <w:sz w:val="20"/>
          <w:szCs w:val="20"/>
          <w:color w:val="auto"/>
        </w:rPr>
      </w:pPr>
      <w:r>
        <w:rPr>
          <w:rFonts w:ascii="Arial" w:cs="Arial" w:eastAsia="Arial" w:hAnsi="Arial"/>
          <w:sz w:val="17"/>
          <w:szCs w:val="17"/>
          <w:b w:val="1"/>
          <w:bCs w:val="1"/>
          <w:color w:val="002F86"/>
        </w:rPr>
        <w:t>74%</w:t>
      </w:r>
    </w:p>
    <w:p>
      <w:pPr>
        <w:spacing w:after="0" w:line="42" w:lineRule="exact"/>
        <w:rPr>
          <w:sz w:val="20"/>
          <w:szCs w:val="20"/>
          <w:color w:val="auto"/>
        </w:rPr>
      </w:pPr>
    </w:p>
    <w:p>
      <w:pPr>
        <w:jc w:val="center"/>
        <w:ind w:right="7219"/>
        <w:spacing w:after="0"/>
        <w:rPr>
          <w:sz w:val="20"/>
          <w:szCs w:val="20"/>
          <w:color w:val="auto"/>
        </w:rPr>
      </w:pPr>
      <w:r>
        <w:rPr>
          <w:rFonts w:ascii="Arial" w:cs="Arial" w:eastAsia="Arial" w:hAnsi="Arial"/>
          <w:sz w:val="14"/>
          <w:szCs w:val="14"/>
          <w:b w:val="1"/>
          <w:bCs w:val="1"/>
          <w:color w:val="002F86"/>
        </w:rPr>
        <w:t>Mega</w:t>
      </w:r>
    </w:p>
    <w:p>
      <w:pPr>
        <w:spacing w:after="0" w:line="11" w:lineRule="exact"/>
        <w:rPr>
          <w:sz w:val="20"/>
          <w:szCs w:val="20"/>
          <w:color w:val="auto"/>
        </w:rPr>
      </w:pPr>
    </w:p>
    <w:p>
      <w:pPr>
        <w:jc w:val="center"/>
        <w:ind w:right="7219"/>
        <w:spacing w:after="0"/>
        <w:rPr>
          <w:sz w:val="20"/>
          <w:szCs w:val="20"/>
          <w:color w:val="auto"/>
        </w:rPr>
      </w:pPr>
      <w:r>
        <w:rPr>
          <w:rFonts w:ascii="Arial" w:cs="Arial" w:eastAsia="Arial" w:hAnsi="Arial"/>
          <w:sz w:val="14"/>
          <w:szCs w:val="14"/>
          <w:b w:val="1"/>
          <w:bCs w:val="1"/>
          <w:color w:val="002F86"/>
        </w:rPr>
        <w:t>Campuses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2939"/>
        <w:spacing w:after="0"/>
        <w:rPr>
          <w:sz w:val="20"/>
          <w:szCs w:val="20"/>
          <w:color w:val="auto"/>
        </w:rPr>
      </w:pPr>
      <w:r>
        <w:rPr>
          <w:rFonts w:ascii="Arial" w:cs="Arial" w:eastAsia="Arial" w:hAnsi="Arial"/>
          <w:sz w:val="17"/>
          <w:szCs w:val="17"/>
          <w:b w:val="1"/>
          <w:bCs w:val="1"/>
          <w:color w:val="05C3DE"/>
        </w:rPr>
        <w:t>26%</w:t>
      </w:r>
    </w:p>
    <w:p>
      <w:pPr>
        <w:spacing w:after="0" w:line="42" w:lineRule="exact"/>
        <w:rPr>
          <w:sz w:val="20"/>
          <w:szCs w:val="20"/>
          <w:color w:val="auto"/>
        </w:rPr>
      </w:pPr>
    </w:p>
    <w:p>
      <w:pPr>
        <w:ind w:left="2700"/>
        <w:spacing w:after="0"/>
        <w:rPr>
          <w:sz w:val="20"/>
          <w:szCs w:val="20"/>
          <w:color w:val="auto"/>
        </w:rPr>
      </w:pPr>
      <w:r>
        <w:rPr>
          <w:rFonts w:ascii="Arial" w:cs="Arial" w:eastAsia="Arial" w:hAnsi="Arial"/>
          <w:sz w:val="14"/>
          <w:szCs w:val="14"/>
          <w:b w:val="1"/>
          <w:bCs w:val="1"/>
          <w:color w:val="05C3DE"/>
        </w:rPr>
        <w:t>Non-Mega</w:t>
      </w:r>
    </w:p>
    <w:p>
      <w:pPr>
        <w:spacing w:after="0" w:line="11" w:lineRule="exact"/>
        <w:rPr>
          <w:sz w:val="20"/>
          <w:szCs w:val="20"/>
          <w:color w:val="auto"/>
        </w:rPr>
      </w:pPr>
    </w:p>
    <w:p>
      <w:pPr>
        <w:ind w:left="2680"/>
        <w:spacing w:after="0"/>
        <w:rPr>
          <w:sz w:val="20"/>
          <w:szCs w:val="20"/>
          <w:color w:val="auto"/>
        </w:rPr>
      </w:pPr>
      <w:r>
        <w:rPr>
          <w:rFonts w:ascii="Arial" w:cs="Arial" w:eastAsia="Arial" w:hAnsi="Arial"/>
          <w:sz w:val="14"/>
          <w:szCs w:val="14"/>
          <w:b w:val="1"/>
          <w:bCs w:val="1"/>
          <w:color w:val="05C3DE"/>
        </w:rPr>
        <w:t>Campuses</w:t>
      </w:r>
    </w:p>
    <w:p>
      <w:pPr>
        <w:spacing w:after="0" w:line="149" w:lineRule="exact"/>
        <w:rPr>
          <w:sz w:val="20"/>
          <w:szCs w:val="20"/>
          <w:color w:val="auto"/>
        </w:rPr>
      </w:pPr>
    </w:p>
    <w:tbl>
      <w:tblPr>
        <w:tblLayout w:type="fixed"/>
        <w:tblInd w:w="1100" w:type="dxa"/>
        <w:tblCellMar>
          <w:top w:w="0" w:type="dxa"/>
          <w:left w:w="0" w:type="dxa"/>
          <w:bottom w:w="0" w:type="dxa"/>
          <w:right w:w="0" w:type="dxa"/>
        </w:tblCellMar>
      </w:tblPr>
      <w:tr>
        <w:trPr>
          <w:trHeight w:val="195"/>
        </w:trPr>
        <w:tc>
          <w:tcPr>
            <w:tcW w:w="4180" w:type="dxa"/>
            <w:vAlign w:val="bottom"/>
          </w:tcPr>
          <w:p>
            <w:pPr>
              <w:jc w:val="center"/>
              <w:ind w:right="2254"/>
              <w:spacing w:after="0"/>
              <w:rPr>
                <w:sz w:val="20"/>
                <w:szCs w:val="20"/>
                <w:color w:val="auto"/>
              </w:rPr>
            </w:pPr>
            <w:r>
              <w:rPr>
                <w:rFonts w:ascii="Arial" w:cs="Arial" w:eastAsia="Arial" w:hAnsi="Arial"/>
                <w:sz w:val="17"/>
                <w:szCs w:val="17"/>
                <w:color w:val="1F497D"/>
              </w:rPr>
              <w:t>Percentage of ARE’s</w:t>
            </w:r>
          </w:p>
        </w:tc>
        <w:tc>
          <w:tcPr>
            <w:tcW w:w="2460" w:type="dxa"/>
            <w:vAlign w:val="bottom"/>
            <w:vMerge w:val="restart"/>
          </w:tcPr>
          <w:p>
            <w:pPr>
              <w:jc w:val="right"/>
              <w:spacing w:after="0"/>
              <w:rPr>
                <w:sz w:val="20"/>
                <w:szCs w:val="20"/>
                <w:color w:val="auto"/>
              </w:rPr>
            </w:pPr>
            <w:r>
              <w:rPr>
                <w:rFonts w:ascii="Arial" w:cs="Arial" w:eastAsia="Arial" w:hAnsi="Arial"/>
                <w:sz w:val="8"/>
                <w:szCs w:val="8"/>
                <w:color w:val="auto"/>
              </w:rPr>
              <w:t>(4)</w:t>
            </w:r>
          </w:p>
        </w:tc>
        <w:tc>
          <w:tcPr>
            <w:tcW w:w="0" w:type="dxa"/>
            <w:vAlign w:val="bottom"/>
          </w:tcPr>
          <w:p>
            <w:pPr>
              <w:spacing w:after="0"/>
              <w:rPr>
                <w:sz w:val="1"/>
                <w:szCs w:val="1"/>
                <w:color w:val="auto"/>
              </w:rPr>
            </w:pPr>
          </w:p>
        </w:tc>
      </w:tr>
      <w:tr>
        <w:trPr>
          <w:trHeight w:val="26"/>
        </w:trPr>
        <w:tc>
          <w:tcPr>
            <w:tcW w:w="4180" w:type="dxa"/>
            <w:vAlign w:val="bottom"/>
          </w:tcPr>
          <w:p>
            <w:pPr>
              <w:spacing w:after="0"/>
              <w:rPr>
                <w:sz w:val="2"/>
                <w:szCs w:val="2"/>
                <w:color w:val="auto"/>
              </w:rPr>
            </w:pPr>
          </w:p>
        </w:tc>
        <w:tc>
          <w:tcPr>
            <w:tcW w:w="24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180" w:type="dxa"/>
            <w:vAlign w:val="bottom"/>
          </w:tcPr>
          <w:p>
            <w:pPr>
              <w:jc w:val="center"/>
              <w:ind w:right="2274"/>
              <w:spacing w:after="0"/>
              <w:rPr>
                <w:sz w:val="20"/>
                <w:szCs w:val="20"/>
                <w:color w:val="auto"/>
              </w:rPr>
            </w:pPr>
            <w:r>
              <w:rPr>
                <w:rFonts w:ascii="Arial" w:cs="Arial" w:eastAsia="Arial" w:hAnsi="Arial"/>
                <w:sz w:val="17"/>
                <w:szCs w:val="17"/>
                <w:color w:val="1F497D"/>
              </w:rPr>
              <w:t>Annual Rental Revenue</w:t>
            </w:r>
          </w:p>
        </w:tc>
        <w:tc>
          <w:tcPr>
            <w:tcW w:w="24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ind w:left="620"/>
        <w:spacing w:after="0"/>
        <w:rPr>
          <w:sz w:val="20"/>
          <w:szCs w:val="20"/>
          <w:color w:val="auto"/>
        </w:rPr>
      </w:pPr>
      <w:r>
        <w:rPr>
          <w:rFonts w:ascii="Arial" w:cs="Arial" w:eastAsia="Arial" w:hAnsi="Arial"/>
          <w:sz w:val="10"/>
          <w:szCs w:val="10"/>
          <w:color w:val="auto"/>
        </w:rPr>
        <w:t>As of June 30, 2024. Annual rental revenue represents amounts in effect as of June 30, 2024. Refer to “Definitions and reconciliations” in Item 2 for additional information.</w:t>
      </w:r>
    </w:p>
    <w:p>
      <w:pPr>
        <w:spacing w:after="0" w:line="46" w:lineRule="exact"/>
        <w:rPr>
          <w:sz w:val="20"/>
          <w:szCs w:val="20"/>
          <w:color w:val="auto"/>
        </w:rPr>
      </w:pPr>
    </w:p>
    <w:p>
      <w:pPr>
        <w:ind w:left="900" w:right="659" w:hanging="262"/>
        <w:spacing w:after="0" w:line="261" w:lineRule="auto"/>
        <w:tabs>
          <w:tab w:leader="none" w:pos="900" w:val="left"/>
        </w:tabs>
        <w:numPr>
          <w:ilvl w:val="0"/>
          <w:numId w:val="73"/>
        </w:numPr>
        <w:rPr>
          <w:rFonts w:ascii="Arial" w:cs="Arial" w:eastAsia="Arial" w:hAnsi="Arial"/>
          <w:sz w:val="10"/>
          <w:szCs w:val="10"/>
          <w:color w:val="auto"/>
        </w:rPr>
      </w:pPr>
      <w:r>
        <w:rPr>
          <w:rFonts w:ascii="Arial" w:cs="Arial" w:eastAsia="Arial" w:hAnsi="Arial"/>
          <w:sz w:val="10"/>
          <w:szCs w:val="10"/>
          <w:color w:val="auto"/>
        </w:rPr>
        <w:t>Represents annual rental revenue currently generated from space that is targeted for a future change in use to laboratory space, including 1.0% of annual rental revenue that is generated from covered land play projects for future development opportunities. The weighted-average remaining term of these leases is 2.9 years.</w:t>
      </w:r>
    </w:p>
    <w:p>
      <w:pPr>
        <w:ind w:left="900" w:right="739" w:hanging="262"/>
        <w:spacing w:after="0" w:line="253" w:lineRule="auto"/>
        <w:tabs>
          <w:tab w:leader="none" w:pos="900" w:val="left"/>
        </w:tabs>
        <w:numPr>
          <w:ilvl w:val="0"/>
          <w:numId w:val="73"/>
        </w:numPr>
        <w:rPr>
          <w:rFonts w:ascii="Arial" w:cs="Arial" w:eastAsia="Arial" w:hAnsi="Arial"/>
          <w:sz w:val="10"/>
          <w:szCs w:val="10"/>
          <w:color w:val="auto"/>
        </w:rPr>
      </w:pPr>
      <w:r>
        <w:rPr>
          <w:rFonts w:ascii="Arial" w:cs="Arial" w:eastAsia="Arial" w:hAnsi="Arial"/>
          <w:sz w:val="10"/>
          <w:szCs w:val="10"/>
          <w:color w:val="auto"/>
        </w:rPr>
        <w:t>Represents the percentage of our annual rental revenue generated by “Other” tenants, which comprise technology, professional services, finance, telecommunications, and construction/real estate companies, and (by less than 1.0% of our annual rental revenue) retail-related tenants.</w:t>
      </w:r>
    </w:p>
    <w:p>
      <w:pPr>
        <w:ind w:left="900" w:hanging="262"/>
        <w:spacing w:after="0"/>
        <w:tabs>
          <w:tab w:leader="none" w:pos="900" w:val="left"/>
        </w:tabs>
        <w:numPr>
          <w:ilvl w:val="0"/>
          <w:numId w:val="73"/>
        </w:numPr>
        <w:rPr>
          <w:rFonts w:ascii="Arial" w:cs="Arial" w:eastAsia="Arial" w:hAnsi="Arial"/>
          <w:sz w:val="10"/>
          <w:szCs w:val="10"/>
          <w:color w:val="auto"/>
        </w:rPr>
      </w:pPr>
      <w:r>
        <w:rPr>
          <w:rFonts w:ascii="Arial" w:cs="Arial" w:eastAsia="Arial" w:hAnsi="Arial"/>
          <w:sz w:val="10"/>
          <w:szCs w:val="10"/>
          <w:color w:val="auto"/>
        </w:rPr>
        <w:t>Represents average occupancy of operating properties as of each December 31 from 2015 through 2023 and as of June 30, 2024.</w:t>
      </w:r>
    </w:p>
    <w:p>
      <w:pPr>
        <w:spacing w:after="0" w:line="3" w:lineRule="exact"/>
        <w:rPr>
          <w:rFonts w:ascii="Arial" w:cs="Arial" w:eastAsia="Arial" w:hAnsi="Arial"/>
          <w:sz w:val="10"/>
          <w:szCs w:val="10"/>
          <w:color w:val="auto"/>
        </w:rPr>
      </w:pPr>
    </w:p>
    <w:p>
      <w:pPr>
        <w:ind w:left="900" w:hanging="262"/>
        <w:spacing w:after="0"/>
        <w:tabs>
          <w:tab w:leader="none" w:pos="900" w:val="left"/>
        </w:tabs>
        <w:numPr>
          <w:ilvl w:val="0"/>
          <w:numId w:val="73"/>
        </w:numPr>
        <w:rPr>
          <w:rFonts w:ascii="Arial" w:cs="Arial" w:eastAsia="Arial" w:hAnsi="Arial"/>
          <w:sz w:val="10"/>
          <w:szCs w:val="10"/>
          <w:color w:val="auto"/>
        </w:rPr>
      </w:pPr>
      <w:r>
        <w:rPr>
          <w:rFonts w:ascii="Arial" w:cs="Arial" w:eastAsia="Arial" w:hAnsi="Arial"/>
          <w:sz w:val="10"/>
          <w:szCs w:val="10"/>
          <w:color w:val="auto"/>
        </w:rPr>
        <w:t>Refer to footnote 1 under “Summary of occupancy percentages in North America” in Item 2 for additional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188595</wp:posOffset>
            </wp:positionV>
            <wp:extent cx="5584190" cy="41833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584190" cy="4183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1F497D"/>
        </w:rPr>
        <w:t>Long-Duration and Stable Cash Flows From</w:t>
      </w:r>
    </w:p>
    <w:p>
      <w:pPr>
        <w:jc w:val="center"/>
        <w:spacing w:after="0"/>
        <w:rPr>
          <w:sz w:val="20"/>
          <w:szCs w:val="20"/>
          <w:color w:val="auto"/>
        </w:rPr>
      </w:pPr>
      <w:r>
        <w:rPr>
          <w:rFonts w:ascii="Arial" w:cs="Arial" w:eastAsia="Arial" w:hAnsi="Arial"/>
          <w:sz w:val="21"/>
          <w:szCs w:val="21"/>
          <w:b w:val="1"/>
          <w:bCs w:val="1"/>
          <w:color w:val="1F497D"/>
        </w:rPr>
        <w:t>High-Quality and Diverse Tenants</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1F497D"/>
        </w:rPr>
        <w:t>Long-Duration Lease Terms</w:t>
      </w:r>
    </w:p>
    <w:p>
      <w:pPr>
        <w:spacing w:after="0" w:line="300" w:lineRule="exact"/>
        <w:rPr>
          <w:sz w:val="20"/>
          <w:szCs w:val="20"/>
          <w:color w:val="auto"/>
        </w:rPr>
      </w:pPr>
    </w:p>
    <w:p>
      <w:pPr>
        <w:ind w:left="3120"/>
        <w:spacing w:after="0"/>
        <w:rPr>
          <w:sz w:val="20"/>
          <w:szCs w:val="20"/>
          <w:color w:val="auto"/>
        </w:rPr>
      </w:pPr>
      <w:r>
        <w:rPr>
          <w:rFonts w:ascii="Arial" w:cs="Arial" w:eastAsia="Arial" w:hAnsi="Arial"/>
          <w:sz w:val="63"/>
          <w:szCs w:val="63"/>
          <w:b w:val="1"/>
          <w:bCs w:val="1"/>
          <w:color w:val="1F497D"/>
        </w:rPr>
        <w:t>9.4 Years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20"/>
          <w:szCs w:val="20"/>
          <w:color w:val="1F497D"/>
        </w:rPr>
        <w:t>Top 20 Tenants</w:t>
      </w: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63"/>
          <w:szCs w:val="63"/>
          <w:b w:val="1"/>
          <w:bCs w:val="1"/>
          <w:color w:val="1F497D"/>
        </w:rPr>
        <w:t>7.4 Years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20"/>
          <w:szCs w:val="20"/>
          <w:color w:val="1F497D"/>
        </w:rPr>
        <w:t>All Tenants</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1F497D"/>
        </w:rPr>
        <w:t>Weighted-Average Remaining Term</w:t>
      </w:r>
      <w:r>
        <w:rPr>
          <w:rFonts w:ascii="Arial" w:cs="Arial" w:eastAsia="Arial" w:hAnsi="Arial"/>
          <w:sz w:val="26"/>
          <w:szCs w:val="26"/>
          <w:color w:val="1F497D"/>
          <w:vertAlign w:val="superscript"/>
        </w:rPr>
        <w:t>(1)</w:t>
      </w:r>
    </w:p>
    <w:p>
      <w:pPr>
        <w:sectPr>
          <w:pgSz w:w="11900" w:h="16838" w:orient="portrait"/>
          <w:cols w:equalWidth="0" w:num="1">
            <w:col w:w="9019"/>
          </w:cols>
          <w:pgMar w:left="1440" w:top="120" w:right="1440" w:bottom="496" w:gutter="0" w:footer="0" w:header="0"/>
        </w:sect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00497F"/>
        </w:rPr>
        <w:t>Sustained Strength in Tenant Collections</w:t>
      </w:r>
      <w:r>
        <w:rPr>
          <w:rFonts w:ascii="Arial" w:cs="Arial" w:eastAsia="Arial" w:hAnsi="Arial"/>
          <w:sz w:val="28"/>
          <w:szCs w:val="28"/>
          <w:color w:val="1F497D"/>
          <w:vertAlign w:val="superscript"/>
        </w:rPr>
        <w:t>(2)</w:t>
      </w:r>
    </w:p>
    <w:p>
      <w:pPr>
        <w:sectPr>
          <w:pgSz w:w="11900" w:h="16838" w:orient="portrait"/>
          <w:cols w:equalWidth="0" w:num="1">
            <w:col w:w="9019"/>
          </w:cols>
          <w:pgMar w:left="1440" w:top="120" w:right="1440" w:bottom="496" w:gutter="0" w:footer="0" w:header="0"/>
          <w:type w:val="continuous"/>
        </w:sectPr>
      </w:pPr>
    </w:p>
    <w:bookmarkStart w:id="36" w:name="page37"/>
    <w:bookmarkEnd w:id="36"/>
    <w:p>
      <w:pPr>
        <w:jc w:val="center"/>
        <w:spacing w:after="0" w:line="185" w:lineRule="auto"/>
        <w:rPr>
          <w:sz w:val="20"/>
          <w:szCs w:val="20"/>
          <w:color w:val="auto"/>
        </w:rPr>
      </w:pPr>
      <w:r>
        <w:rPr>
          <w:rFonts w:ascii="Arial" w:cs="Arial" w:eastAsia="Arial" w:hAnsi="Arial"/>
          <w:sz w:val="20"/>
          <w:szCs w:val="20"/>
          <w:color w:val="0F497D"/>
        </w:rPr>
        <w:t xml:space="preserve">For </w:t>
      </w:r>
      <w:r>
        <w:rPr>
          <w:rFonts w:ascii="Arial" w:cs="Arial" w:eastAsia="Arial" w:hAnsi="Arial"/>
          <w:sz w:val="68"/>
          <w:szCs w:val="68"/>
          <w:b w:val="1"/>
          <w:bCs w:val="1"/>
          <w:color w:val="1F497D"/>
        </w:rPr>
        <w:t>99</w:t>
      </w:r>
      <w:r>
        <w:rPr>
          <w:rFonts w:ascii="Arial" w:cs="Arial" w:eastAsia="Arial" w:hAnsi="Arial"/>
          <w:sz w:val="20"/>
          <w:szCs w:val="20"/>
          <w:color w:val="0F497D"/>
        </w:rPr>
        <w:t>theThree</w:t>
      </w:r>
      <w:r>
        <w:rPr>
          <w:rFonts w:ascii="Arial" w:cs="Arial" w:eastAsia="Arial" w:hAnsi="Arial"/>
          <w:sz w:val="68"/>
          <w:szCs w:val="68"/>
          <w:b w:val="1"/>
          <w:bCs w:val="1"/>
          <w:color w:val="1F497D"/>
        </w:rPr>
        <w:t>.</w:t>
      </w:r>
      <w:r>
        <w:rPr>
          <w:rFonts w:ascii="Arial" w:cs="Arial" w:eastAsia="Arial" w:hAnsi="Arial"/>
          <w:sz w:val="20"/>
          <w:szCs w:val="20"/>
          <w:color w:val="0F497D"/>
        </w:rPr>
        <w:t>Months</w:t>
      </w:r>
      <w:r>
        <w:rPr>
          <w:rFonts w:ascii="Arial" w:cs="Arial" w:eastAsia="Arial" w:hAnsi="Arial"/>
          <w:sz w:val="68"/>
          <w:szCs w:val="68"/>
          <w:b w:val="1"/>
          <w:bCs w:val="1"/>
          <w:color w:val="1F497D"/>
        </w:rPr>
        <w:t>9%</w:t>
      </w:r>
      <w:r>
        <w:rPr>
          <w:rFonts w:ascii="Arial" w:cs="Arial" w:eastAsia="Arial" w:hAnsi="Arial"/>
          <w:sz w:val="20"/>
          <w:szCs w:val="20"/>
          <w:color w:val="0F497D"/>
        </w:rPr>
        <w:t>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-293370</wp:posOffset>
            </wp:positionV>
            <wp:extent cx="5584190" cy="30308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584190" cy="3030855"/>
                    </a:xfrm>
                    <a:prstGeom prst="rect">
                      <a:avLst/>
                    </a:prstGeom>
                    <a:noFill/>
                  </pic:spPr>
                </pic:pic>
              </a:graphicData>
            </a:graphic>
          </wp:anchor>
        </w:drawing>
      </w:r>
    </w:p>
    <w:p>
      <w:pPr>
        <w:jc w:val="center"/>
        <w:ind w:right="-40"/>
        <w:spacing w:after="0"/>
        <w:rPr>
          <w:sz w:val="20"/>
          <w:szCs w:val="20"/>
          <w:color w:val="auto"/>
        </w:rPr>
      </w:pPr>
      <w:r>
        <w:rPr>
          <w:rFonts w:ascii="Arial" w:cs="Arial" w:eastAsia="Arial" w:hAnsi="Arial"/>
          <w:sz w:val="20"/>
          <w:szCs w:val="20"/>
          <w:color w:val="0F497D"/>
        </w:rPr>
        <w:t>June 30, 2024</w:t>
      </w:r>
    </w:p>
    <w:p>
      <w:pPr>
        <w:spacing w:after="0" w:line="260" w:lineRule="exact"/>
        <w:rPr>
          <w:sz w:val="20"/>
          <w:szCs w:val="20"/>
          <w:color w:val="auto"/>
        </w:rPr>
      </w:pPr>
    </w:p>
    <w:p>
      <w:pPr>
        <w:jc w:val="center"/>
        <w:ind w:right="-20"/>
        <w:spacing w:after="0"/>
        <w:rPr>
          <w:sz w:val="20"/>
          <w:szCs w:val="20"/>
          <w:color w:val="auto"/>
        </w:rPr>
      </w:pPr>
      <w:r>
        <w:rPr>
          <w:rFonts w:ascii="Arial" w:cs="Arial" w:eastAsia="Arial" w:hAnsi="Arial"/>
          <w:sz w:val="72"/>
          <w:szCs w:val="72"/>
          <w:b w:val="1"/>
          <w:bCs w:val="1"/>
          <w:color w:val="1F497D"/>
        </w:rPr>
        <w:t>99.7%</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0"/>
          <w:szCs w:val="20"/>
          <w:color w:val="0F497D"/>
        </w:rPr>
        <w:t>July 2024</w:t>
      </w:r>
    </w:p>
    <w:p>
      <w:pPr>
        <w:spacing w:after="0" w:line="365" w:lineRule="exact"/>
        <w:rPr>
          <w:sz w:val="20"/>
          <w:szCs w:val="20"/>
          <w:color w:val="auto"/>
        </w:rPr>
      </w:pPr>
    </w:p>
    <w:p>
      <w:pPr>
        <w:ind w:left="900" w:hanging="262"/>
        <w:spacing w:after="0"/>
        <w:tabs>
          <w:tab w:leader="none" w:pos="900" w:val="left"/>
        </w:tabs>
        <w:numPr>
          <w:ilvl w:val="0"/>
          <w:numId w:val="74"/>
        </w:numPr>
        <w:rPr>
          <w:rFonts w:ascii="Arial" w:cs="Arial" w:eastAsia="Arial" w:hAnsi="Arial"/>
          <w:sz w:val="10"/>
          <w:szCs w:val="10"/>
          <w:color w:val="auto"/>
        </w:rPr>
      </w:pPr>
      <w:r>
        <w:rPr>
          <w:rFonts w:ascii="Arial" w:cs="Arial" w:eastAsia="Arial" w:hAnsi="Arial"/>
          <w:sz w:val="10"/>
          <w:szCs w:val="10"/>
          <w:color w:val="auto"/>
        </w:rPr>
        <w:t>Based on annual rental revenue in effect as of June 30, 2024.</w:t>
      </w:r>
    </w:p>
    <w:p>
      <w:pPr>
        <w:spacing w:after="0" w:line="13" w:lineRule="exact"/>
        <w:rPr>
          <w:rFonts w:ascii="Arial" w:cs="Arial" w:eastAsia="Arial" w:hAnsi="Arial"/>
          <w:sz w:val="10"/>
          <w:szCs w:val="10"/>
          <w:color w:val="auto"/>
        </w:rPr>
      </w:pPr>
    </w:p>
    <w:p>
      <w:pPr>
        <w:ind w:left="900" w:hanging="262"/>
        <w:spacing w:after="0"/>
        <w:tabs>
          <w:tab w:leader="none" w:pos="900" w:val="left"/>
        </w:tabs>
        <w:numPr>
          <w:ilvl w:val="0"/>
          <w:numId w:val="74"/>
        </w:numPr>
        <w:rPr>
          <w:rFonts w:ascii="Arial" w:cs="Arial" w:eastAsia="Arial" w:hAnsi="Arial"/>
          <w:sz w:val="10"/>
          <w:szCs w:val="10"/>
          <w:color w:val="auto"/>
        </w:rPr>
      </w:pPr>
      <w:r>
        <w:rPr>
          <w:rFonts w:ascii="Arial" w:cs="Arial" w:eastAsia="Arial" w:hAnsi="Arial"/>
          <w:sz w:val="10"/>
          <w:szCs w:val="10"/>
          <w:color w:val="auto"/>
        </w:rPr>
        <w:t>Represents the portion of total receivables billed for each period collected through the date of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188595</wp:posOffset>
            </wp:positionV>
            <wp:extent cx="5584190" cy="72205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40"/>
        <w:spacing w:after="0"/>
        <w:rPr>
          <w:sz w:val="20"/>
          <w:szCs w:val="20"/>
          <w:color w:val="auto"/>
        </w:rPr>
      </w:pPr>
      <w:r>
        <w:rPr>
          <w:rFonts w:ascii="Arial" w:cs="Arial" w:eastAsia="Arial" w:hAnsi="Arial"/>
          <w:sz w:val="13"/>
          <w:szCs w:val="13"/>
          <w:u w:val="single" w:color="auto"/>
          <w:color w:val="auto"/>
        </w:rPr>
        <w:t>Leasing</w:t>
      </w:r>
    </w:p>
    <w:p>
      <w:pPr>
        <w:spacing w:after="0" w:line="162" w:lineRule="exact"/>
        <w:rPr>
          <w:sz w:val="20"/>
          <w:szCs w:val="20"/>
          <w:color w:val="auto"/>
        </w:rPr>
      </w:pPr>
    </w:p>
    <w:p>
      <w:pPr>
        <w:ind w:left="1160"/>
        <w:spacing w:after="0"/>
        <w:rPr>
          <w:sz w:val="20"/>
          <w:szCs w:val="20"/>
          <w:color w:val="auto"/>
        </w:rPr>
      </w:pPr>
      <w:r>
        <w:rPr>
          <w:rFonts w:ascii="Arial" w:cs="Arial" w:eastAsia="Arial" w:hAnsi="Arial"/>
          <w:sz w:val="13"/>
          <w:szCs w:val="13"/>
          <w:color w:val="auto"/>
        </w:rPr>
        <w:t>The following table summarizes our leasing activity at our properties:</w:t>
      </w:r>
    </w:p>
    <w:p>
      <w:pPr>
        <w:spacing w:after="0" w:line="158" w:lineRule="exact"/>
        <w:rPr>
          <w:sz w:val="20"/>
          <w:szCs w:val="20"/>
          <w:color w:val="auto"/>
        </w:rPr>
      </w:pPr>
    </w:p>
    <w:tbl>
      <w:tblPr>
        <w:tblLayout w:type="fixed"/>
        <w:tblInd w:w="640" w:type="dxa"/>
        <w:tblCellMar>
          <w:top w:w="0" w:type="dxa"/>
          <w:left w:w="0" w:type="dxa"/>
          <w:bottom w:w="0" w:type="dxa"/>
          <w:right w:w="0" w:type="dxa"/>
        </w:tblCellMar>
      </w:tblPr>
      <w:tr>
        <w:trPr>
          <w:trHeight w:val="160"/>
        </w:trPr>
        <w:tc>
          <w:tcPr>
            <w:tcW w:w="1700" w:type="dxa"/>
            <w:vAlign w:val="bottom"/>
          </w:tcPr>
          <w:p>
            <w:pPr>
              <w:spacing w:after="0"/>
              <w:rPr>
                <w:sz w:val="13"/>
                <w:szCs w:val="13"/>
                <w:color w:val="auto"/>
              </w:rPr>
            </w:pPr>
          </w:p>
        </w:tc>
        <w:tc>
          <w:tcPr>
            <w:tcW w:w="2160" w:type="dxa"/>
            <w:vAlign w:val="bottom"/>
            <w:gridSpan w:val="4"/>
          </w:tcPr>
          <w:p>
            <w:pPr>
              <w:ind w:left="380"/>
              <w:spacing w:after="0"/>
              <w:rPr>
                <w:sz w:val="20"/>
                <w:szCs w:val="20"/>
                <w:color w:val="auto"/>
              </w:rPr>
            </w:pPr>
            <w:r>
              <w:rPr>
                <w:rFonts w:ascii="Arial" w:cs="Arial" w:eastAsia="Arial" w:hAnsi="Arial"/>
                <w:sz w:val="12"/>
                <w:szCs w:val="12"/>
                <w:color w:val="auto"/>
              </w:rPr>
              <w:t>Three Months Ended</w:t>
            </w:r>
          </w:p>
        </w:tc>
        <w:tc>
          <w:tcPr>
            <w:tcW w:w="2060" w:type="dxa"/>
            <w:vAlign w:val="bottom"/>
            <w:gridSpan w:val="4"/>
          </w:tcPr>
          <w:p>
            <w:pPr>
              <w:jc w:val="center"/>
              <w:ind w:right="140"/>
              <w:spacing w:after="0"/>
              <w:rPr>
                <w:sz w:val="20"/>
                <w:szCs w:val="20"/>
                <w:color w:val="auto"/>
              </w:rPr>
            </w:pPr>
            <w:r>
              <w:rPr>
                <w:rFonts w:ascii="Arial" w:cs="Arial" w:eastAsia="Arial" w:hAnsi="Arial"/>
                <w:sz w:val="12"/>
                <w:szCs w:val="12"/>
                <w:color w:val="auto"/>
              </w:rPr>
              <w:t>Six Months Ended</w:t>
            </w:r>
          </w:p>
        </w:tc>
        <w:tc>
          <w:tcPr>
            <w:tcW w:w="1880" w:type="dxa"/>
            <w:vAlign w:val="bottom"/>
            <w:gridSpan w:val="3"/>
          </w:tcPr>
          <w:p>
            <w:pPr>
              <w:jc w:val="right"/>
              <w:ind w:right="559"/>
              <w:spacing w:after="0"/>
              <w:rPr>
                <w:sz w:val="20"/>
                <w:szCs w:val="20"/>
                <w:color w:val="auto"/>
              </w:rPr>
            </w:pPr>
            <w:r>
              <w:rPr>
                <w:rFonts w:ascii="Arial" w:cs="Arial" w:eastAsia="Arial" w:hAnsi="Arial"/>
                <w:sz w:val="12"/>
                <w:szCs w:val="12"/>
                <w:color w:val="auto"/>
              </w:rPr>
              <w:t>Year Ended</w:t>
            </w:r>
          </w:p>
        </w:tc>
      </w:tr>
      <w:tr>
        <w:trPr>
          <w:trHeight w:val="166"/>
        </w:trPr>
        <w:tc>
          <w:tcPr>
            <w:tcW w:w="1700" w:type="dxa"/>
            <w:vAlign w:val="bottom"/>
          </w:tcPr>
          <w:p>
            <w:pPr>
              <w:spacing w:after="0"/>
              <w:rPr>
                <w:sz w:val="14"/>
                <w:szCs w:val="14"/>
                <w:color w:val="auto"/>
              </w:rPr>
            </w:pPr>
          </w:p>
        </w:tc>
        <w:tc>
          <w:tcPr>
            <w:tcW w:w="2160" w:type="dxa"/>
            <w:vAlign w:val="bottom"/>
            <w:gridSpan w:val="4"/>
          </w:tcPr>
          <w:p>
            <w:pPr>
              <w:ind w:left="580"/>
              <w:spacing w:after="0"/>
              <w:rPr>
                <w:sz w:val="20"/>
                <w:szCs w:val="20"/>
                <w:color w:val="auto"/>
              </w:rPr>
            </w:pPr>
            <w:r>
              <w:rPr>
                <w:rFonts w:ascii="Arial" w:cs="Arial" w:eastAsia="Arial" w:hAnsi="Arial"/>
                <w:sz w:val="12"/>
                <w:szCs w:val="12"/>
                <w:color w:val="auto"/>
              </w:rPr>
              <w:t>June 30, 2024</w:t>
            </w:r>
          </w:p>
        </w:tc>
        <w:tc>
          <w:tcPr>
            <w:tcW w:w="2060" w:type="dxa"/>
            <w:vAlign w:val="bottom"/>
            <w:gridSpan w:val="4"/>
          </w:tcPr>
          <w:p>
            <w:pPr>
              <w:jc w:val="center"/>
              <w:ind w:right="140"/>
              <w:spacing w:after="0"/>
              <w:rPr>
                <w:sz w:val="20"/>
                <w:szCs w:val="20"/>
                <w:color w:val="auto"/>
              </w:rPr>
            </w:pPr>
            <w:r>
              <w:rPr>
                <w:rFonts w:ascii="Arial" w:cs="Arial" w:eastAsia="Arial" w:hAnsi="Arial"/>
                <w:sz w:val="12"/>
                <w:szCs w:val="12"/>
                <w:color w:val="auto"/>
                <w:w w:val="99"/>
              </w:rPr>
              <w:t>June 30, 2024</w:t>
            </w:r>
          </w:p>
        </w:tc>
        <w:tc>
          <w:tcPr>
            <w:tcW w:w="1880" w:type="dxa"/>
            <w:vAlign w:val="bottom"/>
            <w:gridSpan w:val="3"/>
          </w:tcPr>
          <w:p>
            <w:pPr>
              <w:jc w:val="right"/>
              <w:ind w:right="359"/>
              <w:spacing w:after="0"/>
              <w:rPr>
                <w:sz w:val="20"/>
                <w:szCs w:val="20"/>
                <w:color w:val="auto"/>
              </w:rPr>
            </w:pPr>
            <w:r>
              <w:rPr>
                <w:rFonts w:ascii="Arial" w:cs="Arial" w:eastAsia="Arial" w:hAnsi="Arial"/>
                <w:sz w:val="12"/>
                <w:szCs w:val="12"/>
                <w:color w:val="auto"/>
              </w:rPr>
              <w:t>December 31, 2023</w:t>
            </w:r>
          </w:p>
        </w:tc>
      </w:tr>
      <w:tr>
        <w:trPr>
          <w:trHeight w:val="137"/>
        </w:trPr>
        <w:tc>
          <w:tcPr>
            <w:tcW w:w="1700" w:type="dxa"/>
            <w:vAlign w:val="bottom"/>
          </w:tcPr>
          <w:p>
            <w:pPr>
              <w:spacing w:after="0"/>
              <w:rPr>
                <w:sz w:val="11"/>
                <w:szCs w:val="11"/>
                <w:color w:val="auto"/>
              </w:rPr>
            </w:pPr>
          </w:p>
        </w:tc>
        <w:tc>
          <w:tcPr>
            <w:tcW w:w="1140" w:type="dxa"/>
            <w:vAlign w:val="bottom"/>
            <w:tcBorders>
              <w:top w:val="single" w:sz="8" w:color="auto"/>
            </w:tcBorders>
            <w:gridSpan w:val="2"/>
          </w:tcPr>
          <w:p>
            <w:pPr>
              <w:jc w:val="center"/>
              <w:ind w:right="40"/>
              <w:spacing w:after="0"/>
              <w:rPr>
                <w:sz w:val="20"/>
                <w:szCs w:val="20"/>
                <w:color w:val="auto"/>
              </w:rPr>
            </w:pPr>
            <w:r>
              <w:rPr>
                <w:rFonts w:ascii="Arial" w:cs="Arial" w:eastAsia="Arial" w:hAnsi="Arial"/>
                <w:sz w:val="12"/>
                <w:szCs w:val="12"/>
                <w:color w:val="auto"/>
              </w:rPr>
              <w:t>Including</w:t>
            </w:r>
          </w:p>
        </w:tc>
        <w:tc>
          <w:tcPr>
            <w:tcW w:w="78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Borders>
              <w:top w:val="single" w:sz="8" w:color="auto"/>
            </w:tcBorders>
            <w:gridSpan w:val="2"/>
          </w:tcPr>
          <w:p>
            <w:pPr>
              <w:jc w:val="center"/>
              <w:ind w:right="40"/>
              <w:spacing w:after="0"/>
              <w:rPr>
                <w:sz w:val="20"/>
                <w:szCs w:val="20"/>
                <w:color w:val="auto"/>
              </w:rPr>
            </w:pPr>
            <w:r>
              <w:rPr>
                <w:rFonts w:ascii="Arial" w:cs="Arial" w:eastAsia="Arial" w:hAnsi="Arial"/>
                <w:sz w:val="12"/>
                <w:szCs w:val="12"/>
                <w:color w:val="auto"/>
              </w:rPr>
              <w:t>Including</w:t>
            </w:r>
          </w:p>
        </w:tc>
        <w:tc>
          <w:tcPr>
            <w:tcW w:w="7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Borders>
              <w:top w:val="single" w:sz="8" w:color="auto"/>
            </w:tcBorders>
            <w:gridSpan w:val="2"/>
          </w:tcPr>
          <w:p>
            <w:pPr>
              <w:ind w:left="280"/>
              <w:spacing w:after="0"/>
              <w:rPr>
                <w:sz w:val="20"/>
                <w:szCs w:val="20"/>
                <w:color w:val="auto"/>
              </w:rPr>
            </w:pPr>
            <w:r>
              <w:rPr>
                <w:rFonts w:ascii="Arial" w:cs="Arial" w:eastAsia="Arial" w:hAnsi="Arial"/>
                <w:sz w:val="12"/>
                <w:szCs w:val="12"/>
                <w:color w:val="auto"/>
              </w:rPr>
              <w:t>Including</w:t>
            </w:r>
          </w:p>
        </w:tc>
        <w:tc>
          <w:tcPr>
            <w:tcW w:w="780" w:type="dxa"/>
            <w:vAlign w:val="bottom"/>
            <w:tcBorders>
              <w:top w:val="single" w:sz="8" w:color="auto"/>
            </w:tcBorders>
          </w:tcPr>
          <w:p>
            <w:pPr>
              <w:spacing w:after="0"/>
              <w:rPr>
                <w:sz w:val="11"/>
                <w:szCs w:val="11"/>
                <w:color w:val="auto"/>
              </w:rPr>
            </w:pPr>
          </w:p>
        </w:tc>
      </w:tr>
      <w:tr>
        <w:trPr>
          <w:trHeight w:val="154"/>
        </w:trPr>
        <w:tc>
          <w:tcPr>
            <w:tcW w:w="1700" w:type="dxa"/>
            <w:vAlign w:val="bottom"/>
          </w:tcPr>
          <w:p>
            <w:pPr>
              <w:spacing w:after="0"/>
              <w:rPr>
                <w:sz w:val="13"/>
                <w:szCs w:val="13"/>
                <w:color w:val="auto"/>
              </w:rPr>
            </w:pPr>
          </w:p>
        </w:tc>
        <w:tc>
          <w:tcPr>
            <w:tcW w:w="1140" w:type="dxa"/>
            <w:vAlign w:val="bottom"/>
            <w:gridSpan w:val="2"/>
          </w:tcPr>
          <w:p>
            <w:pPr>
              <w:jc w:val="center"/>
              <w:ind w:right="40"/>
              <w:spacing w:after="0"/>
              <w:rPr>
                <w:sz w:val="20"/>
                <w:szCs w:val="20"/>
                <w:color w:val="auto"/>
              </w:rPr>
            </w:pPr>
            <w:r>
              <w:rPr>
                <w:rFonts w:ascii="Arial" w:cs="Arial" w:eastAsia="Arial" w:hAnsi="Arial"/>
                <w:sz w:val="12"/>
                <w:szCs w:val="12"/>
                <w:color w:val="auto"/>
              </w:rPr>
              <w:t>Straight-Line Rent</w:t>
            </w:r>
          </w:p>
        </w:tc>
        <w:tc>
          <w:tcPr>
            <w:tcW w:w="1020" w:type="dxa"/>
            <w:vAlign w:val="bottom"/>
            <w:gridSpan w:val="2"/>
          </w:tcPr>
          <w:p>
            <w:pPr>
              <w:jc w:val="right"/>
              <w:ind w:right="320"/>
              <w:spacing w:after="0"/>
              <w:rPr>
                <w:sz w:val="20"/>
                <w:szCs w:val="20"/>
                <w:color w:val="auto"/>
              </w:rPr>
            </w:pPr>
            <w:r>
              <w:rPr>
                <w:rFonts w:ascii="Arial" w:cs="Arial" w:eastAsia="Arial" w:hAnsi="Arial"/>
                <w:sz w:val="12"/>
                <w:szCs w:val="12"/>
                <w:color w:val="auto"/>
              </w:rPr>
              <w:t>Cash Basis</w:t>
            </w:r>
          </w:p>
        </w:tc>
        <w:tc>
          <w:tcPr>
            <w:tcW w:w="1140" w:type="dxa"/>
            <w:vAlign w:val="bottom"/>
            <w:gridSpan w:val="2"/>
          </w:tcPr>
          <w:p>
            <w:pPr>
              <w:jc w:val="center"/>
              <w:ind w:right="40"/>
              <w:spacing w:after="0"/>
              <w:rPr>
                <w:sz w:val="20"/>
                <w:szCs w:val="20"/>
                <w:color w:val="auto"/>
              </w:rPr>
            </w:pPr>
            <w:r>
              <w:rPr>
                <w:rFonts w:ascii="Arial" w:cs="Arial" w:eastAsia="Arial" w:hAnsi="Arial"/>
                <w:sz w:val="12"/>
                <w:szCs w:val="12"/>
                <w:color w:val="auto"/>
              </w:rPr>
              <w:t>Straight-Line Rent</w:t>
            </w:r>
          </w:p>
        </w:tc>
        <w:tc>
          <w:tcPr>
            <w:tcW w:w="920" w:type="dxa"/>
            <w:vAlign w:val="bottom"/>
            <w:gridSpan w:val="2"/>
          </w:tcPr>
          <w:p>
            <w:pPr>
              <w:ind w:left="80"/>
              <w:spacing w:after="0"/>
              <w:rPr>
                <w:sz w:val="20"/>
                <w:szCs w:val="20"/>
                <w:color w:val="auto"/>
              </w:rPr>
            </w:pPr>
            <w:r>
              <w:rPr>
                <w:rFonts w:ascii="Arial" w:cs="Arial" w:eastAsia="Arial" w:hAnsi="Arial"/>
                <w:sz w:val="12"/>
                <w:szCs w:val="12"/>
                <w:color w:val="auto"/>
              </w:rPr>
              <w:t>Cash Basis</w:t>
            </w:r>
          </w:p>
        </w:tc>
        <w:tc>
          <w:tcPr>
            <w:tcW w:w="1100" w:type="dxa"/>
            <w:vAlign w:val="bottom"/>
            <w:gridSpan w:val="2"/>
          </w:tcPr>
          <w:p>
            <w:pPr>
              <w:jc w:val="right"/>
              <w:ind w:right="80"/>
              <w:spacing w:after="0"/>
              <w:rPr>
                <w:sz w:val="20"/>
                <w:szCs w:val="20"/>
                <w:color w:val="auto"/>
              </w:rPr>
            </w:pPr>
            <w:r>
              <w:rPr>
                <w:rFonts w:ascii="Arial" w:cs="Arial" w:eastAsia="Arial" w:hAnsi="Arial"/>
                <w:sz w:val="12"/>
                <w:szCs w:val="12"/>
                <w:color w:val="auto"/>
              </w:rPr>
              <w:t>Straight-Line Rent</w:t>
            </w:r>
          </w:p>
        </w:tc>
        <w:tc>
          <w:tcPr>
            <w:tcW w:w="780" w:type="dxa"/>
            <w:vAlign w:val="bottom"/>
          </w:tcPr>
          <w:p>
            <w:pPr>
              <w:jc w:val="right"/>
              <w:ind w:right="19"/>
              <w:spacing w:after="0"/>
              <w:rPr>
                <w:sz w:val="20"/>
                <w:szCs w:val="20"/>
                <w:color w:val="auto"/>
              </w:rPr>
            </w:pPr>
            <w:r>
              <w:rPr>
                <w:rFonts w:ascii="Arial" w:cs="Arial" w:eastAsia="Arial" w:hAnsi="Arial"/>
                <w:sz w:val="12"/>
                <w:szCs w:val="12"/>
                <w:color w:val="auto"/>
              </w:rPr>
              <w:t>Cash Basis</w:t>
            </w:r>
          </w:p>
        </w:tc>
      </w:tr>
      <w:tr>
        <w:trPr>
          <w:trHeight w:val="184"/>
        </w:trPr>
        <w:tc>
          <w:tcPr>
            <w:tcW w:w="1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2"/>
                <w:szCs w:val="12"/>
                <w:i w:val="1"/>
                <w:iCs w:val="1"/>
                <w:color w:val="auto"/>
              </w:rPr>
              <w:t>(Dollars per RSF)</w:t>
            </w:r>
          </w:p>
        </w:tc>
        <w:tc>
          <w:tcPr>
            <w:tcW w:w="110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r>
      <w:tr>
        <w:trPr>
          <w:trHeight w:val="204"/>
        </w:trPr>
        <w:tc>
          <w:tcPr>
            <w:tcW w:w="1700" w:type="dxa"/>
            <w:vAlign w:val="bottom"/>
          </w:tcPr>
          <w:p>
            <w:pPr>
              <w:ind w:left="40"/>
              <w:spacing w:after="0"/>
              <w:rPr>
                <w:sz w:val="20"/>
                <w:szCs w:val="20"/>
                <w:color w:val="auto"/>
              </w:rPr>
            </w:pPr>
            <w:r>
              <w:rPr>
                <w:rFonts w:ascii="Arial" w:cs="Arial" w:eastAsia="Arial" w:hAnsi="Arial"/>
                <w:sz w:val="12"/>
                <w:szCs w:val="12"/>
                <w:i w:val="1"/>
                <w:iCs w:val="1"/>
                <w:color w:val="auto"/>
              </w:rPr>
              <w:t>Leasing activity:</w:t>
            </w:r>
          </w:p>
        </w:tc>
        <w:tc>
          <w:tcPr>
            <w:tcW w:w="1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4"/>
        </w:trPr>
        <w:tc>
          <w:tcPr>
            <w:tcW w:w="1700" w:type="dxa"/>
            <w:vAlign w:val="bottom"/>
            <w:shd w:val="clear" w:color="auto" w:fill="CCEEFF"/>
          </w:tcPr>
          <w:p>
            <w:pPr>
              <w:ind w:left="40"/>
              <w:spacing w:after="0"/>
              <w:rPr>
                <w:sz w:val="20"/>
                <w:szCs w:val="20"/>
                <w:color w:val="auto"/>
              </w:rPr>
            </w:pPr>
            <w:r>
              <w:rPr>
                <w:rFonts w:ascii="Arial" w:cs="Arial" w:eastAsia="Arial" w:hAnsi="Arial"/>
                <w:sz w:val="12"/>
                <w:szCs w:val="12"/>
                <w:color w:val="auto"/>
              </w:rPr>
              <w:t>Renewed/re-leased space</w:t>
            </w:r>
            <w:r>
              <w:rPr>
                <w:rFonts w:ascii="Arial" w:cs="Arial" w:eastAsia="Arial" w:hAnsi="Arial"/>
                <w:sz w:val="15"/>
                <w:szCs w:val="15"/>
                <w:color w:val="auto"/>
                <w:vertAlign w:val="superscript"/>
              </w:rPr>
              <w:t>(1)</w:t>
            </w:r>
          </w:p>
        </w:tc>
        <w:tc>
          <w:tcPr>
            <w:tcW w:w="1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04"/>
        </w:trPr>
        <w:tc>
          <w:tcPr>
            <w:tcW w:w="1700" w:type="dxa"/>
            <w:vAlign w:val="bottom"/>
          </w:tcPr>
          <w:p>
            <w:pPr>
              <w:ind w:left="200"/>
              <w:spacing w:after="0"/>
              <w:rPr>
                <w:sz w:val="20"/>
                <w:szCs w:val="20"/>
                <w:color w:val="auto"/>
              </w:rPr>
            </w:pPr>
            <w:r>
              <w:rPr>
                <w:rFonts w:ascii="Arial" w:cs="Arial" w:eastAsia="Arial" w:hAnsi="Arial"/>
                <w:sz w:val="12"/>
                <w:szCs w:val="12"/>
                <w:b w:val="1"/>
                <w:bCs w:val="1"/>
                <w:color w:val="auto"/>
              </w:rPr>
              <w:t>Rental rate changes</w:t>
            </w:r>
          </w:p>
        </w:tc>
        <w:tc>
          <w:tcPr>
            <w:tcW w:w="1100" w:type="dxa"/>
            <w:vAlign w:val="bottom"/>
          </w:tcPr>
          <w:p>
            <w:pPr>
              <w:ind w:left="580"/>
              <w:spacing w:after="0"/>
              <w:rPr>
                <w:sz w:val="20"/>
                <w:szCs w:val="20"/>
                <w:color w:val="auto"/>
              </w:rPr>
            </w:pPr>
            <w:r>
              <w:rPr>
                <w:rFonts w:ascii="Arial" w:cs="Arial" w:eastAsia="Arial" w:hAnsi="Arial"/>
                <w:sz w:val="12"/>
                <w:szCs w:val="12"/>
                <w:b w:val="1"/>
                <w:bCs w:val="1"/>
                <w:color w:val="auto"/>
              </w:rPr>
              <w:t xml:space="preserve">7.4% </w:t>
            </w:r>
            <w:r>
              <w:rPr>
                <w:rFonts w:ascii="Arial" w:cs="Arial" w:eastAsia="Arial" w:hAnsi="Arial"/>
                <w:sz w:val="17"/>
                <w:szCs w:val="17"/>
                <w:color w:val="auto"/>
                <w:vertAlign w:val="superscript"/>
              </w:rPr>
              <w:t>(2)</w:t>
            </w:r>
          </w:p>
        </w:tc>
        <w:tc>
          <w:tcPr>
            <w:tcW w:w="4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2"/>
                <w:szCs w:val="12"/>
                <w:b w:val="1"/>
                <w:bCs w:val="1"/>
                <w:color w:val="auto"/>
              </w:rPr>
              <w:t xml:space="preserve">3.7% </w:t>
            </w:r>
            <w:r>
              <w:rPr>
                <w:rFonts w:ascii="Arial" w:cs="Arial" w:eastAsia="Arial" w:hAnsi="Arial"/>
                <w:sz w:val="15"/>
                <w:szCs w:val="15"/>
                <w:color w:val="auto"/>
                <w:vertAlign w:val="superscript"/>
              </w:rPr>
              <w:t>(2)</w:t>
            </w:r>
          </w:p>
        </w:tc>
        <w:tc>
          <w:tcPr>
            <w:tcW w:w="1100" w:type="dxa"/>
            <w:vAlign w:val="bottom"/>
          </w:tcPr>
          <w:p>
            <w:pPr>
              <w:jc w:val="right"/>
              <w:ind w:right="179"/>
              <w:spacing w:after="0"/>
              <w:rPr>
                <w:sz w:val="20"/>
                <w:szCs w:val="20"/>
                <w:color w:val="auto"/>
              </w:rPr>
            </w:pPr>
            <w:r>
              <w:rPr>
                <w:rFonts w:ascii="Arial" w:cs="Arial" w:eastAsia="Arial" w:hAnsi="Arial"/>
                <w:sz w:val="12"/>
                <w:szCs w:val="12"/>
                <w:b w:val="1"/>
                <w:bCs w:val="1"/>
                <w:color w:val="auto"/>
              </w:rPr>
              <w:t>26.2%</w:t>
            </w:r>
          </w:p>
        </w:tc>
        <w:tc>
          <w:tcPr>
            <w:tcW w:w="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2"/>
                <w:szCs w:val="12"/>
                <w:b w:val="1"/>
                <w:bCs w:val="1"/>
                <w:color w:val="auto"/>
              </w:rPr>
              <w:t>15.0%</w:t>
            </w: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2"/>
                <w:szCs w:val="12"/>
                <w:b w:val="1"/>
                <w:bCs w:val="1"/>
                <w:color w:val="auto"/>
              </w:rPr>
              <w:t>29.4%</w:t>
            </w:r>
          </w:p>
        </w:tc>
        <w:tc>
          <w:tcPr>
            <w:tcW w:w="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2"/>
                <w:szCs w:val="12"/>
                <w:b w:val="1"/>
                <w:bCs w:val="1"/>
                <w:color w:val="auto"/>
              </w:rPr>
              <w:t>15.8%</w:t>
            </w:r>
          </w:p>
        </w:tc>
      </w:tr>
      <w:tr>
        <w:trPr>
          <w:trHeight w:val="204"/>
        </w:trPr>
        <w:tc>
          <w:tcPr>
            <w:tcW w:w="1700" w:type="dxa"/>
            <w:vAlign w:val="bottom"/>
            <w:shd w:val="clear" w:color="auto" w:fill="CCEEFF"/>
          </w:tcPr>
          <w:p>
            <w:pPr>
              <w:ind w:left="200"/>
              <w:spacing w:after="0"/>
              <w:rPr>
                <w:sz w:val="20"/>
                <w:szCs w:val="20"/>
                <w:color w:val="auto"/>
              </w:rPr>
            </w:pPr>
            <w:r>
              <w:rPr>
                <w:rFonts w:ascii="Arial" w:cs="Arial" w:eastAsia="Arial" w:hAnsi="Arial"/>
                <w:sz w:val="12"/>
                <w:szCs w:val="12"/>
                <w:color w:val="auto"/>
              </w:rPr>
              <w:t>New rates</w:t>
            </w:r>
          </w:p>
        </w:tc>
        <w:tc>
          <w:tcPr>
            <w:tcW w:w="1100" w:type="dxa"/>
            <w:vAlign w:val="bottom"/>
            <w:shd w:val="clear" w:color="auto" w:fill="CCEEFF"/>
          </w:tcPr>
          <w:p>
            <w:pPr>
              <w:jc w:val="right"/>
              <w:ind w:right="199"/>
              <w:spacing w:after="0"/>
              <w:rPr>
                <w:sz w:val="20"/>
                <w:szCs w:val="20"/>
                <w:color w:val="auto"/>
              </w:rPr>
            </w:pPr>
            <w:r>
              <w:rPr>
                <w:rFonts w:ascii="Arial" w:cs="Arial" w:eastAsia="Arial" w:hAnsi="Arial"/>
                <w:sz w:val="12"/>
                <w:szCs w:val="12"/>
                <w:color w:val="auto"/>
              </w:rPr>
              <w:t>$46.56</w:t>
            </w: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$47.92</w:t>
            </w: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99"/>
              <w:spacing w:after="0"/>
              <w:rPr>
                <w:sz w:val="20"/>
                <w:szCs w:val="20"/>
                <w:color w:val="auto"/>
              </w:rPr>
            </w:pPr>
            <w:r>
              <w:rPr>
                <w:rFonts w:ascii="Arial" w:cs="Arial" w:eastAsia="Arial" w:hAnsi="Arial"/>
                <w:sz w:val="12"/>
                <w:szCs w:val="12"/>
                <w:color w:val="auto"/>
              </w:rPr>
              <w:t>$69.43</w:t>
            </w: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$68.20</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$52.35</w:t>
            </w: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$50.82</w:t>
            </w:r>
          </w:p>
        </w:tc>
      </w:tr>
      <w:tr>
        <w:trPr>
          <w:trHeight w:val="204"/>
        </w:trPr>
        <w:tc>
          <w:tcPr>
            <w:tcW w:w="1700" w:type="dxa"/>
            <w:vAlign w:val="bottom"/>
          </w:tcPr>
          <w:p>
            <w:pPr>
              <w:ind w:left="200"/>
              <w:spacing w:after="0"/>
              <w:rPr>
                <w:sz w:val="20"/>
                <w:szCs w:val="20"/>
                <w:color w:val="auto"/>
              </w:rPr>
            </w:pPr>
            <w:r>
              <w:rPr>
                <w:rFonts w:ascii="Arial" w:cs="Arial" w:eastAsia="Arial" w:hAnsi="Arial"/>
                <w:sz w:val="12"/>
                <w:szCs w:val="12"/>
                <w:color w:val="auto"/>
              </w:rPr>
              <w:t>Expiring rates</w:t>
            </w:r>
          </w:p>
        </w:tc>
        <w:tc>
          <w:tcPr>
            <w:tcW w:w="1100" w:type="dxa"/>
            <w:vAlign w:val="bottom"/>
          </w:tcPr>
          <w:p>
            <w:pPr>
              <w:jc w:val="right"/>
              <w:ind w:right="199"/>
              <w:spacing w:after="0"/>
              <w:rPr>
                <w:sz w:val="20"/>
                <w:szCs w:val="20"/>
                <w:color w:val="auto"/>
              </w:rPr>
            </w:pPr>
            <w:r>
              <w:rPr>
                <w:rFonts w:ascii="Arial" w:cs="Arial" w:eastAsia="Arial" w:hAnsi="Arial"/>
                <w:sz w:val="12"/>
                <w:szCs w:val="12"/>
                <w:color w:val="auto"/>
              </w:rPr>
              <w:t>$43.34</w:t>
            </w:r>
          </w:p>
        </w:tc>
        <w:tc>
          <w:tcPr>
            <w:tcW w:w="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$46.23</w:t>
            </w:r>
          </w:p>
        </w:tc>
        <w:tc>
          <w:tcPr>
            <w:tcW w:w="240" w:type="dxa"/>
            <w:vAlign w:val="bottom"/>
          </w:tcPr>
          <w:p>
            <w:pPr>
              <w:spacing w:after="0"/>
              <w:rPr>
                <w:sz w:val="17"/>
                <w:szCs w:val="17"/>
                <w:color w:val="auto"/>
              </w:rPr>
            </w:pPr>
          </w:p>
        </w:tc>
        <w:tc>
          <w:tcPr>
            <w:tcW w:w="1100" w:type="dxa"/>
            <w:vAlign w:val="bottom"/>
          </w:tcPr>
          <w:p>
            <w:pPr>
              <w:jc w:val="right"/>
              <w:ind w:right="199"/>
              <w:spacing w:after="0"/>
              <w:rPr>
                <w:sz w:val="20"/>
                <w:szCs w:val="20"/>
                <w:color w:val="auto"/>
              </w:rPr>
            </w:pPr>
            <w:r>
              <w:rPr>
                <w:rFonts w:ascii="Arial" w:cs="Arial" w:eastAsia="Arial" w:hAnsi="Arial"/>
                <w:sz w:val="12"/>
                <w:szCs w:val="12"/>
                <w:color w:val="auto"/>
              </w:rPr>
              <w:t>$55.02</w:t>
            </w:r>
          </w:p>
        </w:tc>
        <w:tc>
          <w:tcPr>
            <w:tcW w:w="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$59.32</w:t>
            </w: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$40.46</w:t>
            </w:r>
          </w:p>
        </w:tc>
        <w:tc>
          <w:tcPr>
            <w:tcW w:w="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$43.87</w:t>
            </w:r>
          </w:p>
        </w:tc>
      </w:tr>
      <w:tr>
        <w:trPr>
          <w:trHeight w:val="204"/>
        </w:trPr>
        <w:tc>
          <w:tcPr>
            <w:tcW w:w="1700" w:type="dxa"/>
            <w:vAlign w:val="bottom"/>
            <w:shd w:val="clear" w:color="auto" w:fill="CCEEFF"/>
          </w:tcPr>
          <w:p>
            <w:pPr>
              <w:ind w:left="200"/>
              <w:spacing w:after="0"/>
              <w:rPr>
                <w:sz w:val="20"/>
                <w:szCs w:val="20"/>
                <w:color w:val="auto"/>
              </w:rPr>
            </w:pPr>
            <w:r>
              <w:rPr>
                <w:rFonts w:ascii="Arial" w:cs="Arial" w:eastAsia="Arial" w:hAnsi="Arial"/>
                <w:sz w:val="12"/>
                <w:szCs w:val="12"/>
                <w:color w:val="auto"/>
              </w:rPr>
              <w:t>RSF</w:t>
            </w:r>
          </w:p>
        </w:tc>
        <w:tc>
          <w:tcPr>
            <w:tcW w:w="1100" w:type="dxa"/>
            <w:vAlign w:val="bottom"/>
            <w:shd w:val="clear" w:color="auto" w:fill="CCEEFF"/>
          </w:tcPr>
          <w:p>
            <w:pPr>
              <w:jc w:val="right"/>
              <w:ind w:right="199"/>
              <w:spacing w:after="0"/>
              <w:rPr>
                <w:sz w:val="20"/>
                <w:szCs w:val="20"/>
                <w:color w:val="auto"/>
              </w:rPr>
            </w:pPr>
            <w:r>
              <w:rPr>
                <w:rFonts w:ascii="Arial" w:cs="Arial" w:eastAsia="Arial" w:hAnsi="Arial"/>
                <w:sz w:val="12"/>
                <w:szCs w:val="12"/>
                <w:color w:val="auto"/>
              </w:rPr>
              <w:t>589,650</w:t>
            </w: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99"/>
              <w:spacing w:after="0"/>
              <w:rPr>
                <w:sz w:val="20"/>
                <w:szCs w:val="20"/>
                <w:color w:val="auto"/>
              </w:rPr>
            </w:pPr>
            <w:r>
              <w:rPr>
                <w:rFonts w:ascii="Arial" w:cs="Arial" w:eastAsia="Arial" w:hAnsi="Arial"/>
                <w:sz w:val="12"/>
                <w:szCs w:val="12"/>
                <w:color w:val="auto"/>
              </w:rPr>
              <w:t>1,584,420</w:t>
            </w: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3,046,386</w:t>
            </w: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157"/>
        </w:trPr>
        <w:tc>
          <w:tcPr>
            <w:tcW w:w="1700" w:type="dxa"/>
            <w:vAlign w:val="bottom"/>
          </w:tcPr>
          <w:p>
            <w:pPr>
              <w:ind w:left="200"/>
              <w:spacing w:after="0"/>
              <w:rPr>
                <w:sz w:val="20"/>
                <w:szCs w:val="20"/>
                <w:color w:val="auto"/>
              </w:rPr>
            </w:pPr>
            <w:r>
              <w:rPr>
                <w:rFonts w:ascii="Arial" w:cs="Arial" w:eastAsia="Arial" w:hAnsi="Arial"/>
                <w:sz w:val="12"/>
                <w:szCs w:val="12"/>
                <w:color w:val="auto"/>
              </w:rPr>
              <w:t>Tenant improvements/</w:t>
            </w:r>
          </w:p>
        </w:tc>
        <w:tc>
          <w:tcPr>
            <w:tcW w:w="1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54"/>
        </w:trPr>
        <w:tc>
          <w:tcPr>
            <w:tcW w:w="1700" w:type="dxa"/>
            <w:vAlign w:val="bottom"/>
          </w:tcPr>
          <w:p>
            <w:pPr>
              <w:ind w:left="320"/>
              <w:spacing w:after="0"/>
              <w:rPr>
                <w:sz w:val="20"/>
                <w:szCs w:val="20"/>
                <w:color w:val="auto"/>
              </w:rPr>
            </w:pPr>
            <w:r>
              <w:rPr>
                <w:rFonts w:ascii="Arial" w:cs="Arial" w:eastAsia="Arial" w:hAnsi="Arial"/>
                <w:sz w:val="12"/>
                <w:szCs w:val="12"/>
                <w:color w:val="auto"/>
              </w:rPr>
              <w:t>leasing commissions</w:t>
            </w:r>
          </w:p>
        </w:tc>
        <w:tc>
          <w:tcPr>
            <w:tcW w:w="1100" w:type="dxa"/>
            <w:vAlign w:val="bottom"/>
          </w:tcPr>
          <w:p>
            <w:pPr>
              <w:jc w:val="right"/>
              <w:ind w:right="199"/>
              <w:spacing w:after="0"/>
              <w:rPr>
                <w:sz w:val="20"/>
                <w:szCs w:val="20"/>
                <w:color w:val="auto"/>
              </w:rPr>
            </w:pPr>
            <w:r>
              <w:rPr>
                <w:rFonts w:ascii="Arial" w:cs="Arial" w:eastAsia="Arial" w:hAnsi="Arial"/>
                <w:sz w:val="12"/>
                <w:szCs w:val="12"/>
                <w:color w:val="auto"/>
              </w:rPr>
              <w:t>$31.83</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jc w:val="right"/>
              <w:ind w:right="199"/>
              <w:spacing w:after="0"/>
              <w:rPr>
                <w:sz w:val="20"/>
                <w:szCs w:val="20"/>
                <w:color w:val="auto"/>
              </w:rPr>
            </w:pPr>
            <w:r>
              <w:rPr>
                <w:rFonts w:ascii="Arial" w:cs="Arial" w:eastAsia="Arial" w:hAnsi="Arial"/>
                <w:sz w:val="12"/>
                <w:szCs w:val="12"/>
                <w:color w:val="auto"/>
              </w:rPr>
              <w:t>$25.32</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$26.09</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57"/>
        </w:trPr>
        <w:tc>
          <w:tcPr>
            <w:tcW w:w="1700" w:type="dxa"/>
            <w:vAlign w:val="bottom"/>
            <w:shd w:val="clear" w:color="auto" w:fill="CCEEFF"/>
          </w:tcPr>
          <w:p>
            <w:pPr>
              <w:ind w:left="200"/>
              <w:spacing w:after="0"/>
              <w:rPr>
                <w:sz w:val="20"/>
                <w:szCs w:val="20"/>
                <w:color w:val="auto"/>
              </w:rPr>
            </w:pPr>
            <w:r>
              <w:rPr>
                <w:rFonts w:ascii="Arial" w:cs="Arial" w:eastAsia="Arial" w:hAnsi="Arial"/>
                <w:sz w:val="12"/>
                <w:szCs w:val="12"/>
                <w:color w:val="auto"/>
              </w:rPr>
              <w:t>Weighted-average lease</w:t>
            </w:r>
          </w:p>
        </w:tc>
        <w:tc>
          <w:tcPr>
            <w:tcW w:w="1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r>
      <w:tr>
        <w:trPr>
          <w:trHeight w:val="154"/>
        </w:trPr>
        <w:tc>
          <w:tcPr>
            <w:tcW w:w="1700" w:type="dxa"/>
            <w:vAlign w:val="bottom"/>
            <w:shd w:val="clear" w:color="auto" w:fill="CCEEFF"/>
          </w:tcPr>
          <w:p>
            <w:pPr>
              <w:ind w:left="320"/>
              <w:spacing w:after="0"/>
              <w:rPr>
                <w:sz w:val="20"/>
                <w:szCs w:val="20"/>
                <w:color w:val="auto"/>
              </w:rPr>
            </w:pPr>
            <w:r>
              <w:rPr>
                <w:rFonts w:ascii="Arial" w:cs="Arial" w:eastAsia="Arial" w:hAnsi="Arial"/>
                <w:sz w:val="12"/>
                <w:szCs w:val="12"/>
                <w:color w:val="auto"/>
              </w:rPr>
              <w:t>term</w:t>
            </w:r>
          </w:p>
        </w:tc>
        <w:tc>
          <w:tcPr>
            <w:tcW w:w="1140" w:type="dxa"/>
            <w:vAlign w:val="bottom"/>
            <w:gridSpan w:val="2"/>
            <w:shd w:val="clear" w:color="auto" w:fill="CCEEFF"/>
          </w:tcPr>
          <w:p>
            <w:pPr>
              <w:ind w:left="340"/>
              <w:spacing w:after="0"/>
              <w:rPr>
                <w:sz w:val="20"/>
                <w:szCs w:val="20"/>
                <w:color w:val="auto"/>
              </w:rPr>
            </w:pPr>
            <w:r>
              <w:rPr>
                <w:rFonts w:ascii="Arial" w:cs="Arial" w:eastAsia="Arial" w:hAnsi="Arial"/>
                <w:sz w:val="12"/>
                <w:szCs w:val="12"/>
                <w:color w:val="auto"/>
              </w:rPr>
              <w:t>4.4 years</w:t>
            </w:r>
          </w:p>
        </w:tc>
        <w:tc>
          <w:tcPr>
            <w:tcW w:w="7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8.0 years</w:t>
            </w:r>
          </w:p>
        </w:tc>
        <w:tc>
          <w:tcPr>
            <w:tcW w:w="7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8.7 years</w:t>
            </w:r>
          </w:p>
        </w:tc>
        <w:tc>
          <w:tcPr>
            <w:tcW w:w="780" w:type="dxa"/>
            <w:vAlign w:val="bottom"/>
            <w:shd w:val="clear" w:color="auto" w:fill="CCEEFF"/>
          </w:tcPr>
          <w:p>
            <w:pPr>
              <w:spacing w:after="0"/>
              <w:rPr>
                <w:sz w:val="13"/>
                <w:szCs w:val="13"/>
                <w:color w:val="auto"/>
              </w:rPr>
            </w:pPr>
          </w:p>
        </w:tc>
      </w:tr>
      <w:tr>
        <w:trPr>
          <w:trHeight w:val="226"/>
        </w:trPr>
        <w:tc>
          <w:tcPr>
            <w:tcW w:w="17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161"/>
        </w:trPr>
        <w:tc>
          <w:tcPr>
            <w:tcW w:w="1700" w:type="dxa"/>
            <w:vAlign w:val="bottom"/>
            <w:shd w:val="clear" w:color="auto" w:fill="CCEEFF"/>
          </w:tcPr>
          <w:p>
            <w:pPr>
              <w:ind w:left="40"/>
              <w:spacing w:after="0"/>
              <w:rPr>
                <w:sz w:val="20"/>
                <w:szCs w:val="20"/>
                <w:color w:val="auto"/>
              </w:rPr>
            </w:pPr>
            <w:r>
              <w:rPr>
                <w:rFonts w:ascii="Arial" w:cs="Arial" w:eastAsia="Arial" w:hAnsi="Arial"/>
                <w:sz w:val="12"/>
                <w:szCs w:val="12"/>
                <w:color w:val="auto"/>
              </w:rPr>
              <w:t>Developed/redeveloped/</w:t>
            </w:r>
          </w:p>
        </w:tc>
        <w:tc>
          <w:tcPr>
            <w:tcW w:w="1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r>
      <w:tr>
        <w:trPr>
          <w:trHeight w:val="125"/>
        </w:trPr>
        <w:tc>
          <w:tcPr>
            <w:tcW w:w="1700" w:type="dxa"/>
            <w:vAlign w:val="bottom"/>
            <w:shd w:val="clear" w:color="auto" w:fill="CCEEFF"/>
          </w:tcPr>
          <w:p>
            <w:pPr>
              <w:ind w:left="160"/>
              <w:spacing w:after="0" w:line="125" w:lineRule="exact"/>
              <w:rPr>
                <w:sz w:val="20"/>
                <w:szCs w:val="20"/>
                <w:color w:val="auto"/>
              </w:rPr>
            </w:pPr>
            <w:r>
              <w:rPr>
                <w:rFonts w:ascii="Arial" w:cs="Arial" w:eastAsia="Arial" w:hAnsi="Arial"/>
                <w:sz w:val="12"/>
                <w:szCs w:val="12"/>
                <w:color w:val="auto"/>
              </w:rPr>
              <w:t>previously vacant space</w:t>
            </w:r>
          </w:p>
        </w:tc>
        <w:tc>
          <w:tcPr>
            <w:tcW w:w="1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r>
      <w:tr>
        <w:trPr>
          <w:trHeight w:val="154"/>
        </w:trPr>
        <w:tc>
          <w:tcPr>
            <w:tcW w:w="1700" w:type="dxa"/>
            <w:vAlign w:val="bottom"/>
            <w:shd w:val="clear" w:color="auto" w:fill="CCEEFF"/>
          </w:tcPr>
          <w:p>
            <w:pPr>
              <w:ind w:left="160"/>
              <w:spacing w:after="0" w:line="154" w:lineRule="exact"/>
              <w:rPr>
                <w:sz w:val="20"/>
                <w:szCs w:val="20"/>
                <w:color w:val="auto"/>
              </w:rPr>
            </w:pPr>
            <w:r>
              <w:rPr>
                <w:rFonts w:ascii="Arial" w:cs="Arial" w:eastAsia="Arial" w:hAnsi="Arial"/>
                <w:sz w:val="12"/>
                <w:szCs w:val="12"/>
                <w:color w:val="auto"/>
              </w:rPr>
              <w:t>leased</w:t>
            </w:r>
            <w:r>
              <w:rPr>
                <w:rFonts w:ascii="Arial" w:cs="Arial" w:eastAsia="Arial" w:hAnsi="Arial"/>
                <w:sz w:val="15"/>
                <w:szCs w:val="15"/>
                <w:color w:val="auto"/>
                <w:vertAlign w:val="superscript"/>
              </w:rPr>
              <w:t>(3)</w:t>
            </w:r>
          </w:p>
        </w:tc>
        <w:tc>
          <w:tcPr>
            <w:tcW w:w="1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r>
      <w:tr>
        <w:trPr>
          <w:trHeight w:val="204"/>
        </w:trPr>
        <w:tc>
          <w:tcPr>
            <w:tcW w:w="1700" w:type="dxa"/>
            <w:vAlign w:val="bottom"/>
          </w:tcPr>
          <w:p>
            <w:pPr>
              <w:ind w:left="200"/>
              <w:spacing w:after="0"/>
              <w:rPr>
                <w:sz w:val="20"/>
                <w:szCs w:val="20"/>
                <w:color w:val="auto"/>
              </w:rPr>
            </w:pPr>
            <w:r>
              <w:rPr>
                <w:rFonts w:ascii="Arial" w:cs="Arial" w:eastAsia="Arial" w:hAnsi="Arial"/>
                <w:sz w:val="12"/>
                <w:szCs w:val="12"/>
                <w:color w:val="auto"/>
              </w:rPr>
              <w:t>New rates</w:t>
            </w:r>
          </w:p>
        </w:tc>
        <w:tc>
          <w:tcPr>
            <w:tcW w:w="1100" w:type="dxa"/>
            <w:vAlign w:val="bottom"/>
          </w:tcPr>
          <w:p>
            <w:pPr>
              <w:jc w:val="right"/>
              <w:ind w:right="199"/>
              <w:spacing w:after="0"/>
              <w:rPr>
                <w:sz w:val="20"/>
                <w:szCs w:val="20"/>
                <w:color w:val="auto"/>
              </w:rPr>
            </w:pPr>
            <w:r>
              <w:rPr>
                <w:rFonts w:ascii="Arial" w:cs="Arial" w:eastAsia="Arial" w:hAnsi="Arial"/>
                <w:sz w:val="12"/>
                <w:szCs w:val="12"/>
                <w:color w:val="auto"/>
              </w:rPr>
              <w:t>$67.96</w:t>
            </w:r>
          </w:p>
        </w:tc>
        <w:tc>
          <w:tcPr>
            <w:tcW w:w="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$65.59</w:t>
            </w:r>
          </w:p>
        </w:tc>
        <w:tc>
          <w:tcPr>
            <w:tcW w:w="240" w:type="dxa"/>
            <w:vAlign w:val="bottom"/>
          </w:tcPr>
          <w:p>
            <w:pPr>
              <w:spacing w:after="0"/>
              <w:rPr>
                <w:sz w:val="17"/>
                <w:szCs w:val="17"/>
                <w:color w:val="auto"/>
              </w:rPr>
            </w:pPr>
          </w:p>
        </w:tc>
        <w:tc>
          <w:tcPr>
            <w:tcW w:w="1100" w:type="dxa"/>
            <w:vAlign w:val="bottom"/>
          </w:tcPr>
          <w:p>
            <w:pPr>
              <w:jc w:val="right"/>
              <w:ind w:right="199"/>
              <w:spacing w:after="0"/>
              <w:rPr>
                <w:sz w:val="20"/>
                <w:szCs w:val="20"/>
                <w:color w:val="auto"/>
              </w:rPr>
            </w:pPr>
            <w:r>
              <w:rPr>
                <w:rFonts w:ascii="Arial" w:cs="Arial" w:eastAsia="Arial" w:hAnsi="Arial"/>
                <w:sz w:val="12"/>
                <w:szCs w:val="12"/>
                <w:color w:val="auto"/>
              </w:rPr>
              <w:t>$68.85</w:t>
            </w:r>
          </w:p>
        </w:tc>
        <w:tc>
          <w:tcPr>
            <w:tcW w:w="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$66.73</w:t>
            </w: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$65.66</w:t>
            </w:r>
          </w:p>
        </w:tc>
        <w:tc>
          <w:tcPr>
            <w:tcW w:w="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$59.74</w:t>
            </w:r>
          </w:p>
        </w:tc>
      </w:tr>
      <w:tr>
        <w:trPr>
          <w:trHeight w:val="204"/>
        </w:trPr>
        <w:tc>
          <w:tcPr>
            <w:tcW w:w="1700" w:type="dxa"/>
            <w:vAlign w:val="bottom"/>
            <w:shd w:val="clear" w:color="auto" w:fill="CCEEFF"/>
          </w:tcPr>
          <w:p>
            <w:pPr>
              <w:ind w:left="200"/>
              <w:spacing w:after="0"/>
              <w:rPr>
                <w:sz w:val="20"/>
                <w:szCs w:val="20"/>
                <w:color w:val="auto"/>
              </w:rPr>
            </w:pPr>
            <w:r>
              <w:rPr>
                <w:rFonts w:ascii="Arial" w:cs="Arial" w:eastAsia="Arial" w:hAnsi="Arial"/>
                <w:sz w:val="12"/>
                <w:szCs w:val="12"/>
                <w:color w:val="auto"/>
              </w:rPr>
              <w:t>RSF</w:t>
            </w:r>
          </w:p>
        </w:tc>
        <w:tc>
          <w:tcPr>
            <w:tcW w:w="1100" w:type="dxa"/>
            <w:vAlign w:val="bottom"/>
            <w:shd w:val="clear" w:color="auto" w:fill="CCEEFF"/>
          </w:tcPr>
          <w:p>
            <w:pPr>
              <w:jc w:val="right"/>
              <w:ind w:right="199"/>
              <w:spacing w:after="0"/>
              <w:rPr>
                <w:sz w:val="20"/>
                <w:szCs w:val="20"/>
                <w:color w:val="auto"/>
              </w:rPr>
            </w:pPr>
            <w:r>
              <w:rPr>
                <w:rFonts w:ascii="Arial" w:cs="Arial" w:eastAsia="Arial" w:hAnsi="Arial"/>
                <w:sz w:val="12"/>
                <w:szCs w:val="12"/>
                <w:color w:val="auto"/>
              </w:rPr>
              <w:t>524,351</w:t>
            </w: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99"/>
              <w:spacing w:after="0"/>
              <w:rPr>
                <w:sz w:val="20"/>
                <w:szCs w:val="20"/>
                <w:color w:val="auto"/>
              </w:rPr>
            </w:pPr>
            <w:r>
              <w:rPr>
                <w:rFonts w:ascii="Arial" w:cs="Arial" w:eastAsia="Arial" w:hAnsi="Arial"/>
                <w:sz w:val="12"/>
                <w:szCs w:val="12"/>
                <w:color w:val="auto"/>
              </w:rPr>
              <w:t>672,438</w:t>
            </w: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1,259,686</w:t>
            </w: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157"/>
        </w:trPr>
        <w:tc>
          <w:tcPr>
            <w:tcW w:w="1700" w:type="dxa"/>
            <w:vAlign w:val="bottom"/>
          </w:tcPr>
          <w:p>
            <w:pPr>
              <w:ind w:left="200"/>
              <w:spacing w:after="0"/>
              <w:rPr>
                <w:sz w:val="20"/>
                <w:szCs w:val="20"/>
                <w:color w:val="auto"/>
              </w:rPr>
            </w:pPr>
            <w:r>
              <w:rPr>
                <w:rFonts w:ascii="Arial" w:cs="Arial" w:eastAsia="Arial" w:hAnsi="Arial"/>
                <w:sz w:val="12"/>
                <w:szCs w:val="12"/>
                <w:color w:val="auto"/>
              </w:rPr>
              <w:t>Weighted-average lease</w:t>
            </w:r>
          </w:p>
        </w:tc>
        <w:tc>
          <w:tcPr>
            <w:tcW w:w="1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54"/>
        </w:trPr>
        <w:tc>
          <w:tcPr>
            <w:tcW w:w="1700" w:type="dxa"/>
            <w:vAlign w:val="bottom"/>
          </w:tcPr>
          <w:p>
            <w:pPr>
              <w:ind w:left="320"/>
              <w:spacing w:after="0"/>
              <w:rPr>
                <w:sz w:val="20"/>
                <w:szCs w:val="20"/>
                <w:color w:val="auto"/>
              </w:rPr>
            </w:pPr>
            <w:r>
              <w:rPr>
                <w:rFonts w:ascii="Arial" w:cs="Arial" w:eastAsia="Arial" w:hAnsi="Arial"/>
                <w:sz w:val="12"/>
                <w:szCs w:val="12"/>
                <w:color w:val="auto"/>
              </w:rPr>
              <w:t>term</w:t>
            </w:r>
          </w:p>
        </w:tc>
        <w:tc>
          <w:tcPr>
            <w:tcW w:w="1140" w:type="dxa"/>
            <w:vAlign w:val="bottom"/>
            <w:gridSpan w:val="2"/>
          </w:tcPr>
          <w:p>
            <w:pPr>
              <w:ind w:left="340"/>
              <w:spacing w:after="0"/>
              <w:rPr>
                <w:sz w:val="20"/>
                <w:szCs w:val="20"/>
                <w:color w:val="auto"/>
              </w:rPr>
            </w:pPr>
            <w:r>
              <w:rPr>
                <w:rFonts w:ascii="Arial" w:cs="Arial" w:eastAsia="Arial" w:hAnsi="Arial"/>
                <w:sz w:val="12"/>
                <w:szCs w:val="12"/>
                <w:color w:val="auto"/>
              </w:rPr>
              <w:t>7.4 years</w:t>
            </w: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2"/>
                <w:szCs w:val="12"/>
                <w:color w:val="auto"/>
              </w:rPr>
              <w:t>7.2 years</w:t>
            </w: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2"/>
                <w:szCs w:val="12"/>
                <w:color w:val="auto"/>
              </w:rPr>
              <w:t>13.8 years</w:t>
            </w:r>
          </w:p>
        </w:tc>
        <w:tc>
          <w:tcPr>
            <w:tcW w:w="780" w:type="dxa"/>
            <w:vAlign w:val="bottom"/>
          </w:tcPr>
          <w:p>
            <w:pPr>
              <w:spacing w:after="0"/>
              <w:rPr>
                <w:sz w:val="13"/>
                <w:szCs w:val="13"/>
                <w:color w:val="auto"/>
              </w:rPr>
            </w:pPr>
          </w:p>
        </w:tc>
      </w:tr>
      <w:tr>
        <w:trPr>
          <w:trHeight w:val="226"/>
        </w:trPr>
        <w:tc>
          <w:tcPr>
            <w:tcW w:w="17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159"/>
        </w:trPr>
        <w:tc>
          <w:tcPr>
            <w:tcW w:w="1700" w:type="dxa"/>
            <w:vAlign w:val="bottom"/>
          </w:tcPr>
          <w:p>
            <w:pPr>
              <w:ind w:left="40"/>
              <w:spacing w:after="0"/>
              <w:rPr>
                <w:sz w:val="20"/>
                <w:szCs w:val="20"/>
                <w:color w:val="auto"/>
              </w:rPr>
            </w:pPr>
            <w:r>
              <w:rPr>
                <w:rFonts w:ascii="Arial" w:cs="Arial" w:eastAsia="Arial" w:hAnsi="Arial"/>
                <w:sz w:val="12"/>
                <w:szCs w:val="12"/>
                <w:i w:val="1"/>
                <w:iCs w:val="1"/>
                <w:color w:val="auto"/>
              </w:rPr>
              <w:t>Leasing activity summary</w:t>
            </w:r>
          </w:p>
        </w:tc>
        <w:tc>
          <w:tcPr>
            <w:tcW w:w="1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52"/>
        </w:trPr>
        <w:tc>
          <w:tcPr>
            <w:tcW w:w="1700" w:type="dxa"/>
            <w:vAlign w:val="bottom"/>
          </w:tcPr>
          <w:p>
            <w:pPr>
              <w:ind w:left="160"/>
              <w:spacing w:after="0"/>
              <w:rPr>
                <w:sz w:val="20"/>
                <w:szCs w:val="20"/>
                <w:color w:val="auto"/>
              </w:rPr>
            </w:pPr>
            <w:r>
              <w:rPr>
                <w:rFonts w:ascii="Arial" w:cs="Arial" w:eastAsia="Arial" w:hAnsi="Arial"/>
                <w:sz w:val="12"/>
                <w:szCs w:val="12"/>
                <w:i w:val="1"/>
                <w:iCs w:val="1"/>
                <w:color w:val="auto"/>
              </w:rPr>
              <w:t>(totals):</w:t>
            </w:r>
          </w:p>
        </w:tc>
        <w:tc>
          <w:tcPr>
            <w:tcW w:w="1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204"/>
        </w:trPr>
        <w:tc>
          <w:tcPr>
            <w:tcW w:w="1700" w:type="dxa"/>
            <w:vAlign w:val="bottom"/>
            <w:shd w:val="clear" w:color="auto" w:fill="CCEEFF"/>
          </w:tcPr>
          <w:p>
            <w:pPr>
              <w:ind w:left="200"/>
              <w:spacing w:after="0"/>
              <w:rPr>
                <w:sz w:val="20"/>
                <w:szCs w:val="20"/>
                <w:color w:val="auto"/>
              </w:rPr>
            </w:pPr>
            <w:r>
              <w:rPr>
                <w:rFonts w:ascii="Arial" w:cs="Arial" w:eastAsia="Arial" w:hAnsi="Arial"/>
                <w:sz w:val="12"/>
                <w:szCs w:val="12"/>
                <w:color w:val="auto"/>
              </w:rPr>
              <w:t>New rates</w:t>
            </w:r>
          </w:p>
        </w:tc>
        <w:tc>
          <w:tcPr>
            <w:tcW w:w="1100" w:type="dxa"/>
            <w:vAlign w:val="bottom"/>
            <w:shd w:val="clear" w:color="auto" w:fill="CCEEFF"/>
          </w:tcPr>
          <w:p>
            <w:pPr>
              <w:jc w:val="right"/>
              <w:ind w:right="199"/>
              <w:spacing w:after="0"/>
              <w:rPr>
                <w:sz w:val="20"/>
                <w:szCs w:val="20"/>
                <w:color w:val="auto"/>
              </w:rPr>
            </w:pPr>
            <w:r>
              <w:rPr>
                <w:rFonts w:ascii="Arial" w:cs="Arial" w:eastAsia="Arial" w:hAnsi="Arial"/>
                <w:sz w:val="12"/>
                <w:szCs w:val="12"/>
                <w:color w:val="auto"/>
              </w:rPr>
              <w:t>$57.55</w:t>
            </w: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$56.99</w:t>
            </w: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99"/>
              <w:spacing w:after="0"/>
              <w:rPr>
                <w:sz w:val="20"/>
                <w:szCs w:val="20"/>
                <w:color w:val="auto"/>
              </w:rPr>
            </w:pPr>
            <w:r>
              <w:rPr>
                <w:rFonts w:ascii="Arial" w:cs="Arial" w:eastAsia="Arial" w:hAnsi="Arial"/>
                <w:sz w:val="12"/>
                <w:szCs w:val="12"/>
                <w:color w:val="auto"/>
              </w:rPr>
              <w:t>$69.26</w:t>
            </w: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$67.78</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$56.09</w:t>
            </w: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$53.33</w:t>
            </w:r>
          </w:p>
        </w:tc>
      </w:tr>
      <w:tr>
        <w:trPr>
          <w:trHeight w:val="204"/>
        </w:trPr>
        <w:tc>
          <w:tcPr>
            <w:tcW w:w="1700" w:type="dxa"/>
            <w:vAlign w:val="bottom"/>
          </w:tcPr>
          <w:p>
            <w:pPr>
              <w:ind w:left="200"/>
              <w:spacing w:after="0"/>
              <w:rPr>
                <w:sz w:val="20"/>
                <w:szCs w:val="20"/>
                <w:color w:val="auto"/>
              </w:rPr>
            </w:pPr>
            <w:r>
              <w:rPr>
                <w:rFonts w:ascii="Arial" w:cs="Arial" w:eastAsia="Arial" w:hAnsi="Arial"/>
                <w:sz w:val="12"/>
                <w:szCs w:val="12"/>
                <w:color w:val="auto"/>
              </w:rPr>
              <w:t>RSF</w:t>
            </w:r>
          </w:p>
        </w:tc>
        <w:tc>
          <w:tcPr>
            <w:tcW w:w="1100" w:type="dxa"/>
            <w:vAlign w:val="bottom"/>
          </w:tcPr>
          <w:p>
            <w:pPr>
              <w:jc w:val="center"/>
              <w:spacing w:after="0"/>
              <w:rPr>
                <w:sz w:val="20"/>
                <w:szCs w:val="20"/>
                <w:color w:val="auto"/>
              </w:rPr>
            </w:pPr>
            <w:r>
              <w:rPr>
                <w:rFonts w:ascii="Arial" w:cs="Arial" w:eastAsia="Arial" w:hAnsi="Arial"/>
                <w:sz w:val="12"/>
                <w:szCs w:val="12"/>
                <w:color w:val="auto"/>
                <w:w w:val="97"/>
              </w:rPr>
              <w:t>1,114,001</w:t>
            </w: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right"/>
              <w:ind w:right="199"/>
              <w:spacing w:after="0"/>
              <w:rPr>
                <w:sz w:val="20"/>
                <w:szCs w:val="20"/>
                <w:color w:val="auto"/>
              </w:rPr>
            </w:pPr>
            <w:r>
              <w:rPr>
                <w:rFonts w:ascii="Arial" w:cs="Arial" w:eastAsia="Arial" w:hAnsi="Arial"/>
                <w:sz w:val="12"/>
                <w:szCs w:val="12"/>
                <w:color w:val="auto"/>
              </w:rPr>
              <w:t>2,256,858</w:t>
            </w: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4,306,072</w:t>
            </w: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157"/>
        </w:trPr>
        <w:tc>
          <w:tcPr>
            <w:tcW w:w="1700" w:type="dxa"/>
            <w:vAlign w:val="bottom"/>
            <w:shd w:val="clear" w:color="auto" w:fill="CCEEFF"/>
          </w:tcPr>
          <w:p>
            <w:pPr>
              <w:ind w:left="200"/>
              <w:spacing w:after="0"/>
              <w:rPr>
                <w:sz w:val="20"/>
                <w:szCs w:val="20"/>
                <w:color w:val="auto"/>
              </w:rPr>
            </w:pPr>
            <w:r>
              <w:rPr>
                <w:rFonts w:ascii="Arial" w:cs="Arial" w:eastAsia="Arial" w:hAnsi="Arial"/>
                <w:sz w:val="12"/>
                <w:szCs w:val="12"/>
                <w:color w:val="auto"/>
              </w:rPr>
              <w:t>Weighted-average lease</w:t>
            </w:r>
          </w:p>
        </w:tc>
        <w:tc>
          <w:tcPr>
            <w:tcW w:w="1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r>
      <w:tr>
        <w:trPr>
          <w:trHeight w:val="154"/>
        </w:trPr>
        <w:tc>
          <w:tcPr>
            <w:tcW w:w="1700" w:type="dxa"/>
            <w:vAlign w:val="bottom"/>
            <w:shd w:val="clear" w:color="auto" w:fill="CCEEFF"/>
          </w:tcPr>
          <w:p>
            <w:pPr>
              <w:ind w:left="320"/>
              <w:spacing w:after="0"/>
              <w:rPr>
                <w:sz w:val="20"/>
                <w:szCs w:val="20"/>
                <w:color w:val="auto"/>
              </w:rPr>
            </w:pPr>
            <w:r>
              <w:rPr>
                <w:rFonts w:ascii="Arial" w:cs="Arial" w:eastAsia="Arial" w:hAnsi="Arial"/>
                <w:sz w:val="12"/>
                <w:szCs w:val="12"/>
                <w:color w:val="auto"/>
              </w:rPr>
              <w:t>term</w:t>
            </w:r>
          </w:p>
        </w:tc>
        <w:tc>
          <w:tcPr>
            <w:tcW w:w="1140" w:type="dxa"/>
            <w:vAlign w:val="bottom"/>
            <w:gridSpan w:val="2"/>
            <w:shd w:val="clear" w:color="auto" w:fill="CCEEFF"/>
          </w:tcPr>
          <w:p>
            <w:pPr>
              <w:ind w:left="340"/>
              <w:spacing w:after="0"/>
              <w:rPr>
                <w:sz w:val="20"/>
                <w:szCs w:val="20"/>
                <w:color w:val="auto"/>
              </w:rPr>
            </w:pPr>
            <w:r>
              <w:rPr>
                <w:rFonts w:ascii="Arial" w:cs="Arial" w:eastAsia="Arial" w:hAnsi="Arial"/>
                <w:sz w:val="12"/>
                <w:szCs w:val="12"/>
                <w:color w:val="auto"/>
              </w:rPr>
              <w:t>6.6 years</w:t>
            </w:r>
          </w:p>
        </w:tc>
        <w:tc>
          <w:tcPr>
            <w:tcW w:w="7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7.7 years</w:t>
            </w:r>
          </w:p>
        </w:tc>
        <w:tc>
          <w:tcPr>
            <w:tcW w:w="7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11.3 years</w:t>
            </w:r>
          </w:p>
        </w:tc>
        <w:tc>
          <w:tcPr>
            <w:tcW w:w="780" w:type="dxa"/>
            <w:vAlign w:val="bottom"/>
            <w:shd w:val="clear" w:color="auto" w:fill="CCEEFF"/>
          </w:tcPr>
          <w:p>
            <w:pPr>
              <w:spacing w:after="0"/>
              <w:rPr>
                <w:sz w:val="13"/>
                <w:szCs w:val="13"/>
                <w:color w:val="auto"/>
              </w:rPr>
            </w:pPr>
          </w:p>
        </w:tc>
      </w:tr>
      <w:tr>
        <w:trPr>
          <w:trHeight w:val="226"/>
        </w:trPr>
        <w:tc>
          <w:tcPr>
            <w:tcW w:w="17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04"/>
        </w:trPr>
        <w:tc>
          <w:tcPr>
            <w:tcW w:w="1700" w:type="dxa"/>
            <w:vAlign w:val="bottom"/>
            <w:shd w:val="clear" w:color="auto" w:fill="CCEEFF"/>
          </w:tcPr>
          <w:p>
            <w:pPr>
              <w:ind w:left="40"/>
              <w:spacing w:after="0"/>
              <w:rPr>
                <w:sz w:val="20"/>
                <w:szCs w:val="20"/>
                <w:color w:val="auto"/>
              </w:rPr>
            </w:pPr>
            <w:r>
              <w:rPr>
                <w:rFonts w:ascii="Arial" w:cs="Arial" w:eastAsia="Arial" w:hAnsi="Arial"/>
                <w:sz w:val="12"/>
                <w:szCs w:val="12"/>
                <w:i w:val="1"/>
                <w:iCs w:val="1"/>
                <w:color w:val="auto"/>
              </w:rPr>
              <w:t>Lease expirations</w:t>
            </w:r>
            <w:r>
              <w:rPr>
                <w:rFonts w:ascii="Arial" w:cs="Arial" w:eastAsia="Arial" w:hAnsi="Arial"/>
                <w:sz w:val="15"/>
                <w:szCs w:val="15"/>
                <w:i w:val="1"/>
                <w:iCs w:val="1"/>
                <w:color w:val="auto"/>
                <w:vertAlign w:val="superscript"/>
              </w:rPr>
              <w:t>(1)</w:t>
            </w:r>
          </w:p>
        </w:tc>
        <w:tc>
          <w:tcPr>
            <w:tcW w:w="1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04"/>
        </w:trPr>
        <w:tc>
          <w:tcPr>
            <w:tcW w:w="1700" w:type="dxa"/>
            <w:vAlign w:val="bottom"/>
          </w:tcPr>
          <w:p>
            <w:pPr>
              <w:ind w:left="200"/>
              <w:spacing w:after="0"/>
              <w:rPr>
                <w:sz w:val="20"/>
                <w:szCs w:val="20"/>
                <w:color w:val="auto"/>
              </w:rPr>
            </w:pPr>
            <w:r>
              <w:rPr>
                <w:rFonts w:ascii="Arial" w:cs="Arial" w:eastAsia="Arial" w:hAnsi="Arial"/>
                <w:sz w:val="12"/>
                <w:szCs w:val="12"/>
                <w:color w:val="auto"/>
              </w:rPr>
              <w:t>Expiring rates</w:t>
            </w:r>
          </w:p>
        </w:tc>
        <w:tc>
          <w:tcPr>
            <w:tcW w:w="1100" w:type="dxa"/>
            <w:vAlign w:val="bottom"/>
          </w:tcPr>
          <w:p>
            <w:pPr>
              <w:jc w:val="right"/>
              <w:ind w:right="199"/>
              <w:spacing w:after="0"/>
              <w:rPr>
                <w:sz w:val="20"/>
                <w:szCs w:val="20"/>
                <w:color w:val="auto"/>
              </w:rPr>
            </w:pPr>
            <w:r>
              <w:rPr>
                <w:rFonts w:ascii="Arial" w:cs="Arial" w:eastAsia="Arial" w:hAnsi="Arial"/>
                <w:sz w:val="12"/>
                <w:szCs w:val="12"/>
                <w:color w:val="auto"/>
              </w:rPr>
              <w:t>$46.19</w:t>
            </w:r>
          </w:p>
        </w:tc>
        <w:tc>
          <w:tcPr>
            <w:tcW w:w="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$48.02</w:t>
            </w:r>
          </w:p>
        </w:tc>
        <w:tc>
          <w:tcPr>
            <w:tcW w:w="240" w:type="dxa"/>
            <w:vAlign w:val="bottom"/>
          </w:tcPr>
          <w:p>
            <w:pPr>
              <w:spacing w:after="0"/>
              <w:rPr>
                <w:sz w:val="17"/>
                <w:szCs w:val="17"/>
                <w:color w:val="auto"/>
              </w:rPr>
            </w:pPr>
          </w:p>
        </w:tc>
        <w:tc>
          <w:tcPr>
            <w:tcW w:w="1100" w:type="dxa"/>
            <w:vAlign w:val="bottom"/>
          </w:tcPr>
          <w:p>
            <w:pPr>
              <w:jc w:val="right"/>
              <w:ind w:right="199"/>
              <w:spacing w:after="0"/>
              <w:rPr>
                <w:sz w:val="20"/>
                <w:szCs w:val="20"/>
                <w:color w:val="auto"/>
              </w:rPr>
            </w:pPr>
            <w:r>
              <w:rPr>
                <w:rFonts w:ascii="Arial" w:cs="Arial" w:eastAsia="Arial" w:hAnsi="Arial"/>
                <w:sz w:val="12"/>
                <w:szCs w:val="12"/>
                <w:color w:val="auto"/>
              </w:rPr>
              <w:t>$52.27</w:t>
            </w:r>
          </w:p>
        </w:tc>
        <w:tc>
          <w:tcPr>
            <w:tcW w:w="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$55.24</w:t>
            </w: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$43.84</w:t>
            </w:r>
          </w:p>
        </w:tc>
        <w:tc>
          <w:tcPr>
            <w:tcW w:w="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$45.20</w:t>
            </w:r>
          </w:p>
        </w:tc>
      </w:tr>
      <w:tr>
        <w:trPr>
          <w:trHeight w:val="204"/>
        </w:trPr>
        <w:tc>
          <w:tcPr>
            <w:tcW w:w="1700" w:type="dxa"/>
            <w:vAlign w:val="bottom"/>
            <w:shd w:val="clear" w:color="auto" w:fill="CCEEFF"/>
          </w:tcPr>
          <w:p>
            <w:pPr>
              <w:ind w:left="200"/>
              <w:spacing w:after="0"/>
              <w:rPr>
                <w:sz w:val="20"/>
                <w:szCs w:val="20"/>
                <w:color w:val="auto"/>
              </w:rPr>
            </w:pPr>
            <w:r>
              <w:rPr>
                <w:rFonts w:ascii="Arial" w:cs="Arial" w:eastAsia="Arial" w:hAnsi="Arial"/>
                <w:sz w:val="12"/>
                <w:szCs w:val="12"/>
                <w:color w:val="auto"/>
              </w:rPr>
              <w:t>RSF</w:t>
            </w:r>
          </w:p>
        </w:tc>
        <w:tc>
          <w:tcPr>
            <w:tcW w:w="1100" w:type="dxa"/>
            <w:vAlign w:val="bottom"/>
            <w:shd w:val="clear" w:color="auto" w:fill="CCEEFF"/>
          </w:tcPr>
          <w:p>
            <w:pPr>
              <w:jc w:val="right"/>
              <w:ind w:right="199"/>
              <w:spacing w:after="0"/>
              <w:rPr>
                <w:sz w:val="20"/>
                <w:szCs w:val="20"/>
                <w:color w:val="auto"/>
              </w:rPr>
            </w:pPr>
            <w:r>
              <w:rPr>
                <w:rFonts w:ascii="Arial" w:cs="Arial" w:eastAsia="Arial" w:hAnsi="Arial"/>
                <w:sz w:val="12"/>
                <w:szCs w:val="12"/>
                <w:color w:val="auto"/>
              </w:rPr>
              <w:t>888,415</w:t>
            </w: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99"/>
              <w:spacing w:after="0"/>
              <w:rPr>
                <w:sz w:val="20"/>
                <w:szCs w:val="20"/>
                <w:color w:val="auto"/>
              </w:rPr>
            </w:pPr>
            <w:r>
              <w:rPr>
                <w:rFonts w:ascii="Arial" w:cs="Arial" w:eastAsia="Arial" w:hAnsi="Arial"/>
                <w:sz w:val="12"/>
                <w:szCs w:val="12"/>
                <w:color w:val="auto"/>
              </w:rPr>
              <w:t>2,301,346</w:t>
            </w: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5,027,773</w:t>
            </w: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bl>
    <w:p>
      <w:pPr>
        <w:spacing w:after="0" w:line="179" w:lineRule="exact"/>
        <w:rPr>
          <w:sz w:val="20"/>
          <w:szCs w:val="20"/>
          <w:color w:val="auto"/>
        </w:rPr>
      </w:pPr>
    </w:p>
    <w:p>
      <w:pPr>
        <w:ind w:left="640"/>
        <w:spacing w:after="0"/>
        <w:rPr>
          <w:sz w:val="20"/>
          <w:szCs w:val="20"/>
          <w:color w:val="auto"/>
        </w:rPr>
      </w:pPr>
      <w:r>
        <w:rPr>
          <w:rFonts w:ascii="Arial" w:cs="Arial" w:eastAsia="Arial" w:hAnsi="Arial"/>
          <w:sz w:val="10"/>
          <w:szCs w:val="10"/>
          <w:color w:val="auto"/>
        </w:rPr>
        <w:t>Leasing activity includes 100% of results for properties in North America in which we have an investment.</w:t>
      </w:r>
    </w:p>
    <w:p>
      <w:pPr>
        <w:spacing w:after="0" w:line="100" w:lineRule="exact"/>
        <w:rPr>
          <w:sz w:val="20"/>
          <w:szCs w:val="20"/>
          <w:color w:val="auto"/>
        </w:rPr>
      </w:pPr>
    </w:p>
    <w:p>
      <w:pPr>
        <w:ind w:left="900" w:right="639" w:hanging="262"/>
        <w:spacing w:after="0" w:line="268" w:lineRule="auto"/>
        <w:tabs>
          <w:tab w:leader="none" w:pos="900" w:val="left"/>
        </w:tabs>
        <w:numPr>
          <w:ilvl w:val="0"/>
          <w:numId w:val="75"/>
        </w:numPr>
        <w:rPr>
          <w:rFonts w:ascii="Arial" w:cs="Arial" w:eastAsia="Arial" w:hAnsi="Arial"/>
          <w:sz w:val="10"/>
          <w:szCs w:val="10"/>
          <w:color w:val="auto"/>
        </w:rPr>
      </w:pPr>
      <w:r>
        <w:rPr>
          <w:rFonts w:ascii="Arial" w:cs="Arial" w:eastAsia="Arial" w:hAnsi="Arial"/>
          <w:sz w:val="10"/>
          <w:szCs w:val="10"/>
          <w:color w:val="auto"/>
        </w:rPr>
        <w:t>Excludes month-to-month leases aggregating 129,549 RSF and 86,092 RSF as of June 30, 2024 and December 31, 2023, respectively. During the trailing twelve months ended June 30, 2024, we granted free rent concessions averaging 0.8 months per annum.</w:t>
      </w:r>
    </w:p>
    <w:p>
      <w:pPr>
        <w:ind w:left="900" w:right="659" w:hanging="262"/>
        <w:spacing w:after="0" w:line="246" w:lineRule="auto"/>
        <w:tabs>
          <w:tab w:leader="none" w:pos="900" w:val="left"/>
        </w:tabs>
        <w:numPr>
          <w:ilvl w:val="0"/>
          <w:numId w:val="75"/>
        </w:numPr>
        <w:rPr>
          <w:rFonts w:ascii="Arial" w:cs="Arial" w:eastAsia="Arial" w:hAnsi="Arial"/>
          <w:sz w:val="10"/>
          <w:szCs w:val="10"/>
          <w:color w:val="auto"/>
        </w:rPr>
      </w:pPr>
      <w:r>
        <w:rPr>
          <w:rFonts w:ascii="Arial" w:cs="Arial" w:eastAsia="Arial" w:hAnsi="Arial"/>
          <w:sz w:val="10"/>
          <w:szCs w:val="10"/>
          <w:color w:val="auto"/>
        </w:rPr>
        <w:t>Includes one renewal aggregating 34,611 RSF in our Greater Stanford submarket. Excluding this renewal, rental rate changes for the three months ended June 30, 2024 were 13.6% and 9.1% (cash basis). Rental rate changes can experience volatility from quarter to quarter based on the volume and mix of leases executed. Refer to “Projected results” in Item 2 for rental rate changes expected from leases executed for the year ending December 31, 2024.</w:t>
      </w:r>
    </w:p>
    <w:p>
      <w:pPr>
        <w:ind w:left="900" w:hanging="262"/>
        <w:spacing w:after="0"/>
        <w:tabs>
          <w:tab w:leader="none" w:pos="900" w:val="left"/>
        </w:tabs>
        <w:numPr>
          <w:ilvl w:val="0"/>
          <w:numId w:val="75"/>
        </w:numPr>
        <w:rPr>
          <w:rFonts w:ascii="Arial" w:cs="Arial" w:eastAsia="Arial" w:hAnsi="Arial"/>
          <w:sz w:val="10"/>
          <w:szCs w:val="10"/>
          <w:color w:val="auto"/>
        </w:rPr>
      </w:pPr>
      <w:r>
        <w:rPr>
          <w:rFonts w:ascii="Arial" w:cs="Arial" w:eastAsia="Arial" w:hAnsi="Arial"/>
          <w:sz w:val="10"/>
          <w:szCs w:val="10"/>
          <w:color w:val="auto"/>
        </w:rPr>
        <w:t>Refer to “New Class A/A+ development and redevelopment properties: summary of pipeline” in Item 2 for additional information, including total project costs.</w:t>
      </w:r>
    </w:p>
    <w:p>
      <w:pPr>
        <w:sectPr>
          <w:pgSz w:w="11900" w:h="16838" w:orient="portrait"/>
          <w:cols w:equalWidth="0" w:num="1">
            <w:col w:w="9019"/>
          </w:cols>
          <w:pgMar w:left="1440" w:top="0" w:right="1440" w:bottom="1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195580</wp:posOffset>
            </wp:positionV>
            <wp:extent cx="5584190" cy="1397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584190" cy="139700"/>
                    </a:xfrm>
                    <a:prstGeom prst="rect">
                      <a:avLst/>
                    </a:prstGeom>
                    <a:noFill/>
                  </pic:spPr>
                </pic:pic>
              </a:graphicData>
            </a:graphic>
          </wp:anchor>
        </w:drawing>
      </w:r>
    </w:p>
    <w:p>
      <w:pPr>
        <w:sectPr>
          <w:pgSz w:w="11900" w:h="16838" w:orient="portrait"/>
          <w:cols w:equalWidth="0" w:num="1">
            <w:col w:w="9019"/>
          </w:cols>
          <w:pgMar w:left="1440" w:top="0" w:right="1440" w:bottom="102" w:gutter="0" w:footer="0" w:header="0"/>
          <w:type w:val="continuous"/>
        </w:sectPr>
      </w:pPr>
    </w:p>
    <w:bookmarkStart w:id="37" w:name="page38"/>
    <w:bookmarkEnd w:id="37"/>
    <w:p>
      <w:pPr>
        <w:ind w:left="640"/>
        <w:spacing w:after="0"/>
        <w:rPr>
          <w:sz w:val="20"/>
          <w:szCs w:val="20"/>
          <w:color w:val="auto"/>
        </w:rPr>
      </w:pPr>
      <w:r>
        <w:rPr>
          <w:rFonts w:ascii="Arial" w:cs="Arial" w:eastAsia="Arial" w:hAnsi="Arial"/>
          <w:sz w:val="13"/>
          <w:szCs w:val="13"/>
          <w:u w:val="single" w:color="auto"/>
          <w:color w:val="auto"/>
        </w:rPr>
        <w:drawing>
          <wp:anchor simplePos="0" relativeHeight="251657728" behindDoc="1" locked="0" layoutInCell="0" allowOverlap="1">
            <wp:simplePos x="0" y="0"/>
            <wp:positionH relativeFrom="page">
              <wp:posOffset>982345</wp:posOffset>
            </wp:positionH>
            <wp:positionV relativeFrom="page">
              <wp:posOffset>88900</wp:posOffset>
            </wp:positionV>
            <wp:extent cx="5584190" cy="70745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584190" cy="7074535"/>
                    </a:xfrm>
                    <a:prstGeom prst="rect">
                      <a:avLst/>
                    </a:prstGeom>
                    <a:noFill/>
                  </pic:spPr>
                </pic:pic>
              </a:graphicData>
            </a:graphic>
          </wp:anchor>
        </w:drawing>
        <w:t>Summary of contractual lease expirations</w:t>
      </w:r>
    </w:p>
    <w:p>
      <w:pPr>
        <w:spacing w:after="0" w:line="87" w:lineRule="exact"/>
        <w:rPr>
          <w:sz w:val="20"/>
          <w:szCs w:val="20"/>
          <w:color w:val="auto"/>
        </w:rPr>
      </w:pPr>
    </w:p>
    <w:p>
      <w:pPr>
        <w:ind w:left="1160"/>
        <w:spacing w:after="0"/>
        <w:rPr>
          <w:sz w:val="20"/>
          <w:szCs w:val="20"/>
          <w:color w:val="auto"/>
        </w:rPr>
      </w:pPr>
      <w:r>
        <w:rPr>
          <w:rFonts w:ascii="Arial" w:cs="Arial" w:eastAsia="Arial" w:hAnsi="Arial"/>
          <w:sz w:val="13"/>
          <w:szCs w:val="13"/>
          <w:color w:val="auto"/>
        </w:rPr>
        <w:t>The following table summarizes the contractual lease expirations at our properties as of June 30, 2024:</w:t>
      </w:r>
    </w:p>
    <w:p>
      <w:pPr>
        <w:spacing w:after="0" w:line="67" w:lineRule="exact"/>
        <w:rPr>
          <w:sz w:val="20"/>
          <w:szCs w:val="20"/>
          <w:color w:val="auto"/>
        </w:rPr>
      </w:pPr>
    </w:p>
    <w:tbl>
      <w:tblPr>
        <w:tblLayout w:type="fixed"/>
        <w:tblInd w:w="620" w:type="dxa"/>
        <w:tblCellMar>
          <w:top w:w="0" w:type="dxa"/>
          <w:left w:w="0" w:type="dxa"/>
          <w:bottom w:w="0" w:type="dxa"/>
          <w:right w:w="0" w:type="dxa"/>
        </w:tblCellMar>
      </w:tblPr>
      <w:tr>
        <w:trPr>
          <w:trHeight w:val="126"/>
        </w:trPr>
        <w:tc>
          <w:tcPr>
            <w:tcW w:w="800" w:type="dxa"/>
            <w:vAlign w:val="bottom"/>
            <w:vMerge w:val="restart"/>
          </w:tcPr>
          <w:p>
            <w:pPr>
              <w:jc w:val="center"/>
              <w:ind w:left="383"/>
              <w:spacing w:after="0"/>
              <w:rPr>
                <w:sz w:val="20"/>
                <w:szCs w:val="20"/>
                <w:color w:val="auto"/>
              </w:rPr>
            </w:pPr>
            <w:r>
              <w:rPr>
                <w:rFonts w:ascii="Arial" w:cs="Arial" w:eastAsia="Arial" w:hAnsi="Arial"/>
                <w:sz w:val="11"/>
                <w:szCs w:val="11"/>
                <w:color w:val="auto"/>
              </w:rPr>
              <w:t>Year</w:t>
            </w: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20" w:type="dxa"/>
            <w:vAlign w:val="bottom"/>
            <w:gridSpan w:val="2"/>
            <w:vMerge w:val="restart"/>
          </w:tcPr>
          <w:p>
            <w:pPr>
              <w:ind w:left="660"/>
              <w:spacing w:after="0"/>
              <w:rPr>
                <w:sz w:val="20"/>
                <w:szCs w:val="20"/>
                <w:color w:val="auto"/>
              </w:rPr>
            </w:pPr>
            <w:r>
              <w:rPr>
                <w:rFonts w:ascii="Arial" w:cs="Arial" w:eastAsia="Arial" w:hAnsi="Arial"/>
                <w:sz w:val="11"/>
                <w:szCs w:val="11"/>
                <w:color w:val="auto"/>
              </w:rPr>
              <w:t>RSF</w:t>
            </w:r>
          </w:p>
        </w:tc>
        <w:tc>
          <w:tcPr>
            <w:tcW w:w="1640" w:type="dxa"/>
            <w:vAlign w:val="bottom"/>
            <w:gridSpan w:val="2"/>
          </w:tcPr>
          <w:p>
            <w:pPr>
              <w:ind w:left="440"/>
              <w:spacing w:after="0"/>
              <w:rPr>
                <w:sz w:val="20"/>
                <w:szCs w:val="20"/>
                <w:color w:val="auto"/>
              </w:rPr>
            </w:pPr>
            <w:r>
              <w:rPr>
                <w:rFonts w:ascii="Arial" w:cs="Arial" w:eastAsia="Arial" w:hAnsi="Arial"/>
                <w:sz w:val="11"/>
                <w:szCs w:val="11"/>
                <w:color w:val="auto"/>
              </w:rPr>
              <w:t>Percentage of</w:t>
            </w:r>
          </w:p>
        </w:tc>
        <w:tc>
          <w:tcPr>
            <w:tcW w:w="1640" w:type="dxa"/>
            <w:vAlign w:val="bottom"/>
            <w:gridSpan w:val="3"/>
          </w:tcPr>
          <w:p>
            <w:pPr>
              <w:ind w:left="180"/>
              <w:spacing w:after="0"/>
              <w:rPr>
                <w:sz w:val="20"/>
                <w:szCs w:val="20"/>
                <w:color w:val="auto"/>
              </w:rPr>
            </w:pPr>
            <w:r>
              <w:rPr>
                <w:rFonts w:ascii="Arial" w:cs="Arial" w:eastAsia="Arial" w:hAnsi="Arial"/>
                <w:sz w:val="11"/>
                <w:szCs w:val="11"/>
                <w:color w:val="auto"/>
              </w:rPr>
              <w:t>Annual Rental Revenue</w:t>
            </w:r>
          </w:p>
        </w:tc>
        <w:tc>
          <w:tcPr>
            <w:tcW w:w="1560" w:type="dxa"/>
            <w:vAlign w:val="bottom"/>
          </w:tcPr>
          <w:p>
            <w:pPr>
              <w:jc w:val="right"/>
              <w:ind w:right="383"/>
              <w:spacing w:after="0"/>
              <w:rPr>
                <w:sz w:val="20"/>
                <w:szCs w:val="20"/>
                <w:color w:val="auto"/>
              </w:rPr>
            </w:pPr>
            <w:r>
              <w:rPr>
                <w:rFonts w:ascii="Arial" w:cs="Arial" w:eastAsia="Arial" w:hAnsi="Arial"/>
                <w:sz w:val="11"/>
                <w:szCs w:val="11"/>
                <w:color w:val="auto"/>
              </w:rPr>
              <w:t>Percentage of</w:t>
            </w:r>
          </w:p>
        </w:tc>
        <w:tc>
          <w:tcPr>
            <w:tcW w:w="0" w:type="dxa"/>
            <w:vAlign w:val="bottom"/>
          </w:tcPr>
          <w:p>
            <w:pPr>
              <w:spacing w:after="0"/>
              <w:rPr>
                <w:sz w:val="1"/>
                <w:szCs w:val="1"/>
                <w:color w:val="auto"/>
              </w:rPr>
            </w:pPr>
          </w:p>
        </w:tc>
      </w:tr>
      <w:tr>
        <w:trPr>
          <w:trHeight w:val="150"/>
        </w:trPr>
        <w:tc>
          <w:tcPr>
            <w:tcW w:w="800" w:type="dxa"/>
            <w:vAlign w:val="bottom"/>
            <w:vMerge w:val="continue"/>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20" w:type="dxa"/>
            <w:vAlign w:val="bottom"/>
            <w:gridSpan w:val="2"/>
            <w:vMerge w:val="continue"/>
          </w:tcPr>
          <w:p>
            <w:pPr>
              <w:spacing w:after="0"/>
              <w:rPr>
                <w:sz w:val="13"/>
                <w:szCs w:val="13"/>
                <w:color w:val="auto"/>
              </w:rPr>
            </w:pPr>
          </w:p>
        </w:tc>
        <w:tc>
          <w:tcPr>
            <w:tcW w:w="1640" w:type="dxa"/>
            <w:vAlign w:val="bottom"/>
            <w:gridSpan w:val="2"/>
          </w:tcPr>
          <w:p>
            <w:pPr>
              <w:ind w:left="420"/>
              <w:spacing w:after="0"/>
              <w:rPr>
                <w:sz w:val="20"/>
                <w:szCs w:val="20"/>
                <w:color w:val="auto"/>
              </w:rPr>
            </w:pPr>
            <w:r>
              <w:rPr>
                <w:rFonts w:ascii="Arial" w:cs="Arial" w:eastAsia="Arial" w:hAnsi="Arial"/>
                <w:sz w:val="11"/>
                <w:szCs w:val="11"/>
                <w:color w:val="auto"/>
              </w:rPr>
              <w:t>Occupied RSF</w:t>
            </w:r>
          </w:p>
        </w:tc>
        <w:tc>
          <w:tcPr>
            <w:tcW w:w="1640" w:type="dxa"/>
            <w:vAlign w:val="bottom"/>
            <w:gridSpan w:val="3"/>
          </w:tcPr>
          <w:p>
            <w:pPr>
              <w:ind w:left="480"/>
              <w:spacing w:after="0" w:line="151" w:lineRule="exact"/>
              <w:rPr>
                <w:sz w:val="20"/>
                <w:szCs w:val="20"/>
                <w:color w:val="auto"/>
              </w:rPr>
            </w:pPr>
            <w:r>
              <w:rPr>
                <w:rFonts w:ascii="Arial" w:cs="Arial" w:eastAsia="Arial" w:hAnsi="Arial"/>
                <w:sz w:val="11"/>
                <w:szCs w:val="11"/>
                <w:color w:val="auto"/>
              </w:rPr>
              <w:t>(per RSF)</w:t>
            </w:r>
            <w:r>
              <w:rPr>
                <w:rFonts w:ascii="Arial" w:cs="Arial" w:eastAsia="Arial" w:hAnsi="Arial"/>
                <w:sz w:val="14"/>
                <w:szCs w:val="14"/>
                <w:color w:val="auto"/>
                <w:vertAlign w:val="superscript"/>
              </w:rPr>
              <w:t>(1)</w:t>
            </w:r>
          </w:p>
        </w:tc>
        <w:tc>
          <w:tcPr>
            <w:tcW w:w="1560" w:type="dxa"/>
            <w:vAlign w:val="bottom"/>
          </w:tcPr>
          <w:p>
            <w:pPr>
              <w:jc w:val="right"/>
              <w:ind w:right="123"/>
              <w:spacing w:after="0"/>
              <w:rPr>
                <w:sz w:val="20"/>
                <w:szCs w:val="20"/>
                <w:color w:val="auto"/>
              </w:rPr>
            </w:pPr>
            <w:r>
              <w:rPr>
                <w:rFonts w:ascii="Arial" w:cs="Arial" w:eastAsia="Arial" w:hAnsi="Arial"/>
                <w:sz w:val="11"/>
                <w:szCs w:val="11"/>
                <w:color w:val="auto"/>
              </w:rPr>
              <w:t>Annual Rental Revenue</w:t>
            </w:r>
          </w:p>
        </w:tc>
        <w:tc>
          <w:tcPr>
            <w:tcW w:w="0" w:type="dxa"/>
            <w:vAlign w:val="bottom"/>
          </w:tcPr>
          <w:p>
            <w:pPr>
              <w:spacing w:after="0"/>
              <w:rPr>
                <w:sz w:val="1"/>
                <w:szCs w:val="1"/>
                <w:color w:val="auto"/>
              </w:rPr>
            </w:pPr>
          </w:p>
        </w:tc>
      </w:tr>
      <w:tr>
        <w:trPr>
          <w:trHeight w:val="120"/>
        </w:trPr>
        <w:tc>
          <w:tcPr>
            <w:tcW w:w="800" w:type="dxa"/>
            <w:vAlign w:val="bottom"/>
            <w:tcBorders>
              <w:top w:val="single" w:sz="8" w:color="auto"/>
            </w:tcBorders>
            <w:shd w:val="clear" w:color="auto" w:fill="CCEEFF"/>
          </w:tcPr>
          <w:p>
            <w:pPr>
              <w:jc w:val="center"/>
              <w:ind w:left="383"/>
              <w:spacing w:after="0" w:line="120" w:lineRule="exact"/>
              <w:rPr>
                <w:sz w:val="20"/>
                <w:szCs w:val="20"/>
                <w:color w:val="auto"/>
              </w:rPr>
            </w:pPr>
            <w:r>
              <w:rPr>
                <w:rFonts w:ascii="Arial" w:cs="Arial" w:eastAsia="Arial" w:hAnsi="Arial"/>
                <w:sz w:val="11"/>
                <w:szCs w:val="11"/>
                <w:color w:val="auto"/>
                <w:w w:val="97"/>
              </w:rPr>
              <w:t>2024</w:t>
            </w:r>
          </w:p>
        </w:tc>
        <w:tc>
          <w:tcPr>
            <w:tcW w:w="440" w:type="dxa"/>
            <w:vAlign w:val="bottom"/>
            <w:tcBorders>
              <w:top w:val="single" w:sz="8" w:color="auto"/>
            </w:tcBorders>
            <w:shd w:val="clear" w:color="auto" w:fill="CCEEFF"/>
          </w:tcPr>
          <w:p>
            <w:pPr>
              <w:jc w:val="right"/>
              <w:ind w:right="263"/>
              <w:spacing w:after="0"/>
              <w:rPr>
                <w:sz w:val="20"/>
                <w:szCs w:val="20"/>
                <w:color w:val="auto"/>
              </w:rPr>
            </w:pPr>
            <w:r>
              <w:rPr>
                <w:rFonts w:ascii="Arial" w:cs="Arial" w:eastAsia="Arial" w:hAnsi="Arial"/>
                <w:sz w:val="7"/>
                <w:szCs w:val="7"/>
                <w:color w:val="auto"/>
              </w:rPr>
              <w:t>(2)</w:t>
            </w:r>
          </w:p>
        </w:tc>
        <w:tc>
          <w:tcPr>
            <w:tcW w:w="80" w:type="dxa"/>
            <w:vAlign w:val="bottom"/>
            <w:tcBorders>
              <w:top w:val="single" w:sz="8" w:color="CCEEFF"/>
            </w:tcBorders>
            <w:shd w:val="clear" w:color="auto" w:fill="CCEEFF"/>
          </w:tcPr>
          <w:p>
            <w:pPr>
              <w:spacing w:after="0"/>
              <w:rPr>
                <w:sz w:val="10"/>
                <w:szCs w:val="10"/>
                <w:color w:val="auto"/>
              </w:rPr>
            </w:pPr>
          </w:p>
        </w:tc>
        <w:tc>
          <w:tcPr>
            <w:tcW w:w="1560" w:type="dxa"/>
            <w:vAlign w:val="bottom"/>
            <w:tcBorders>
              <w:top w:val="single" w:sz="8" w:color="auto"/>
            </w:tcBorders>
            <w:shd w:val="clear" w:color="auto" w:fill="CCEEFF"/>
          </w:tcPr>
          <w:p>
            <w:pPr>
              <w:jc w:val="right"/>
              <w:ind w:right="423"/>
              <w:spacing w:after="0" w:line="120" w:lineRule="exact"/>
              <w:rPr>
                <w:sz w:val="20"/>
                <w:szCs w:val="20"/>
                <w:color w:val="auto"/>
              </w:rPr>
            </w:pPr>
            <w:r>
              <w:rPr>
                <w:rFonts w:ascii="Arial" w:cs="Arial" w:eastAsia="Arial" w:hAnsi="Arial"/>
                <w:sz w:val="11"/>
                <w:szCs w:val="11"/>
                <w:color w:val="auto"/>
              </w:rPr>
              <w:t>1,629,725</w:t>
            </w:r>
          </w:p>
        </w:tc>
        <w:tc>
          <w:tcPr>
            <w:tcW w:w="60" w:type="dxa"/>
            <w:vAlign w:val="bottom"/>
            <w:tcBorders>
              <w:top w:val="single" w:sz="8" w:color="CCEEFF"/>
            </w:tcBorders>
            <w:shd w:val="clear" w:color="auto" w:fill="CCEEFF"/>
          </w:tcPr>
          <w:p>
            <w:pPr>
              <w:spacing w:after="0"/>
              <w:rPr>
                <w:sz w:val="10"/>
                <w:szCs w:val="10"/>
                <w:color w:val="auto"/>
              </w:rPr>
            </w:pPr>
          </w:p>
        </w:tc>
        <w:tc>
          <w:tcPr>
            <w:tcW w:w="1560" w:type="dxa"/>
            <w:vAlign w:val="bottom"/>
            <w:tcBorders>
              <w:top w:val="single" w:sz="8" w:color="auto"/>
            </w:tcBorders>
            <w:shd w:val="clear" w:color="auto" w:fill="CCEEFF"/>
          </w:tcPr>
          <w:p>
            <w:pPr>
              <w:jc w:val="right"/>
              <w:ind w:right="423"/>
              <w:spacing w:after="0" w:line="120" w:lineRule="exact"/>
              <w:rPr>
                <w:sz w:val="20"/>
                <w:szCs w:val="20"/>
                <w:color w:val="auto"/>
              </w:rPr>
            </w:pPr>
            <w:r>
              <w:rPr>
                <w:rFonts w:ascii="Arial" w:cs="Arial" w:eastAsia="Arial" w:hAnsi="Arial"/>
                <w:sz w:val="11"/>
                <w:szCs w:val="11"/>
                <w:color w:val="auto"/>
              </w:rPr>
              <w:t>4.1%</w:t>
            </w:r>
          </w:p>
        </w:tc>
        <w:tc>
          <w:tcPr>
            <w:tcW w:w="8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ind w:left="460"/>
              <w:spacing w:after="0" w:line="120" w:lineRule="exact"/>
              <w:rPr>
                <w:sz w:val="20"/>
                <w:szCs w:val="20"/>
                <w:color w:val="auto"/>
              </w:rPr>
            </w:pPr>
            <w:r>
              <w:rPr>
                <w:rFonts w:ascii="Arial" w:cs="Arial" w:eastAsia="Arial" w:hAnsi="Arial"/>
                <w:sz w:val="11"/>
                <w:szCs w:val="11"/>
                <w:color w:val="auto"/>
              </w:rPr>
              <w:t>$</w:t>
            </w:r>
          </w:p>
        </w:tc>
        <w:tc>
          <w:tcPr>
            <w:tcW w:w="900" w:type="dxa"/>
            <w:vAlign w:val="bottom"/>
            <w:tcBorders>
              <w:top w:val="single" w:sz="8" w:color="auto"/>
            </w:tcBorders>
            <w:shd w:val="clear" w:color="auto" w:fill="CCEEFF"/>
          </w:tcPr>
          <w:p>
            <w:pPr>
              <w:jc w:val="right"/>
              <w:ind w:right="423"/>
              <w:spacing w:after="0" w:line="120" w:lineRule="exact"/>
              <w:rPr>
                <w:sz w:val="20"/>
                <w:szCs w:val="20"/>
                <w:color w:val="auto"/>
              </w:rPr>
            </w:pPr>
            <w:r>
              <w:rPr>
                <w:rFonts w:ascii="Arial" w:cs="Arial" w:eastAsia="Arial" w:hAnsi="Arial"/>
                <w:sz w:val="11"/>
                <w:szCs w:val="11"/>
                <w:color w:val="auto"/>
              </w:rPr>
              <w:t>52.61</w:t>
            </w:r>
          </w:p>
        </w:tc>
        <w:tc>
          <w:tcPr>
            <w:tcW w:w="80" w:type="dxa"/>
            <w:vAlign w:val="bottom"/>
            <w:tcBorders>
              <w:top w:val="single" w:sz="8" w:color="CCEEFF"/>
            </w:tcBorders>
            <w:shd w:val="clear" w:color="auto" w:fill="CCEEFF"/>
          </w:tcPr>
          <w:p>
            <w:pPr>
              <w:spacing w:after="0"/>
              <w:rPr>
                <w:sz w:val="10"/>
                <w:szCs w:val="10"/>
                <w:color w:val="auto"/>
              </w:rPr>
            </w:pPr>
          </w:p>
        </w:tc>
        <w:tc>
          <w:tcPr>
            <w:tcW w:w="1560" w:type="dxa"/>
            <w:vAlign w:val="bottom"/>
            <w:tcBorders>
              <w:top w:val="single" w:sz="8" w:color="auto"/>
            </w:tcBorders>
            <w:shd w:val="clear" w:color="auto" w:fill="CCEEFF"/>
          </w:tcPr>
          <w:p>
            <w:pPr>
              <w:jc w:val="right"/>
              <w:ind w:right="423"/>
              <w:spacing w:after="0" w:line="120" w:lineRule="exact"/>
              <w:rPr>
                <w:sz w:val="20"/>
                <w:szCs w:val="20"/>
                <w:color w:val="auto"/>
              </w:rPr>
            </w:pPr>
            <w:r>
              <w:rPr>
                <w:rFonts w:ascii="Arial" w:cs="Arial" w:eastAsia="Arial" w:hAnsi="Arial"/>
                <w:sz w:val="11"/>
                <w:szCs w:val="11"/>
                <w:color w:val="auto"/>
              </w:rPr>
              <w:t>3.9%</w:t>
            </w:r>
          </w:p>
        </w:tc>
        <w:tc>
          <w:tcPr>
            <w:tcW w:w="0" w:type="dxa"/>
            <w:vAlign w:val="bottom"/>
          </w:tcPr>
          <w:p>
            <w:pPr>
              <w:spacing w:after="0"/>
              <w:rPr>
                <w:sz w:val="1"/>
                <w:szCs w:val="1"/>
                <w:color w:val="auto"/>
              </w:rPr>
            </w:pPr>
          </w:p>
        </w:tc>
      </w:tr>
      <w:tr>
        <w:trPr>
          <w:trHeight w:val="140"/>
        </w:trPr>
        <w:tc>
          <w:tcPr>
            <w:tcW w:w="800" w:type="dxa"/>
            <w:vAlign w:val="bottom"/>
          </w:tcPr>
          <w:p>
            <w:pPr>
              <w:jc w:val="center"/>
              <w:ind w:left="383"/>
              <w:spacing w:after="0"/>
              <w:rPr>
                <w:sz w:val="20"/>
                <w:szCs w:val="20"/>
                <w:color w:val="auto"/>
              </w:rPr>
            </w:pPr>
            <w:r>
              <w:rPr>
                <w:rFonts w:ascii="Arial" w:cs="Arial" w:eastAsia="Arial" w:hAnsi="Arial"/>
                <w:sz w:val="11"/>
                <w:szCs w:val="11"/>
                <w:color w:val="auto"/>
                <w:w w:val="97"/>
              </w:rPr>
              <w:t>2025</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tcPr>
          <w:p>
            <w:pPr>
              <w:jc w:val="right"/>
              <w:ind w:right="423"/>
              <w:spacing w:after="0"/>
              <w:rPr>
                <w:sz w:val="20"/>
                <w:szCs w:val="20"/>
                <w:color w:val="auto"/>
              </w:rPr>
            </w:pPr>
            <w:r>
              <w:rPr>
                <w:rFonts w:ascii="Arial" w:cs="Arial" w:eastAsia="Arial" w:hAnsi="Arial"/>
                <w:sz w:val="11"/>
                <w:szCs w:val="11"/>
                <w:color w:val="auto"/>
              </w:rPr>
              <w:t>3,969,159</w:t>
            </w:r>
          </w:p>
        </w:tc>
        <w:tc>
          <w:tcPr>
            <w:tcW w:w="60" w:type="dxa"/>
            <w:vAlign w:val="bottom"/>
          </w:tcPr>
          <w:p>
            <w:pPr>
              <w:spacing w:after="0"/>
              <w:rPr>
                <w:sz w:val="12"/>
                <w:szCs w:val="12"/>
                <w:color w:val="auto"/>
              </w:rPr>
            </w:pPr>
          </w:p>
        </w:tc>
        <w:tc>
          <w:tcPr>
            <w:tcW w:w="1560" w:type="dxa"/>
            <w:vAlign w:val="bottom"/>
          </w:tcPr>
          <w:p>
            <w:pPr>
              <w:jc w:val="right"/>
              <w:ind w:right="423"/>
              <w:spacing w:after="0"/>
              <w:rPr>
                <w:sz w:val="20"/>
                <w:szCs w:val="20"/>
                <w:color w:val="auto"/>
              </w:rPr>
            </w:pPr>
            <w:r>
              <w:rPr>
                <w:rFonts w:ascii="Arial" w:cs="Arial" w:eastAsia="Arial" w:hAnsi="Arial"/>
                <w:sz w:val="11"/>
                <w:szCs w:val="11"/>
                <w:color w:val="auto"/>
              </w:rPr>
              <w:t>10.1%</w:t>
            </w:r>
          </w:p>
        </w:tc>
        <w:tc>
          <w:tcPr>
            <w:tcW w:w="80" w:type="dxa"/>
            <w:vAlign w:val="bottom"/>
          </w:tcPr>
          <w:p>
            <w:pPr>
              <w:spacing w:after="0"/>
              <w:rPr>
                <w:sz w:val="12"/>
                <w:szCs w:val="12"/>
                <w:color w:val="auto"/>
              </w:rPr>
            </w:pPr>
          </w:p>
        </w:tc>
        <w:tc>
          <w:tcPr>
            <w:tcW w:w="660" w:type="dxa"/>
            <w:vAlign w:val="bottom"/>
          </w:tcPr>
          <w:p>
            <w:pPr>
              <w:ind w:left="460"/>
              <w:spacing w:after="0"/>
              <w:rPr>
                <w:sz w:val="20"/>
                <w:szCs w:val="20"/>
                <w:color w:val="auto"/>
              </w:rPr>
            </w:pPr>
            <w:r>
              <w:rPr>
                <w:rFonts w:ascii="Arial" w:cs="Arial" w:eastAsia="Arial" w:hAnsi="Arial"/>
                <w:sz w:val="11"/>
                <w:szCs w:val="11"/>
                <w:color w:val="auto"/>
              </w:rPr>
              <w:t>$</w:t>
            </w:r>
          </w:p>
        </w:tc>
        <w:tc>
          <w:tcPr>
            <w:tcW w:w="900" w:type="dxa"/>
            <w:vAlign w:val="bottom"/>
          </w:tcPr>
          <w:p>
            <w:pPr>
              <w:jc w:val="right"/>
              <w:ind w:right="423"/>
              <w:spacing w:after="0"/>
              <w:rPr>
                <w:sz w:val="20"/>
                <w:szCs w:val="20"/>
                <w:color w:val="auto"/>
              </w:rPr>
            </w:pPr>
            <w:r>
              <w:rPr>
                <w:rFonts w:ascii="Arial" w:cs="Arial" w:eastAsia="Arial" w:hAnsi="Arial"/>
                <w:sz w:val="11"/>
                <w:szCs w:val="11"/>
                <w:color w:val="auto"/>
              </w:rPr>
              <w:t>52.32</w:t>
            </w:r>
          </w:p>
        </w:tc>
        <w:tc>
          <w:tcPr>
            <w:tcW w:w="80" w:type="dxa"/>
            <w:vAlign w:val="bottom"/>
          </w:tcPr>
          <w:p>
            <w:pPr>
              <w:spacing w:after="0"/>
              <w:rPr>
                <w:sz w:val="12"/>
                <w:szCs w:val="12"/>
                <w:color w:val="auto"/>
              </w:rPr>
            </w:pPr>
          </w:p>
        </w:tc>
        <w:tc>
          <w:tcPr>
            <w:tcW w:w="1560" w:type="dxa"/>
            <w:vAlign w:val="bottom"/>
          </w:tcPr>
          <w:p>
            <w:pPr>
              <w:jc w:val="right"/>
              <w:ind w:right="423"/>
              <w:spacing w:after="0"/>
              <w:rPr>
                <w:sz w:val="20"/>
                <w:szCs w:val="20"/>
                <w:color w:val="auto"/>
              </w:rPr>
            </w:pPr>
            <w:r>
              <w:rPr>
                <w:rFonts w:ascii="Arial" w:cs="Arial" w:eastAsia="Arial" w:hAnsi="Arial"/>
                <w:sz w:val="11"/>
                <w:szCs w:val="11"/>
                <w:color w:val="auto"/>
              </w:rPr>
              <w:t>9.4%</w:t>
            </w:r>
          </w:p>
        </w:tc>
        <w:tc>
          <w:tcPr>
            <w:tcW w:w="0" w:type="dxa"/>
            <w:vAlign w:val="bottom"/>
          </w:tcPr>
          <w:p>
            <w:pPr>
              <w:spacing w:after="0"/>
              <w:rPr>
                <w:sz w:val="1"/>
                <w:szCs w:val="1"/>
                <w:color w:val="auto"/>
              </w:rPr>
            </w:pPr>
          </w:p>
        </w:tc>
      </w:tr>
      <w:tr>
        <w:trPr>
          <w:trHeight w:val="140"/>
        </w:trPr>
        <w:tc>
          <w:tcPr>
            <w:tcW w:w="800" w:type="dxa"/>
            <w:vAlign w:val="bottom"/>
            <w:shd w:val="clear" w:color="auto" w:fill="CCEEFF"/>
          </w:tcPr>
          <w:p>
            <w:pPr>
              <w:jc w:val="center"/>
              <w:ind w:left="383"/>
              <w:spacing w:after="0"/>
              <w:rPr>
                <w:sz w:val="20"/>
                <w:szCs w:val="20"/>
                <w:color w:val="auto"/>
              </w:rPr>
            </w:pPr>
            <w:r>
              <w:rPr>
                <w:rFonts w:ascii="Arial" w:cs="Arial" w:eastAsia="Arial" w:hAnsi="Arial"/>
                <w:sz w:val="11"/>
                <w:szCs w:val="11"/>
                <w:color w:val="auto"/>
                <w:w w:val="97"/>
              </w:rPr>
              <w:t>2026</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60" w:type="dxa"/>
            <w:vAlign w:val="bottom"/>
            <w:shd w:val="clear" w:color="auto" w:fill="CCEEFF"/>
          </w:tcPr>
          <w:p>
            <w:pPr>
              <w:jc w:val="right"/>
              <w:ind w:right="423"/>
              <w:spacing w:after="0"/>
              <w:rPr>
                <w:sz w:val="20"/>
                <w:szCs w:val="20"/>
                <w:color w:val="auto"/>
              </w:rPr>
            </w:pPr>
            <w:r>
              <w:rPr>
                <w:rFonts w:ascii="Arial" w:cs="Arial" w:eastAsia="Arial" w:hAnsi="Arial"/>
                <w:sz w:val="11"/>
                <w:szCs w:val="11"/>
                <w:color w:val="auto"/>
              </w:rPr>
              <w:t>2,741,258</w:t>
            </w:r>
          </w:p>
        </w:tc>
        <w:tc>
          <w:tcPr>
            <w:tcW w:w="60" w:type="dxa"/>
            <w:vAlign w:val="bottom"/>
            <w:shd w:val="clear" w:color="auto" w:fill="CCEEFF"/>
          </w:tcPr>
          <w:p>
            <w:pPr>
              <w:spacing w:after="0"/>
              <w:rPr>
                <w:sz w:val="12"/>
                <w:szCs w:val="12"/>
                <w:color w:val="auto"/>
              </w:rPr>
            </w:pPr>
          </w:p>
        </w:tc>
        <w:tc>
          <w:tcPr>
            <w:tcW w:w="1560" w:type="dxa"/>
            <w:vAlign w:val="bottom"/>
            <w:shd w:val="clear" w:color="auto" w:fill="CCEEFF"/>
          </w:tcPr>
          <w:p>
            <w:pPr>
              <w:jc w:val="right"/>
              <w:ind w:right="423"/>
              <w:spacing w:after="0"/>
              <w:rPr>
                <w:sz w:val="20"/>
                <w:szCs w:val="20"/>
                <w:color w:val="auto"/>
              </w:rPr>
            </w:pPr>
            <w:r>
              <w:rPr>
                <w:rFonts w:ascii="Arial" w:cs="Arial" w:eastAsia="Arial" w:hAnsi="Arial"/>
                <w:sz w:val="11"/>
                <w:szCs w:val="11"/>
                <w:color w:val="auto"/>
              </w:rPr>
              <w:t>6.9%</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ind w:left="460"/>
              <w:spacing w:after="0"/>
              <w:rPr>
                <w:sz w:val="20"/>
                <w:szCs w:val="20"/>
                <w:color w:val="auto"/>
              </w:rPr>
            </w:pPr>
            <w:r>
              <w:rPr>
                <w:rFonts w:ascii="Arial" w:cs="Arial" w:eastAsia="Arial" w:hAnsi="Arial"/>
                <w:sz w:val="11"/>
                <w:szCs w:val="11"/>
                <w:color w:val="auto"/>
              </w:rPr>
              <w:t>$</w:t>
            </w:r>
          </w:p>
        </w:tc>
        <w:tc>
          <w:tcPr>
            <w:tcW w:w="900" w:type="dxa"/>
            <w:vAlign w:val="bottom"/>
            <w:shd w:val="clear" w:color="auto" w:fill="CCEEFF"/>
          </w:tcPr>
          <w:p>
            <w:pPr>
              <w:jc w:val="right"/>
              <w:ind w:right="423"/>
              <w:spacing w:after="0"/>
              <w:rPr>
                <w:sz w:val="20"/>
                <w:szCs w:val="20"/>
                <w:color w:val="auto"/>
              </w:rPr>
            </w:pPr>
            <w:r>
              <w:rPr>
                <w:rFonts w:ascii="Arial" w:cs="Arial" w:eastAsia="Arial" w:hAnsi="Arial"/>
                <w:sz w:val="11"/>
                <w:szCs w:val="11"/>
                <w:color w:val="auto"/>
              </w:rPr>
              <w:t>52.81</w:t>
            </w:r>
          </w:p>
        </w:tc>
        <w:tc>
          <w:tcPr>
            <w:tcW w:w="80" w:type="dxa"/>
            <w:vAlign w:val="bottom"/>
            <w:shd w:val="clear" w:color="auto" w:fill="CCEEFF"/>
          </w:tcPr>
          <w:p>
            <w:pPr>
              <w:spacing w:after="0"/>
              <w:rPr>
                <w:sz w:val="12"/>
                <w:szCs w:val="12"/>
                <w:color w:val="auto"/>
              </w:rPr>
            </w:pPr>
          </w:p>
        </w:tc>
        <w:tc>
          <w:tcPr>
            <w:tcW w:w="1560" w:type="dxa"/>
            <w:vAlign w:val="bottom"/>
            <w:shd w:val="clear" w:color="auto" w:fill="CCEEFF"/>
          </w:tcPr>
          <w:p>
            <w:pPr>
              <w:jc w:val="right"/>
              <w:ind w:right="423"/>
              <w:spacing w:after="0"/>
              <w:rPr>
                <w:sz w:val="20"/>
                <w:szCs w:val="20"/>
                <w:color w:val="auto"/>
              </w:rPr>
            </w:pPr>
            <w:r>
              <w:rPr>
                <w:rFonts w:ascii="Arial" w:cs="Arial" w:eastAsia="Arial" w:hAnsi="Arial"/>
                <w:sz w:val="11"/>
                <w:szCs w:val="11"/>
                <w:color w:val="auto"/>
              </w:rPr>
              <w:t>6.6%</w:t>
            </w:r>
          </w:p>
        </w:tc>
        <w:tc>
          <w:tcPr>
            <w:tcW w:w="0" w:type="dxa"/>
            <w:vAlign w:val="bottom"/>
          </w:tcPr>
          <w:p>
            <w:pPr>
              <w:spacing w:after="0"/>
              <w:rPr>
                <w:sz w:val="1"/>
                <w:szCs w:val="1"/>
                <w:color w:val="auto"/>
              </w:rPr>
            </w:pPr>
          </w:p>
        </w:tc>
      </w:tr>
      <w:tr>
        <w:trPr>
          <w:trHeight w:val="140"/>
        </w:trPr>
        <w:tc>
          <w:tcPr>
            <w:tcW w:w="800" w:type="dxa"/>
            <w:vAlign w:val="bottom"/>
          </w:tcPr>
          <w:p>
            <w:pPr>
              <w:jc w:val="center"/>
              <w:ind w:left="383"/>
              <w:spacing w:after="0"/>
              <w:rPr>
                <w:sz w:val="20"/>
                <w:szCs w:val="20"/>
                <w:color w:val="auto"/>
              </w:rPr>
            </w:pPr>
            <w:r>
              <w:rPr>
                <w:rFonts w:ascii="Arial" w:cs="Arial" w:eastAsia="Arial" w:hAnsi="Arial"/>
                <w:sz w:val="11"/>
                <w:szCs w:val="11"/>
                <w:color w:val="auto"/>
                <w:w w:val="97"/>
              </w:rPr>
              <w:t>2027</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tcPr>
          <w:p>
            <w:pPr>
              <w:jc w:val="right"/>
              <w:ind w:right="423"/>
              <w:spacing w:after="0"/>
              <w:rPr>
                <w:sz w:val="20"/>
                <w:szCs w:val="20"/>
                <w:color w:val="auto"/>
              </w:rPr>
            </w:pPr>
            <w:r>
              <w:rPr>
                <w:rFonts w:ascii="Arial" w:cs="Arial" w:eastAsia="Arial" w:hAnsi="Arial"/>
                <w:sz w:val="11"/>
                <w:szCs w:val="11"/>
                <w:color w:val="auto"/>
              </w:rPr>
              <w:t>3,155,424</w:t>
            </w:r>
          </w:p>
        </w:tc>
        <w:tc>
          <w:tcPr>
            <w:tcW w:w="60" w:type="dxa"/>
            <w:vAlign w:val="bottom"/>
          </w:tcPr>
          <w:p>
            <w:pPr>
              <w:spacing w:after="0"/>
              <w:rPr>
                <w:sz w:val="12"/>
                <w:szCs w:val="12"/>
                <w:color w:val="auto"/>
              </w:rPr>
            </w:pPr>
          </w:p>
        </w:tc>
        <w:tc>
          <w:tcPr>
            <w:tcW w:w="1560" w:type="dxa"/>
            <w:vAlign w:val="bottom"/>
          </w:tcPr>
          <w:p>
            <w:pPr>
              <w:jc w:val="right"/>
              <w:ind w:right="423"/>
              <w:spacing w:after="0"/>
              <w:rPr>
                <w:sz w:val="20"/>
                <w:szCs w:val="20"/>
                <w:color w:val="auto"/>
              </w:rPr>
            </w:pPr>
            <w:r>
              <w:rPr>
                <w:rFonts w:ascii="Arial" w:cs="Arial" w:eastAsia="Arial" w:hAnsi="Arial"/>
                <w:sz w:val="11"/>
                <w:szCs w:val="11"/>
                <w:color w:val="auto"/>
              </w:rPr>
              <w:t>8.0%</w:t>
            </w:r>
          </w:p>
        </w:tc>
        <w:tc>
          <w:tcPr>
            <w:tcW w:w="80" w:type="dxa"/>
            <w:vAlign w:val="bottom"/>
          </w:tcPr>
          <w:p>
            <w:pPr>
              <w:spacing w:after="0"/>
              <w:rPr>
                <w:sz w:val="12"/>
                <w:szCs w:val="12"/>
                <w:color w:val="auto"/>
              </w:rPr>
            </w:pPr>
          </w:p>
        </w:tc>
        <w:tc>
          <w:tcPr>
            <w:tcW w:w="660" w:type="dxa"/>
            <w:vAlign w:val="bottom"/>
          </w:tcPr>
          <w:p>
            <w:pPr>
              <w:ind w:left="460"/>
              <w:spacing w:after="0"/>
              <w:rPr>
                <w:sz w:val="20"/>
                <w:szCs w:val="20"/>
                <w:color w:val="auto"/>
              </w:rPr>
            </w:pPr>
            <w:r>
              <w:rPr>
                <w:rFonts w:ascii="Arial" w:cs="Arial" w:eastAsia="Arial" w:hAnsi="Arial"/>
                <w:sz w:val="11"/>
                <w:szCs w:val="11"/>
                <w:color w:val="auto"/>
              </w:rPr>
              <w:t>$</w:t>
            </w:r>
          </w:p>
        </w:tc>
        <w:tc>
          <w:tcPr>
            <w:tcW w:w="900" w:type="dxa"/>
            <w:vAlign w:val="bottom"/>
          </w:tcPr>
          <w:p>
            <w:pPr>
              <w:jc w:val="right"/>
              <w:ind w:right="423"/>
              <w:spacing w:after="0"/>
              <w:rPr>
                <w:sz w:val="20"/>
                <w:szCs w:val="20"/>
                <w:color w:val="auto"/>
              </w:rPr>
            </w:pPr>
            <w:r>
              <w:rPr>
                <w:rFonts w:ascii="Arial" w:cs="Arial" w:eastAsia="Arial" w:hAnsi="Arial"/>
                <w:sz w:val="11"/>
                <w:szCs w:val="11"/>
                <w:color w:val="auto"/>
              </w:rPr>
              <w:t>52.84</w:t>
            </w:r>
          </w:p>
        </w:tc>
        <w:tc>
          <w:tcPr>
            <w:tcW w:w="80" w:type="dxa"/>
            <w:vAlign w:val="bottom"/>
          </w:tcPr>
          <w:p>
            <w:pPr>
              <w:spacing w:after="0"/>
              <w:rPr>
                <w:sz w:val="12"/>
                <w:szCs w:val="12"/>
                <w:color w:val="auto"/>
              </w:rPr>
            </w:pPr>
          </w:p>
        </w:tc>
        <w:tc>
          <w:tcPr>
            <w:tcW w:w="1560" w:type="dxa"/>
            <w:vAlign w:val="bottom"/>
          </w:tcPr>
          <w:p>
            <w:pPr>
              <w:jc w:val="right"/>
              <w:ind w:right="423"/>
              <w:spacing w:after="0"/>
              <w:rPr>
                <w:sz w:val="20"/>
                <w:szCs w:val="20"/>
                <w:color w:val="auto"/>
              </w:rPr>
            </w:pPr>
            <w:r>
              <w:rPr>
                <w:rFonts w:ascii="Arial" w:cs="Arial" w:eastAsia="Arial" w:hAnsi="Arial"/>
                <w:sz w:val="11"/>
                <w:szCs w:val="11"/>
                <w:color w:val="auto"/>
              </w:rPr>
              <w:t>7.6%</w:t>
            </w:r>
          </w:p>
        </w:tc>
        <w:tc>
          <w:tcPr>
            <w:tcW w:w="0" w:type="dxa"/>
            <w:vAlign w:val="bottom"/>
          </w:tcPr>
          <w:p>
            <w:pPr>
              <w:spacing w:after="0"/>
              <w:rPr>
                <w:sz w:val="1"/>
                <w:szCs w:val="1"/>
                <w:color w:val="auto"/>
              </w:rPr>
            </w:pPr>
          </w:p>
        </w:tc>
      </w:tr>
      <w:tr>
        <w:trPr>
          <w:trHeight w:val="140"/>
        </w:trPr>
        <w:tc>
          <w:tcPr>
            <w:tcW w:w="800" w:type="dxa"/>
            <w:vAlign w:val="bottom"/>
            <w:shd w:val="clear" w:color="auto" w:fill="CCEEFF"/>
          </w:tcPr>
          <w:p>
            <w:pPr>
              <w:jc w:val="center"/>
              <w:ind w:left="383"/>
              <w:spacing w:after="0"/>
              <w:rPr>
                <w:sz w:val="20"/>
                <w:szCs w:val="20"/>
                <w:color w:val="auto"/>
              </w:rPr>
            </w:pPr>
            <w:r>
              <w:rPr>
                <w:rFonts w:ascii="Arial" w:cs="Arial" w:eastAsia="Arial" w:hAnsi="Arial"/>
                <w:sz w:val="11"/>
                <w:szCs w:val="11"/>
                <w:color w:val="auto"/>
                <w:w w:val="97"/>
              </w:rPr>
              <w:t>2028</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60" w:type="dxa"/>
            <w:vAlign w:val="bottom"/>
            <w:shd w:val="clear" w:color="auto" w:fill="CCEEFF"/>
          </w:tcPr>
          <w:p>
            <w:pPr>
              <w:jc w:val="right"/>
              <w:ind w:right="423"/>
              <w:spacing w:after="0"/>
              <w:rPr>
                <w:sz w:val="20"/>
                <w:szCs w:val="20"/>
                <w:color w:val="auto"/>
              </w:rPr>
            </w:pPr>
            <w:r>
              <w:rPr>
                <w:rFonts w:ascii="Arial" w:cs="Arial" w:eastAsia="Arial" w:hAnsi="Arial"/>
                <w:sz w:val="11"/>
                <w:szCs w:val="11"/>
                <w:color w:val="auto"/>
              </w:rPr>
              <w:t>4,697,787</w:t>
            </w:r>
          </w:p>
        </w:tc>
        <w:tc>
          <w:tcPr>
            <w:tcW w:w="60" w:type="dxa"/>
            <w:vAlign w:val="bottom"/>
            <w:shd w:val="clear" w:color="auto" w:fill="CCEEFF"/>
          </w:tcPr>
          <w:p>
            <w:pPr>
              <w:spacing w:after="0"/>
              <w:rPr>
                <w:sz w:val="12"/>
                <w:szCs w:val="12"/>
                <w:color w:val="auto"/>
              </w:rPr>
            </w:pPr>
          </w:p>
        </w:tc>
        <w:tc>
          <w:tcPr>
            <w:tcW w:w="1560" w:type="dxa"/>
            <w:vAlign w:val="bottom"/>
            <w:shd w:val="clear" w:color="auto" w:fill="CCEEFF"/>
          </w:tcPr>
          <w:p>
            <w:pPr>
              <w:jc w:val="right"/>
              <w:ind w:right="423"/>
              <w:spacing w:after="0"/>
              <w:rPr>
                <w:sz w:val="20"/>
                <w:szCs w:val="20"/>
                <w:color w:val="auto"/>
              </w:rPr>
            </w:pPr>
            <w:r>
              <w:rPr>
                <w:rFonts w:ascii="Arial" w:cs="Arial" w:eastAsia="Arial" w:hAnsi="Arial"/>
                <w:sz w:val="11"/>
                <w:szCs w:val="11"/>
                <w:color w:val="auto"/>
              </w:rPr>
              <w:t>11.9%</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ind w:left="460"/>
              <w:spacing w:after="0"/>
              <w:rPr>
                <w:sz w:val="20"/>
                <w:szCs w:val="20"/>
                <w:color w:val="auto"/>
              </w:rPr>
            </w:pPr>
            <w:r>
              <w:rPr>
                <w:rFonts w:ascii="Arial" w:cs="Arial" w:eastAsia="Arial" w:hAnsi="Arial"/>
                <w:sz w:val="11"/>
                <w:szCs w:val="11"/>
                <w:color w:val="auto"/>
              </w:rPr>
              <w:t>$</w:t>
            </w:r>
          </w:p>
        </w:tc>
        <w:tc>
          <w:tcPr>
            <w:tcW w:w="900" w:type="dxa"/>
            <w:vAlign w:val="bottom"/>
            <w:shd w:val="clear" w:color="auto" w:fill="CCEEFF"/>
          </w:tcPr>
          <w:p>
            <w:pPr>
              <w:jc w:val="right"/>
              <w:ind w:right="423"/>
              <w:spacing w:after="0"/>
              <w:rPr>
                <w:sz w:val="20"/>
                <w:szCs w:val="20"/>
                <w:color w:val="auto"/>
              </w:rPr>
            </w:pPr>
            <w:r>
              <w:rPr>
                <w:rFonts w:ascii="Arial" w:cs="Arial" w:eastAsia="Arial" w:hAnsi="Arial"/>
                <w:sz w:val="11"/>
                <w:szCs w:val="11"/>
                <w:color w:val="auto"/>
              </w:rPr>
              <w:t>51.91</w:t>
            </w:r>
          </w:p>
        </w:tc>
        <w:tc>
          <w:tcPr>
            <w:tcW w:w="80" w:type="dxa"/>
            <w:vAlign w:val="bottom"/>
            <w:shd w:val="clear" w:color="auto" w:fill="CCEEFF"/>
          </w:tcPr>
          <w:p>
            <w:pPr>
              <w:spacing w:after="0"/>
              <w:rPr>
                <w:sz w:val="12"/>
                <w:szCs w:val="12"/>
                <w:color w:val="auto"/>
              </w:rPr>
            </w:pPr>
          </w:p>
        </w:tc>
        <w:tc>
          <w:tcPr>
            <w:tcW w:w="1560" w:type="dxa"/>
            <w:vAlign w:val="bottom"/>
            <w:shd w:val="clear" w:color="auto" w:fill="CCEEFF"/>
          </w:tcPr>
          <w:p>
            <w:pPr>
              <w:jc w:val="right"/>
              <w:ind w:right="443"/>
              <w:spacing w:after="0"/>
              <w:rPr>
                <w:sz w:val="20"/>
                <w:szCs w:val="20"/>
                <w:color w:val="auto"/>
              </w:rPr>
            </w:pPr>
            <w:r>
              <w:rPr>
                <w:rFonts w:ascii="Arial" w:cs="Arial" w:eastAsia="Arial" w:hAnsi="Arial"/>
                <w:sz w:val="11"/>
                <w:szCs w:val="11"/>
                <w:color w:val="auto"/>
              </w:rPr>
              <w:t>11.1%</w:t>
            </w:r>
          </w:p>
        </w:tc>
        <w:tc>
          <w:tcPr>
            <w:tcW w:w="0" w:type="dxa"/>
            <w:vAlign w:val="bottom"/>
          </w:tcPr>
          <w:p>
            <w:pPr>
              <w:spacing w:after="0"/>
              <w:rPr>
                <w:sz w:val="1"/>
                <w:szCs w:val="1"/>
                <w:color w:val="auto"/>
              </w:rPr>
            </w:pPr>
          </w:p>
        </w:tc>
      </w:tr>
      <w:tr>
        <w:trPr>
          <w:trHeight w:val="140"/>
        </w:trPr>
        <w:tc>
          <w:tcPr>
            <w:tcW w:w="800" w:type="dxa"/>
            <w:vAlign w:val="bottom"/>
          </w:tcPr>
          <w:p>
            <w:pPr>
              <w:jc w:val="center"/>
              <w:ind w:left="383"/>
              <w:spacing w:after="0"/>
              <w:rPr>
                <w:sz w:val="20"/>
                <w:szCs w:val="20"/>
                <w:color w:val="auto"/>
              </w:rPr>
            </w:pPr>
            <w:r>
              <w:rPr>
                <w:rFonts w:ascii="Arial" w:cs="Arial" w:eastAsia="Arial" w:hAnsi="Arial"/>
                <w:sz w:val="11"/>
                <w:szCs w:val="11"/>
                <w:color w:val="auto"/>
                <w:w w:val="97"/>
              </w:rPr>
              <w:t>2029</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tcPr>
          <w:p>
            <w:pPr>
              <w:jc w:val="right"/>
              <w:ind w:right="423"/>
              <w:spacing w:after="0"/>
              <w:rPr>
                <w:sz w:val="20"/>
                <w:szCs w:val="20"/>
                <w:color w:val="auto"/>
              </w:rPr>
            </w:pPr>
            <w:r>
              <w:rPr>
                <w:rFonts w:ascii="Arial" w:cs="Arial" w:eastAsia="Arial" w:hAnsi="Arial"/>
                <w:sz w:val="11"/>
                <w:szCs w:val="11"/>
                <w:color w:val="auto"/>
              </w:rPr>
              <w:t>2,519,629</w:t>
            </w:r>
          </w:p>
        </w:tc>
        <w:tc>
          <w:tcPr>
            <w:tcW w:w="60" w:type="dxa"/>
            <w:vAlign w:val="bottom"/>
          </w:tcPr>
          <w:p>
            <w:pPr>
              <w:spacing w:after="0"/>
              <w:rPr>
                <w:sz w:val="12"/>
                <w:szCs w:val="12"/>
                <w:color w:val="auto"/>
              </w:rPr>
            </w:pPr>
          </w:p>
        </w:tc>
        <w:tc>
          <w:tcPr>
            <w:tcW w:w="1560" w:type="dxa"/>
            <w:vAlign w:val="bottom"/>
          </w:tcPr>
          <w:p>
            <w:pPr>
              <w:jc w:val="right"/>
              <w:ind w:right="423"/>
              <w:spacing w:after="0"/>
              <w:rPr>
                <w:sz w:val="20"/>
                <w:szCs w:val="20"/>
                <w:color w:val="auto"/>
              </w:rPr>
            </w:pPr>
            <w:r>
              <w:rPr>
                <w:rFonts w:ascii="Arial" w:cs="Arial" w:eastAsia="Arial" w:hAnsi="Arial"/>
                <w:sz w:val="11"/>
                <w:szCs w:val="11"/>
                <w:color w:val="auto"/>
              </w:rPr>
              <w:t>6.4%</w:t>
            </w:r>
          </w:p>
        </w:tc>
        <w:tc>
          <w:tcPr>
            <w:tcW w:w="80" w:type="dxa"/>
            <w:vAlign w:val="bottom"/>
          </w:tcPr>
          <w:p>
            <w:pPr>
              <w:spacing w:after="0"/>
              <w:rPr>
                <w:sz w:val="12"/>
                <w:szCs w:val="12"/>
                <w:color w:val="auto"/>
              </w:rPr>
            </w:pPr>
          </w:p>
        </w:tc>
        <w:tc>
          <w:tcPr>
            <w:tcW w:w="660" w:type="dxa"/>
            <w:vAlign w:val="bottom"/>
          </w:tcPr>
          <w:p>
            <w:pPr>
              <w:ind w:left="460"/>
              <w:spacing w:after="0"/>
              <w:rPr>
                <w:sz w:val="20"/>
                <w:szCs w:val="20"/>
                <w:color w:val="auto"/>
              </w:rPr>
            </w:pPr>
            <w:r>
              <w:rPr>
                <w:rFonts w:ascii="Arial" w:cs="Arial" w:eastAsia="Arial" w:hAnsi="Arial"/>
                <w:sz w:val="11"/>
                <w:szCs w:val="11"/>
                <w:color w:val="auto"/>
              </w:rPr>
              <w:t>$</w:t>
            </w:r>
          </w:p>
        </w:tc>
        <w:tc>
          <w:tcPr>
            <w:tcW w:w="900" w:type="dxa"/>
            <w:vAlign w:val="bottom"/>
          </w:tcPr>
          <w:p>
            <w:pPr>
              <w:jc w:val="right"/>
              <w:ind w:right="423"/>
              <w:spacing w:after="0"/>
              <w:rPr>
                <w:sz w:val="20"/>
                <w:szCs w:val="20"/>
                <w:color w:val="auto"/>
              </w:rPr>
            </w:pPr>
            <w:r>
              <w:rPr>
                <w:rFonts w:ascii="Arial" w:cs="Arial" w:eastAsia="Arial" w:hAnsi="Arial"/>
                <w:sz w:val="11"/>
                <w:szCs w:val="11"/>
                <w:color w:val="auto"/>
              </w:rPr>
              <w:t>51.26</w:t>
            </w:r>
          </w:p>
        </w:tc>
        <w:tc>
          <w:tcPr>
            <w:tcW w:w="80" w:type="dxa"/>
            <w:vAlign w:val="bottom"/>
          </w:tcPr>
          <w:p>
            <w:pPr>
              <w:spacing w:after="0"/>
              <w:rPr>
                <w:sz w:val="12"/>
                <w:szCs w:val="12"/>
                <w:color w:val="auto"/>
              </w:rPr>
            </w:pPr>
          </w:p>
        </w:tc>
        <w:tc>
          <w:tcPr>
            <w:tcW w:w="1560" w:type="dxa"/>
            <w:vAlign w:val="bottom"/>
          </w:tcPr>
          <w:p>
            <w:pPr>
              <w:jc w:val="right"/>
              <w:ind w:right="423"/>
              <w:spacing w:after="0"/>
              <w:rPr>
                <w:sz w:val="20"/>
                <w:szCs w:val="20"/>
                <w:color w:val="auto"/>
              </w:rPr>
            </w:pPr>
            <w:r>
              <w:rPr>
                <w:rFonts w:ascii="Arial" w:cs="Arial" w:eastAsia="Arial" w:hAnsi="Arial"/>
                <w:sz w:val="11"/>
                <w:szCs w:val="11"/>
                <w:color w:val="auto"/>
              </w:rPr>
              <w:t>5.9%</w:t>
            </w:r>
          </w:p>
        </w:tc>
        <w:tc>
          <w:tcPr>
            <w:tcW w:w="0" w:type="dxa"/>
            <w:vAlign w:val="bottom"/>
          </w:tcPr>
          <w:p>
            <w:pPr>
              <w:spacing w:after="0"/>
              <w:rPr>
                <w:sz w:val="1"/>
                <w:szCs w:val="1"/>
                <w:color w:val="auto"/>
              </w:rPr>
            </w:pPr>
          </w:p>
        </w:tc>
      </w:tr>
      <w:tr>
        <w:trPr>
          <w:trHeight w:val="140"/>
        </w:trPr>
        <w:tc>
          <w:tcPr>
            <w:tcW w:w="800" w:type="dxa"/>
            <w:vAlign w:val="bottom"/>
            <w:shd w:val="clear" w:color="auto" w:fill="CCEEFF"/>
          </w:tcPr>
          <w:p>
            <w:pPr>
              <w:jc w:val="center"/>
              <w:ind w:left="383"/>
              <w:spacing w:after="0"/>
              <w:rPr>
                <w:sz w:val="20"/>
                <w:szCs w:val="20"/>
                <w:color w:val="auto"/>
              </w:rPr>
            </w:pPr>
            <w:r>
              <w:rPr>
                <w:rFonts w:ascii="Arial" w:cs="Arial" w:eastAsia="Arial" w:hAnsi="Arial"/>
                <w:sz w:val="11"/>
                <w:szCs w:val="11"/>
                <w:color w:val="auto"/>
                <w:w w:val="97"/>
              </w:rPr>
              <w:t>2030</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60" w:type="dxa"/>
            <w:vAlign w:val="bottom"/>
            <w:shd w:val="clear" w:color="auto" w:fill="CCEEFF"/>
          </w:tcPr>
          <w:p>
            <w:pPr>
              <w:jc w:val="right"/>
              <w:ind w:right="423"/>
              <w:spacing w:after="0"/>
              <w:rPr>
                <w:sz w:val="20"/>
                <w:szCs w:val="20"/>
                <w:color w:val="auto"/>
              </w:rPr>
            </w:pPr>
            <w:r>
              <w:rPr>
                <w:rFonts w:ascii="Arial" w:cs="Arial" w:eastAsia="Arial" w:hAnsi="Arial"/>
                <w:sz w:val="11"/>
                <w:szCs w:val="11"/>
                <w:color w:val="auto"/>
              </w:rPr>
              <w:t>2,732,244</w:t>
            </w:r>
          </w:p>
        </w:tc>
        <w:tc>
          <w:tcPr>
            <w:tcW w:w="60" w:type="dxa"/>
            <w:vAlign w:val="bottom"/>
            <w:shd w:val="clear" w:color="auto" w:fill="CCEEFF"/>
          </w:tcPr>
          <w:p>
            <w:pPr>
              <w:spacing w:after="0"/>
              <w:rPr>
                <w:sz w:val="12"/>
                <w:szCs w:val="12"/>
                <w:color w:val="auto"/>
              </w:rPr>
            </w:pPr>
          </w:p>
        </w:tc>
        <w:tc>
          <w:tcPr>
            <w:tcW w:w="1560" w:type="dxa"/>
            <w:vAlign w:val="bottom"/>
            <w:shd w:val="clear" w:color="auto" w:fill="CCEEFF"/>
          </w:tcPr>
          <w:p>
            <w:pPr>
              <w:jc w:val="right"/>
              <w:ind w:right="423"/>
              <w:spacing w:after="0"/>
              <w:rPr>
                <w:sz w:val="20"/>
                <w:szCs w:val="20"/>
                <w:color w:val="auto"/>
              </w:rPr>
            </w:pPr>
            <w:r>
              <w:rPr>
                <w:rFonts w:ascii="Arial" w:cs="Arial" w:eastAsia="Arial" w:hAnsi="Arial"/>
                <w:sz w:val="11"/>
                <w:szCs w:val="11"/>
                <w:color w:val="auto"/>
              </w:rPr>
              <w:t>6.9%</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ind w:left="460"/>
              <w:spacing w:after="0"/>
              <w:rPr>
                <w:sz w:val="20"/>
                <w:szCs w:val="20"/>
                <w:color w:val="auto"/>
              </w:rPr>
            </w:pPr>
            <w:r>
              <w:rPr>
                <w:rFonts w:ascii="Arial" w:cs="Arial" w:eastAsia="Arial" w:hAnsi="Arial"/>
                <w:sz w:val="11"/>
                <w:szCs w:val="11"/>
                <w:color w:val="auto"/>
              </w:rPr>
              <w:t>$</w:t>
            </w:r>
          </w:p>
        </w:tc>
        <w:tc>
          <w:tcPr>
            <w:tcW w:w="900" w:type="dxa"/>
            <w:vAlign w:val="bottom"/>
            <w:shd w:val="clear" w:color="auto" w:fill="CCEEFF"/>
          </w:tcPr>
          <w:p>
            <w:pPr>
              <w:jc w:val="right"/>
              <w:ind w:right="423"/>
              <w:spacing w:after="0"/>
              <w:rPr>
                <w:sz w:val="20"/>
                <w:szCs w:val="20"/>
                <w:color w:val="auto"/>
              </w:rPr>
            </w:pPr>
            <w:r>
              <w:rPr>
                <w:rFonts w:ascii="Arial" w:cs="Arial" w:eastAsia="Arial" w:hAnsi="Arial"/>
                <w:sz w:val="11"/>
                <w:szCs w:val="11"/>
                <w:color w:val="auto"/>
              </w:rPr>
              <w:t>46.39</w:t>
            </w:r>
          </w:p>
        </w:tc>
        <w:tc>
          <w:tcPr>
            <w:tcW w:w="80" w:type="dxa"/>
            <w:vAlign w:val="bottom"/>
            <w:shd w:val="clear" w:color="auto" w:fill="CCEEFF"/>
          </w:tcPr>
          <w:p>
            <w:pPr>
              <w:spacing w:after="0"/>
              <w:rPr>
                <w:sz w:val="12"/>
                <w:szCs w:val="12"/>
                <w:color w:val="auto"/>
              </w:rPr>
            </w:pPr>
          </w:p>
        </w:tc>
        <w:tc>
          <w:tcPr>
            <w:tcW w:w="1560" w:type="dxa"/>
            <w:vAlign w:val="bottom"/>
            <w:shd w:val="clear" w:color="auto" w:fill="CCEEFF"/>
          </w:tcPr>
          <w:p>
            <w:pPr>
              <w:jc w:val="right"/>
              <w:ind w:right="423"/>
              <w:spacing w:after="0"/>
              <w:rPr>
                <w:sz w:val="20"/>
                <w:szCs w:val="20"/>
                <w:color w:val="auto"/>
              </w:rPr>
            </w:pPr>
            <w:r>
              <w:rPr>
                <w:rFonts w:ascii="Arial" w:cs="Arial" w:eastAsia="Arial" w:hAnsi="Arial"/>
                <w:sz w:val="11"/>
                <w:szCs w:val="11"/>
                <w:color w:val="auto"/>
              </w:rPr>
              <w:t>5.8%</w:t>
            </w:r>
          </w:p>
        </w:tc>
        <w:tc>
          <w:tcPr>
            <w:tcW w:w="0" w:type="dxa"/>
            <w:vAlign w:val="bottom"/>
          </w:tcPr>
          <w:p>
            <w:pPr>
              <w:spacing w:after="0"/>
              <w:rPr>
                <w:sz w:val="1"/>
                <w:szCs w:val="1"/>
                <w:color w:val="auto"/>
              </w:rPr>
            </w:pPr>
          </w:p>
        </w:tc>
      </w:tr>
      <w:tr>
        <w:trPr>
          <w:trHeight w:val="140"/>
        </w:trPr>
        <w:tc>
          <w:tcPr>
            <w:tcW w:w="800" w:type="dxa"/>
            <w:vAlign w:val="bottom"/>
          </w:tcPr>
          <w:p>
            <w:pPr>
              <w:jc w:val="center"/>
              <w:ind w:left="383"/>
              <w:spacing w:after="0"/>
              <w:rPr>
                <w:sz w:val="20"/>
                <w:szCs w:val="20"/>
                <w:color w:val="auto"/>
              </w:rPr>
            </w:pPr>
            <w:r>
              <w:rPr>
                <w:rFonts w:ascii="Arial" w:cs="Arial" w:eastAsia="Arial" w:hAnsi="Arial"/>
                <w:sz w:val="11"/>
                <w:szCs w:val="11"/>
                <w:color w:val="auto"/>
                <w:w w:val="97"/>
              </w:rPr>
              <w:t>2031</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tcPr>
          <w:p>
            <w:pPr>
              <w:jc w:val="right"/>
              <w:ind w:right="423"/>
              <w:spacing w:after="0"/>
              <w:rPr>
                <w:sz w:val="20"/>
                <w:szCs w:val="20"/>
                <w:color w:val="auto"/>
              </w:rPr>
            </w:pPr>
            <w:r>
              <w:rPr>
                <w:rFonts w:ascii="Arial" w:cs="Arial" w:eastAsia="Arial" w:hAnsi="Arial"/>
                <w:sz w:val="11"/>
                <w:szCs w:val="11"/>
                <w:color w:val="auto"/>
              </w:rPr>
              <w:t>3,655,986</w:t>
            </w:r>
          </w:p>
        </w:tc>
        <w:tc>
          <w:tcPr>
            <w:tcW w:w="60" w:type="dxa"/>
            <w:vAlign w:val="bottom"/>
          </w:tcPr>
          <w:p>
            <w:pPr>
              <w:spacing w:after="0"/>
              <w:rPr>
                <w:sz w:val="12"/>
                <w:szCs w:val="12"/>
                <w:color w:val="auto"/>
              </w:rPr>
            </w:pPr>
          </w:p>
        </w:tc>
        <w:tc>
          <w:tcPr>
            <w:tcW w:w="1560" w:type="dxa"/>
            <w:vAlign w:val="bottom"/>
          </w:tcPr>
          <w:p>
            <w:pPr>
              <w:jc w:val="right"/>
              <w:ind w:right="423"/>
              <w:spacing w:after="0"/>
              <w:rPr>
                <w:sz w:val="20"/>
                <w:szCs w:val="20"/>
                <w:color w:val="auto"/>
              </w:rPr>
            </w:pPr>
            <w:r>
              <w:rPr>
                <w:rFonts w:ascii="Arial" w:cs="Arial" w:eastAsia="Arial" w:hAnsi="Arial"/>
                <w:sz w:val="11"/>
                <w:szCs w:val="11"/>
                <w:color w:val="auto"/>
              </w:rPr>
              <w:t>9.3%</w:t>
            </w:r>
          </w:p>
        </w:tc>
        <w:tc>
          <w:tcPr>
            <w:tcW w:w="80" w:type="dxa"/>
            <w:vAlign w:val="bottom"/>
          </w:tcPr>
          <w:p>
            <w:pPr>
              <w:spacing w:after="0"/>
              <w:rPr>
                <w:sz w:val="12"/>
                <w:szCs w:val="12"/>
                <w:color w:val="auto"/>
              </w:rPr>
            </w:pPr>
          </w:p>
        </w:tc>
        <w:tc>
          <w:tcPr>
            <w:tcW w:w="660" w:type="dxa"/>
            <w:vAlign w:val="bottom"/>
          </w:tcPr>
          <w:p>
            <w:pPr>
              <w:ind w:left="460"/>
              <w:spacing w:after="0"/>
              <w:rPr>
                <w:sz w:val="20"/>
                <w:szCs w:val="20"/>
                <w:color w:val="auto"/>
              </w:rPr>
            </w:pPr>
            <w:r>
              <w:rPr>
                <w:rFonts w:ascii="Arial" w:cs="Arial" w:eastAsia="Arial" w:hAnsi="Arial"/>
                <w:sz w:val="11"/>
                <w:szCs w:val="11"/>
                <w:color w:val="auto"/>
              </w:rPr>
              <w:t>$</w:t>
            </w:r>
          </w:p>
        </w:tc>
        <w:tc>
          <w:tcPr>
            <w:tcW w:w="900" w:type="dxa"/>
            <w:vAlign w:val="bottom"/>
          </w:tcPr>
          <w:p>
            <w:pPr>
              <w:jc w:val="right"/>
              <w:ind w:right="423"/>
              <w:spacing w:after="0"/>
              <w:rPr>
                <w:sz w:val="20"/>
                <w:szCs w:val="20"/>
                <w:color w:val="auto"/>
              </w:rPr>
            </w:pPr>
            <w:r>
              <w:rPr>
                <w:rFonts w:ascii="Arial" w:cs="Arial" w:eastAsia="Arial" w:hAnsi="Arial"/>
                <w:sz w:val="11"/>
                <w:szCs w:val="11"/>
                <w:color w:val="auto"/>
              </w:rPr>
              <w:t>54.89</w:t>
            </w:r>
          </w:p>
        </w:tc>
        <w:tc>
          <w:tcPr>
            <w:tcW w:w="80" w:type="dxa"/>
            <w:vAlign w:val="bottom"/>
          </w:tcPr>
          <w:p>
            <w:pPr>
              <w:spacing w:after="0"/>
              <w:rPr>
                <w:sz w:val="12"/>
                <w:szCs w:val="12"/>
                <w:color w:val="auto"/>
              </w:rPr>
            </w:pPr>
          </w:p>
        </w:tc>
        <w:tc>
          <w:tcPr>
            <w:tcW w:w="1560" w:type="dxa"/>
            <w:vAlign w:val="bottom"/>
          </w:tcPr>
          <w:p>
            <w:pPr>
              <w:jc w:val="right"/>
              <w:ind w:right="423"/>
              <w:spacing w:after="0"/>
              <w:rPr>
                <w:sz w:val="20"/>
                <w:szCs w:val="20"/>
                <w:color w:val="auto"/>
              </w:rPr>
            </w:pPr>
            <w:r>
              <w:rPr>
                <w:rFonts w:ascii="Arial" w:cs="Arial" w:eastAsia="Arial" w:hAnsi="Arial"/>
                <w:sz w:val="11"/>
                <w:szCs w:val="11"/>
                <w:color w:val="auto"/>
              </w:rPr>
              <w:t>9.1%</w:t>
            </w:r>
          </w:p>
        </w:tc>
        <w:tc>
          <w:tcPr>
            <w:tcW w:w="0" w:type="dxa"/>
            <w:vAlign w:val="bottom"/>
          </w:tcPr>
          <w:p>
            <w:pPr>
              <w:spacing w:after="0"/>
              <w:rPr>
                <w:sz w:val="1"/>
                <w:szCs w:val="1"/>
                <w:color w:val="auto"/>
              </w:rPr>
            </w:pPr>
          </w:p>
        </w:tc>
      </w:tr>
      <w:tr>
        <w:trPr>
          <w:trHeight w:val="140"/>
        </w:trPr>
        <w:tc>
          <w:tcPr>
            <w:tcW w:w="800" w:type="dxa"/>
            <w:vAlign w:val="bottom"/>
            <w:shd w:val="clear" w:color="auto" w:fill="CCEEFF"/>
          </w:tcPr>
          <w:p>
            <w:pPr>
              <w:jc w:val="center"/>
              <w:ind w:left="383"/>
              <w:spacing w:after="0"/>
              <w:rPr>
                <w:sz w:val="20"/>
                <w:szCs w:val="20"/>
                <w:color w:val="auto"/>
              </w:rPr>
            </w:pPr>
            <w:r>
              <w:rPr>
                <w:rFonts w:ascii="Arial" w:cs="Arial" w:eastAsia="Arial" w:hAnsi="Arial"/>
                <w:sz w:val="11"/>
                <w:szCs w:val="11"/>
                <w:color w:val="auto"/>
                <w:w w:val="97"/>
              </w:rPr>
              <w:t>2032</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60" w:type="dxa"/>
            <w:vAlign w:val="bottom"/>
            <w:shd w:val="clear" w:color="auto" w:fill="CCEEFF"/>
          </w:tcPr>
          <w:p>
            <w:pPr>
              <w:jc w:val="right"/>
              <w:ind w:right="423"/>
              <w:spacing w:after="0"/>
              <w:rPr>
                <w:sz w:val="20"/>
                <w:szCs w:val="20"/>
                <w:color w:val="auto"/>
              </w:rPr>
            </w:pPr>
            <w:r>
              <w:rPr>
                <w:rFonts w:ascii="Arial" w:cs="Arial" w:eastAsia="Arial" w:hAnsi="Arial"/>
                <w:sz w:val="11"/>
                <w:szCs w:val="11"/>
                <w:color w:val="auto"/>
              </w:rPr>
              <w:t>1,078,558</w:t>
            </w:r>
          </w:p>
        </w:tc>
        <w:tc>
          <w:tcPr>
            <w:tcW w:w="60" w:type="dxa"/>
            <w:vAlign w:val="bottom"/>
            <w:shd w:val="clear" w:color="auto" w:fill="CCEEFF"/>
          </w:tcPr>
          <w:p>
            <w:pPr>
              <w:spacing w:after="0"/>
              <w:rPr>
                <w:sz w:val="12"/>
                <w:szCs w:val="12"/>
                <w:color w:val="auto"/>
              </w:rPr>
            </w:pPr>
          </w:p>
        </w:tc>
        <w:tc>
          <w:tcPr>
            <w:tcW w:w="1560" w:type="dxa"/>
            <w:vAlign w:val="bottom"/>
            <w:shd w:val="clear" w:color="auto" w:fill="CCEEFF"/>
          </w:tcPr>
          <w:p>
            <w:pPr>
              <w:jc w:val="right"/>
              <w:ind w:right="423"/>
              <w:spacing w:after="0"/>
              <w:rPr>
                <w:sz w:val="20"/>
                <w:szCs w:val="20"/>
                <w:color w:val="auto"/>
              </w:rPr>
            </w:pPr>
            <w:r>
              <w:rPr>
                <w:rFonts w:ascii="Arial" w:cs="Arial" w:eastAsia="Arial" w:hAnsi="Arial"/>
                <w:sz w:val="11"/>
                <w:szCs w:val="11"/>
                <w:color w:val="auto"/>
              </w:rPr>
              <w:t>2.7%</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ind w:left="460"/>
              <w:spacing w:after="0"/>
              <w:rPr>
                <w:sz w:val="20"/>
                <w:szCs w:val="20"/>
                <w:color w:val="auto"/>
              </w:rPr>
            </w:pPr>
            <w:r>
              <w:rPr>
                <w:rFonts w:ascii="Arial" w:cs="Arial" w:eastAsia="Arial" w:hAnsi="Arial"/>
                <w:sz w:val="11"/>
                <w:szCs w:val="11"/>
                <w:color w:val="auto"/>
              </w:rPr>
              <w:t>$</w:t>
            </w:r>
          </w:p>
        </w:tc>
        <w:tc>
          <w:tcPr>
            <w:tcW w:w="900" w:type="dxa"/>
            <w:vAlign w:val="bottom"/>
            <w:shd w:val="clear" w:color="auto" w:fill="CCEEFF"/>
          </w:tcPr>
          <w:p>
            <w:pPr>
              <w:jc w:val="right"/>
              <w:ind w:right="423"/>
              <w:spacing w:after="0"/>
              <w:rPr>
                <w:sz w:val="20"/>
                <w:szCs w:val="20"/>
                <w:color w:val="auto"/>
              </w:rPr>
            </w:pPr>
            <w:r>
              <w:rPr>
                <w:rFonts w:ascii="Arial" w:cs="Arial" w:eastAsia="Arial" w:hAnsi="Arial"/>
                <w:sz w:val="11"/>
                <w:szCs w:val="11"/>
                <w:color w:val="auto"/>
              </w:rPr>
              <w:t>59.67</w:t>
            </w:r>
          </w:p>
        </w:tc>
        <w:tc>
          <w:tcPr>
            <w:tcW w:w="80" w:type="dxa"/>
            <w:vAlign w:val="bottom"/>
            <w:shd w:val="clear" w:color="auto" w:fill="CCEEFF"/>
          </w:tcPr>
          <w:p>
            <w:pPr>
              <w:spacing w:after="0"/>
              <w:rPr>
                <w:sz w:val="12"/>
                <w:szCs w:val="12"/>
                <w:color w:val="auto"/>
              </w:rPr>
            </w:pPr>
          </w:p>
        </w:tc>
        <w:tc>
          <w:tcPr>
            <w:tcW w:w="1560" w:type="dxa"/>
            <w:vAlign w:val="bottom"/>
            <w:shd w:val="clear" w:color="auto" w:fill="CCEEFF"/>
          </w:tcPr>
          <w:p>
            <w:pPr>
              <w:jc w:val="right"/>
              <w:ind w:right="423"/>
              <w:spacing w:after="0"/>
              <w:rPr>
                <w:sz w:val="20"/>
                <w:szCs w:val="20"/>
                <w:color w:val="auto"/>
              </w:rPr>
            </w:pPr>
            <w:r>
              <w:rPr>
                <w:rFonts w:ascii="Arial" w:cs="Arial" w:eastAsia="Arial" w:hAnsi="Arial"/>
                <w:sz w:val="11"/>
                <w:szCs w:val="11"/>
                <w:color w:val="auto"/>
              </w:rPr>
              <w:t>2.9%</w:t>
            </w:r>
          </w:p>
        </w:tc>
        <w:tc>
          <w:tcPr>
            <w:tcW w:w="0" w:type="dxa"/>
            <w:vAlign w:val="bottom"/>
          </w:tcPr>
          <w:p>
            <w:pPr>
              <w:spacing w:after="0"/>
              <w:rPr>
                <w:sz w:val="1"/>
                <w:szCs w:val="1"/>
                <w:color w:val="auto"/>
              </w:rPr>
            </w:pPr>
          </w:p>
        </w:tc>
      </w:tr>
      <w:tr>
        <w:trPr>
          <w:trHeight w:val="140"/>
        </w:trPr>
        <w:tc>
          <w:tcPr>
            <w:tcW w:w="800" w:type="dxa"/>
            <w:vAlign w:val="bottom"/>
          </w:tcPr>
          <w:p>
            <w:pPr>
              <w:jc w:val="center"/>
              <w:ind w:left="383"/>
              <w:spacing w:after="0"/>
              <w:rPr>
                <w:sz w:val="20"/>
                <w:szCs w:val="20"/>
                <w:color w:val="auto"/>
              </w:rPr>
            </w:pPr>
            <w:r>
              <w:rPr>
                <w:rFonts w:ascii="Arial" w:cs="Arial" w:eastAsia="Arial" w:hAnsi="Arial"/>
                <w:sz w:val="11"/>
                <w:szCs w:val="11"/>
                <w:color w:val="auto"/>
                <w:w w:val="97"/>
              </w:rPr>
              <w:t>2033</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tcPr>
          <w:p>
            <w:pPr>
              <w:jc w:val="right"/>
              <w:ind w:right="423"/>
              <w:spacing w:after="0"/>
              <w:rPr>
                <w:sz w:val="20"/>
                <w:szCs w:val="20"/>
                <w:color w:val="auto"/>
              </w:rPr>
            </w:pPr>
            <w:r>
              <w:rPr>
                <w:rFonts w:ascii="Arial" w:cs="Arial" w:eastAsia="Arial" w:hAnsi="Arial"/>
                <w:sz w:val="11"/>
                <w:szCs w:val="11"/>
                <w:color w:val="auto"/>
              </w:rPr>
              <w:t>2,872,541</w:t>
            </w:r>
          </w:p>
        </w:tc>
        <w:tc>
          <w:tcPr>
            <w:tcW w:w="60" w:type="dxa"/>
            <w:vAlign w:val="bottom"/>
          </w:tcPr>
          <w:p>
            <w:pPr>
              <w:spacing w:after="0"/>
              <w:rPr>
                <w:sz w:val="12"/>
                <w:szCs w:val="12"/>
                <w:color w:val="auto"/>
              </w:rPr>
            </w:pPr>
          </w:p>
        </w:tc>
        <w:tc>
          <w:tcPr>
            <w:tcW w:w="1560" w:type="dxa"/>
            <w:vAlign w:val="bottom"/>
          </w:tcPr>
          <w:p>
            <w:pPr>
              <w:jc w:val="right"/>
              <w:ind w:right="423"/>
              <w:spacing w:after="0"/>
              <w:rPr>
                <w:sz w:val="20"/>
                <w:szCs w:val="20"/>
                <w:color w:val="auto"/>
              </w:rPr>
            </w:pPr>
            <w:r>
              <w:rPr>
                <w:rFonts w:ascii="Arial" w:cs="Arial" w:eastAsia="Arial" w:hAnsi="Arial"/>
                <w:sz w:val="11"/>
                <w:szCs w:val="11"/>
                <w:color w:val="auto"/>
              </w:rPr>
              <w:t>7.3%</w:t>
            </w:r>
          </w:p>
        </w:tc>
        <w:tc>
          <w:tcPr>
            <w:tcW w:w="80" w:type="dxa"/>
            <w:vAlign w:val="bottom"/>
          </w:tcPr>
          <w:p>
            <w:pPr>
              <w:spacing w:after="0"/>
              <w:rPr>
                <w:sz w:val="12"/>
                <w:szCs w:val="12"/>
                <w:color w:val="auto"/>
              </w:rPr>
            </w:pPr>
          </w:p>
        </w:tc>
        <w:tc>
          <w:tcPr>
            <w:tcW w:w="660" w:type="dxa"/>
            <w:vAlign w:val="bottom"/>
          </w:tcPr>
          <w:p>
            <w:pPr>
              <w:ind w:left="460"/>
              <w:spacing w:after="0"/>
              <w:rPr>
                <w:sz w:val="20"/>
                <w:szCs w:val="20"/>
                <w:color w:val="auto"/>
              </w:rPr>
            </w:pPr>
            <w:r>
              <w:rPr>
                <w:rFonts w:ascii="Arial" w:cs="Arial" w:eastAsia="Arial" w:hAnsi="Arial"/>
                <w:sz w:val="11"/>
                <w:szCs w:val="11"/>
                <w:color w:val="auto"/>
              </w:rPr>
              <w:t>$</w:t>
            </w:r>
          </w:p>
        </w:tc>
        <w:tc>
          <w:tcPr>
            <w:tcW w:w="900" w:type="dxa"/>
            <w:vAlign w:val="bottom"/>
          </w:tcPr>
          <w:p>
            <w:pPr>
              <w:jc w:val="right"/>
              <w:ind w:right="423"/>
              <w:spacing w:after="0"/>
              <w:rPr>
                <w:sz w:val="20"/>
                <w:szCs w:val="20"/>
                <w:color w:val="auto"/>
              </w:rPr>
            </w:pPr>
            <w:r>
              <w:rPr>
                <w:rFonts w:ascii="Arial" w:cs="Arial" w:eastAsia="Arial" w:hAnsi="Arial"/>
                <w:sz w:val="11"/>
                <w:szCs w:val="11"/>
                <w:color w:val="auto"/>
              </w:rPr>
              <w:t>51.57</w:t>
            </w:r>
          </w:p>
        </w:tc>
        <w:tc>
          <w:tcPr>
            <w:tcW w:w="80" w:type="dxa"/>
            <w:vAlign w:val="bottom"/>
          </w:tcPr>
          <w:p>
            <w:pPr>
              <w:spacing w:after="0"/>
              <w:rPr>
                <w:sz w:val="12"/>
                <w:szCs w:val="12"/>
                <w:color w:val="auto"/>
              </w:rPr>
            </w:pPr>
          </w:p>
        </w:tc>
        <w:tc>
          <w:tcPr>
            <w:tcW w:w="1560" w:type="dxa"/>
            <w:vAlign w:val="bottom"/>
          </w:tcPr>
          <w:p>
            <w:pPr>
              <w:jc w:val="right"/>
              <w:ind w:right="423"/>
              <w:spacing w:after="0"/>
              <w:rPr>
                <w:sz w:val="20"/>
                <w:szCs w:val="20"/>
                <w:color w:val="auto"/>
              </w:rPr>
            </w:pPr>
            <w:r>
              <w:rPr>
                <w:rFonts w:ascii="Arial" w:cs="Arial" w:eastAsia="Arial" w:hAnsi="Arial"/>
                <w:sz w:val="11"/>
                <w:szCs w:val="11"/>
                <w:color w:val="auto"/>
              </w:rPr>
              <w:t>6.7%</w:t>
            </w:r>
          </w:p>
        </w:tc>
        <w:tc>
          <w:tcPr>
            <w:tcW w:w="0" w:type="dxa"/>
            <w:vAlign w:val="bottom"/>
          </w:tcPr>
          <w:p>
            <w:pPr>
              <w:spacing w:after="0"/>
              <w:rPr>
                <w:sz w:val="1"/>
                <w:szCs w:val="1"/>
                <w:color w:val="auto"/>
              </w:rPr>
            </w:pPr>
          </w:p>
        </w:tc>
      </w:tr>
      <w:tr>
        <w:trPr>
          <w:trHeight w:val="140"/>
        </w:trPr>
        <w:tc>
          <w:tcPr>
            <w:tcW w:w="1320" w:type="dxa"/>
            <w:vAlign w:val="bottom"/>
            <w:gridSpan w:val="3"/>
            <w:shd w:val="clear" w:color="auto" w:fill="CCEEFF"/>
          </w:tcPr>
          <w:p>
            <w:pPr>
              <w:jc w:val="center"/>
              <w:ind w:right="80"/>
              <w:spacing w:after="0"/>
              <w:rPr>
                <w:sz w:val="20"/>
                <w:szCs w:val="20"/>
                <w:color w:val="auto"/>
              </w:rPr>
            </w:pPr>
            <w:r>
              <w:rPr>
                <w:rFonts w:ascii="Arial" w:cs="Arial" w:eastAsia="Arial" w:hAnsi="Arial"/>
                <w:sz w:val="11"/>
                <w:szCs w:val="11"/>
                <w:color w:val="auto"/>
              </w:rPr>
              <w:t>Thereafter</w:t>
            </w:r>
          </w:p>
        </w:tc>
        <w:tc>
          <w:tcPr>
            <w:tcW w:w="1560" w:type="dxa"/>
            <w:vAlign w:val="bottom"/>
            <w:shd w:val="clear" w:color="auto" w:fill="CCEEFF"/>
          </w:tcPr>
          <w:p>
            <w:pPr>
              <w:jc w:val="right"/>
              <w:ind w:right="423"/>
              <w:spacing w:after="0"/>
              <w:rPr>
                <w:sz w:val="20"/>
                <w:szCs w:val="20"/>
                <w:color w:val="auto"/>
              </w:rPr>
            </w:pPr>
            <w:r>
              <w:rPr>
                <w:rFonts w:ascii="Arial" w:cs="Arial" w:eastAsia="Arial" w:hAnsi="Arial"/>
                <w:sz w:val="11"/>
                <w:szCs w:val="11"/>
                <w:color w:val="auto"/>
              </w:rPr>
              <w:t>10,398,273</w:t>
            </w:r>
          </w:p>
        </w:tc>
        <w:tc>
          <w:tcPr>
            <w:tcW w:w="60" w:type="dxa"/>
            <w:vAlign w:val="bottom"/>
            <w:shd w:val="clear" w:color="auto" w:fill="CCEEFF"/>
          </w:tcPr>
          <w:p>
            <w:pPr>
              <w:spacing w:after="0"/>
              <w:rPr>
                <w:sz w:val="12"/>
                <w:szCs w:val="12"/>
                <w:color w:val="auto"/>
              </w:rPr>
            </w:pPr>
          </w:p>
        </w:tc>
        <w:tc>
          <w:tcPr>
            <w:tcW w:w="1560" w:type="dxa"/>
            <w:vAlign w:val="bottom"/>
            <w:shd w:val="clear" w:color="auto" w:fill="CCEEFF"/>
          </w:tcPr>
          <w:p>
            <w:pPr>
              <w:jc w:val="right"/>
              <w:ind w:right="423"/>
              <w:spacing w:after="0"/>
              <w:rPr>
                <w:sz w:val="20"/>
                <w:szCs w:val="20"/>
                <w:color w:val="auto"/>
              </w:rPr>
            </w:pPr>
            <w:r>
              <w:rPr>
                <w:rFonts w:ascii="Arial" w:cs="Arial" w:eastAsia="Arial" w:hAnsi="Arial"/>
                <w:sz w:val="11"/>
                <w:szCs w:val="11"/>
                <w:color w:val="auto"/>
              </w:rPr>
              <w:t>26.4%</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ind w:left="460"/>
              <w:spacing w:after="0"/>
              <w:rPr>
                <w:sz w:val="20"/>
                <w:szCs w:val="20"/>
                <w:color w:val="auto"/>
              </w:rPr>
            </w:pPr>
            <w:r>
              <w:rPr>
                <w:rFonts w:ascii="Arial" w:cs="Arial" w:eastAsia="Arial" w:hAnsi="Arial"/>
                <w:sz w:val="11"/>
                <w:szCs w:val="11"/>
                <w:color w:val="auto"/>
              </w:rPr>
              <w:t>$</w:t>
            </w:r>
          </w:p>
        </w:tc>
        <w:tc>
          <w:tcPr>
            <w:tcW w:w="900" w:type="dxa"/>
            <w:vAlign w:val="bottom"/>
            <w:shd w:val="clear" w:color="auto" w:fill="CCEEFF"/>
          </w:tcPr>
          <w:p>
            <w:pPr>
              <w:jc w:val="right"/>
              <w:ind w:right="423"/>
              <w:spacing w:after="0"/>
              <w:rPr>
                <w:sz w:val="20"/>
                <w:szCs w:val="20"/>
                <w:color w:val="auto"/>
              </w:rPr>
            </w:pPr>
            <w:r>
              <w:rPr>
                <w:rFonts w:ascii="Arial" w:cs="Arial" w:eastAsia="Arial" w:hAnsi="Arial"/>
                <w:sz w:val="11"/>
                <w:szCs w:val="11"/>
                <w:color w:val="auto"/>
              </w:rPr>
              <w:t>65.96</w:t>
            </w:r>
          </w:p>
        </w:tc>
        <w:tc>
          <w:tcPr>
            <w:tcW w:w="80" w:type="dxa"/>
            <w:vAlign w:val="bottom"/>
            <w:shd w:val="clear" w:color="auto" w:fill="CCEEFF"/>
          </w:tcPr>
          <w:p>
            <w:pPr>
              <w:spacing w:after="0"/>
              <w:rPr>
                <w:sz w:val="12"/>
                <w:szCs w:val="12"/>
                <w:color w:val="auto"/>
              </w:rPr>
            </w:pPr>
          </w:p>
        </w:tc>
        <w:tc>
          <w:tcPr>
            <w:tcW w:w="1560" w:type="dxa"/>
            <w:vAlign w:val="bottom"/>
            <w:shd w:val="clear" w:color="auto" w:fill="CCEEFF"/>
          </w:tcPr>
          <w:p>
            <w:pPr>
              <w:jc w:val="right"/>
              <w:ind w:right="423"/>
              <w:spacing w:after="0"/>
              <w:rPr>
                <w:sz w:val="20"/>
                <w:szCs w:val="20"/>
                <w:color w:val="auto"/>
              </w:rPr>
            </w:pPr>
            <w:r>
              <w:rPr>
                <w:rFonts w:ascii="Arial" w:cs="Arial" w:eastAsia="Arial" w:hAnsi="Arial"/>
                <w:sz w:val="11"/>
                <w:szCs w:val="11"/>
                <w:color w:val="auto"/>
              </w:rPr>
              <w:t>31.0%</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900" w:hanging="262"/>
        <w:spacing w:after="0"/>
        <w:tabs>
          <w:tab w:leader="none" w:pos="900" w:val="left"/>
        </w:tabs>
        <w:numPr>
          <w:ilvl w:val="0"/>
          <w:numId w:val="76"/>
        </w:numPr>
        <w:rPr>
          <w:rFonts w:ascii="Arial" w:cs="Arial" w:eastAsia="Arial" w:hAnsi="Arial"/>
          <w:sz w:val="10"/>
          <w:szCs w:val="10"/>
          <w:color w:val="auto"/>
        </w:rPr>
      </w:pPr>
      <w:r>
        <w:rPr>
          <w:rFonts w:ascii="Arial" w:cs="Arial" w:eastAsia="Arial" w:hAnsi="Arial"/>
          <w:sz w:val="10"/>
          <w:szCs w:val="10"/>
          <w:color w:val="auto"/>
        </w:rPr>
        <w:t>Represents amounts in effect as of June 30, 2024.</w:t>
      </w:r>
    </w:p>
    <w:p>
      <w:pPr>
        <w:spacing w:after="0" w:line="17" w:lineRule="exact"/>
        <w:rPr>
          <w:rFonts w:ascii="Arial" w:cs="Arial" w:eastAsia="Arial" w:hAnsi="Arial"/>
          <w:sz w:val="10"/>
          <w:szCs w:val="10"/>
          <w:color w:val="auto"/>
        </w:rPr>
      </w:pPr>
    </w:p>
    <w:p>
      <w:pPr>
        <w:ind w:left="900" w:hanging="262"/>
        <w:spacing w:after="0"/>
        <w:tabs>
          <w:tab w:leader="none" w:pos="900" w:val="left"/>
        </w:tabs>
        <w:numPr>
          <w:ilvl w:val="0"/>
          <w:numId w:val="76"/>
        </w:numPr>
        <w:rPr>
          <w:rFonts w:ascii="Arial" w:cs="Arial" w:eastAsia="Arial" w:hAnsi="Arial"/>
          <w:sz w:val="10"/>
          <w:szCs w:val="10"/>
          <w:color w:val="auto"/>
        </w:rPr>
      </w:pPr>
      <w:r>
        <w:rPr>
          <w:rFonts w:ascii="Arial" w:cs="Arial" w:eastAsia="Arial" w:hAnsi="Arial"/>
          <w:sz w:val="10"/>
          <w:szCs w:val="10"/>
          <w:color w:val="auto"/>
        </w:rPr>
        <w:t>Excludes month-to-month leases aggregating 129,549 RSF as of June 30, 2024.</w:t>
      </w:r>
    </w:p>
    <w:p>
      <w:pPr>
        <w:spacing w:after="0" w:line="68" w:lineRule="exact"/>
        <w:rPr>
          <w:sz w:val="20"/>
          <w:szCs w:val="20"/>
          <w:color w:val="auto"/>
        </w:rPr>
      </w:pPr>
    </w:p>
    <w:p>
      <w:pPr>
        <w:ind w:left="900"/>
        <w:spacing w:after="0"/>
        <w:rPr>
          <w:sz w:val="20"/>
          <w:szCs w:val="20"/>
          <w:color w:val="auto"/>
        </w:rPr>
      </w:pPr>
      <w:r>
        <w:rPr>
          <w:rFonts w:ascii="Arial" w:cs="Arial" w:eastAsia="Arial" w:hAnsi="Arial"/>
          <w:sz w:val="13"/>
          <w:szCs w:val="13"/>
          <w:color w:val="auto"/>
        </w:rPr>
        <w:t>The following tables present our lease expirations by market for the remainder of 2024 and for 2025 as of June 30, 2024:</w:t>
      </w:r>
    </w:p>
    <w:p>
      <w:pPr>
        <w:spacing w:after="0" w:line="48" w:lineRule="exact"/>
        <w:rPr>
          <w:sz w:val="20"/>
          <w:szCs w:val="20"/>
          <w:color w:val="auto"/>
        </w:rPr>
      </w:pPr>
    </w:p>
    <w:tbl>
      <w:tblPr>
        <w:tblLayout w:type="fixed"/>
        <w:tblInd w:w="640" w:type="dxa"/>
        <w:tblCellMar>
          <w:top w:w="0" w:type="dxa"/>
          <w:left w:w="0" w:type="dxa"/>
          <w:bottom w:w="0" w:type="dxa"/>
          <w:right w:w="0" w:type="dxa"/>
        </w:tblCellMar>
      </w:tblPr>
      <w:tr>
        <w:trPr>
          <w:trHeight w:val="146"/>
        </w:trPr>
        <w:tc>
          <w:tcPr>
            <w:tcW w:w="1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2780" w:type="dxa"/>
            <w:vAlign w:val="bottom"/>
            <w:tcBorders>
              <w:bottom w:val="single" w:sz="8" w:color="auto"/>
            </w:tcBorders>
            <w:gridSpan w:val="6"/>
          </w:tcPr>
          <w:p>
            <w:pPr>
              <w:jc w:val="right"/>
              <w:ind w:right="443"/>
              <w:spacing w:after="0"/>
              <w:rPr>
                <w:sz w:val="20"/>
                <w:szCs w:val="20"/>
                <w:color w:val="auto"/>
              </w:rPr>
            </w:pPr>
            <w:r>
              <w:rPr>
                <w:rFonts w:ascii="Arial" w:cs="Arial" w:eastAsia="Arial" w:hAnsi="Arial"/>
                <w:sz w:val="11"/>
                <w:szCs w:val="11"/>
                <w:color w:val="auto"/>
              </w:rPr>
              <w:t>2024 Contractual Lease Expirations (in RSF)</w:t>
            </w:r>
          </w:p>
        </w:tc>
        <w:tc>
          <w:tcPr>
            <w:tcW w:w="1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1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780" w:type="dxa"/>
            <w:vAlign w:val="bottom"/>
            <w:gridSpan w:val="3"/>
          </w:tcPr>
          <w:p>
            <w:pPr>
              <w:jc w:val="right"/>
              <w:ind w:right="343"/>
              <w:spacing w:after="0" w:line="120" w:lineRule="exact"/>
              <w:rPr>
                <w:sz w:val="20"/>
                <w:szCs w:val="20"/>
                <w:color w:val="auto"/>
              </w:rPr>
            </w:pPr>
            <w:r>
              <w:rPr>
                <w:rFonts w:ascii="Arial" w:cs="Arial" w:eastAsia="Arial" w:hAnsi="Arial"/>
                <w:sz w:val="11"/>
                <w:szCs w:val="11"/>
                <w:color w:val="auto"/>
              </w:rPr>
              <w:t>Targeted for Future</w:t>
            </w: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1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780" w:type="dxa"/>
            <w:vAlign w:val="bottom"/>
            <w:tcBorders>
              <w:bottom w:val="single" w:sz="8" w:color="auto"/>
            </w:tcBorders>
            <w:gridSpan w:val="3"/>
          </w:tcPr>
          <w:p>
            <w:pPr>
              <w:jc w:val="right"/>
              <w:ind w:right="23"/>
              <w:spacing w:after="0" w:line="131" w:lineRule="exact"/>
              <w:rPr>
                <w:sz w:val="20"/>
                <w:szCs w:val="20"/>
                <w:color w:val="auto"/>
              </w:rPr>
            </w:pPr>
            <w:r>
              <w:rPr>
                <w:rFonts w:ascii="Arial" w:cs="Arial" w:eastAsia="Arial" w:hAnsi="Arial"/>
                <w:sz w:val="11"/>
                <w:szCs w:val="11"/>
                <w:color w:val="auto"/>
              </w:rPr>
              <w:t>Development/Redevelopment</w:t>
            </w:r>
            <w:r>
              <w:rPr>
                <w:rFonts w:ascii="Arial" w:cs="Arial" w:eastAsia="Arial" w:hAnsi="Arial"/>
                <w:sz w:val="14"/>
                <w:szCs w:val="14"/>
                <w:color w:val="auto"/>
                <w:vertAlign w:val="superscript"/>
              </w:rPr>
              <w:t>(1)</w:t>
            </w: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center"/>
              <w:ind w:right="83"/>
              <w:spacing w:after="0"/>
              <w:rPr>
                <w:sz w:val="20"/>
                <w:szCs w:val="20"/>
                <w:color w:val="auto"/>
              </w:rPr>
            </w:pPr>
            <w:r>
              <w:rPr>
                <w:rFonts w:ascii="Arial" w:cs="Arial" w:eastAsia="Arial" w:hAnsi="Arial"/>
                <w:sz w:val="11"/>
                <w:szCs w:val="11"/>
                <w:color w:val="auto"/>
              </w:rPr>
              <w:t>Annual</w:t>
            </w:r>
          </w:p>
        </w:tc>
        <w:tc>
          <w:tcPr>
            <w:tcW w:w="0" w:type="dxa"/>
            <w:vAlign w:val="bottom"/>
          </w:tcPr>
          <w:p>
            <w:pPr>
              <w:spacing w:after="0"/>
              <w:rPr>
                <w:sz w:val="1"/>
                <w:szCs w:val="1"/>
                <w:color w:val="auto"/>
              </w:rPr>
            </w:pPr>
          </w:p>
        </w:tc>
      </w:tr>
      <w:tr>
        <w:trPr>
          <w:trHeight w:val="92"/>
        </w:trPr>
        <w:tc>
          <w:tcPr>
            <w:tcW w:w="160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color w:val="auto"/>
              </w:rPr>
              <w:t>Negotiating/</w:t>
            </w:r>
          </w:p>
        </w:tc>
        <w:tc>
          <w:tcPr>
            <w:tcW w:w="40" w:type="dxa"/>
            <w:vAlign w:val="bottom"/>
          </w:tcPr>
          <w:p>
            <w:pPr>
              <w:spacing w:after="0"/>
              <w:rPr>
                <w:sz w:val="7"/>
                <w:szCs w:val="7"/>
                <w:color w:val="auto"/>
              </w:rPr>
            </w:pPr>
          </w:p>
        </w:tc>
        <w:tc>
          <w:tcPr>
            <w:tcW w:w="1100" w:type="dxa"/>
            <w:vAlign w:val="bottom"/>
            <w:gridSpan w:val="2"/>
          </w:tcPr>
          <w:p>
            <w:pPr>
              <w:jc w:val="center"/>
              <w:ind w:right="40"/>
              <w:spacing w:after="0" w:line="92" w:lineRule="exact"/>
              <w:rPr>
                <w:sz w:val="20"/>
                <w:szCs w:val="20"/>
                <w:color w:val="auto"/>
              </w:rPr>
            </w:pPr>
            <w:r>
              <w:rPr>
                <w:rFonts w:ascii="Arial" w:cs="Arial" w:eastAsia="Arial" w:hAnsi="Arial"/>
                <w:sz w:val="10"/>
                <w:szCs w:val="10"/>
                <w:color w:val="auto"/>
              </w:rPr>
              <w:t>Committed</w:t>
            </w:r>
          </w:p>
        </w:tc>
        <w:tc>
          <w:tcPr>
            <w:tcW w:w="6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jc w:val="center"/>
              <w:spacing w:after="0" w:line="92" w:lineRule="exact"/>
              <w:rPr>
                <w:sz w:val="20"/>
                <w:szCs w:val="20"/>
                <w:color w:val="auto"/>
              </w:rPr>
            </w:pPr>
            <w:r>
              <w:rPr>
                <w:rFonts w:ascii="Arial" w:cs="Arial" w:eastAsia="Arial" w:hAnsi="Arial"/>
                <w:sz w:val="10"/>
                <w:szCs w:val="10"/>
                <w:color w:val="auto"/>
              </w:rPr>
              <w:t>Remaining</w:t>
            </w: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jc w:val="center"/>
              <w:ind w:right="63"/>
              <w:spacing w:after="0" w:line="92" w:lineRule="exact"/>
              <w:rPr>
                <w:sz w:val="20"/>
                <w:szCs w:val="20"/>
                <w:color w:val="auto"/>
              </w:rPr>
            </w:pPr>
            <w:r>
              <w:rPr>
                <w:rFonts w:ascii="Arial" w:cs="Arial" w:eastAsia="Arial" w:hAnsi="Arial"/>
                <w:sz w:val="10"/>
                <w:szCs w:val="10"/>
                <w:color w:val="auto"/>
              </w:rPr>
              <w:t>Rental</w:t>
            </w:r>
          </w:p>
        </w:tc>
        <w:tc>
          <w:tcPr>
            <w:tcW w:w="0" w:type="dxa"/>
            <w:vAlign w:val="bottom"/>
          </w:tcPr>
          <w:p>
            <w:pPr>
              <w:spacing w:after="0"/>
              <w:rPr>
                <w:sz w:val="1"/>
                <w:szCs w:val="1"/>
                <w:color w:val="auto"/>
              </w:rPr>
            </w:pPr>
          </w:p>
        </w:tc>
      </w:tr>
      <w:tr>
        <w:trPr>
          <w:trHeight w:val="114"/>
        </w:trPr>
        <w:tc>
          <w:tcPr>
            <w:tcW w:w="1600" w:type="dxa"/>
            <w:vAlign w:val="bottom"/>
            <w:vMerge w:val="restart"/>
          </w:tcPr>
          <w:p>
            <w:pPr>
              <w:ind w:left="640"/>
              <w:spacing w:after="0"/>
              <w:rPr>
                <w:sz w:val="20"/>
                <w:szCs w:val="20"/>
                <w:color w:val="auto"/>
              </w:rPr>
            </w:pPr>
            <w:r>
              <w:rPr>
                <w:rFonts w:ascii="Arial" w:cs="Arial" w:eastAsia="Arial" w:hAnsi="Arial"/>
                <w:sz w:val="11"/>
                <w:szCs w:val="11"/>
                <w:color w:val="auto"/>
              </w:rPr>
              <w:t>Market</w:t>
            </w:r>
          </w:p>
        </w:tc>
        <w:tc>
          <w:tcPr>
            <w:tcW w:w="60" w:type="dxa"/>
            <w:vAlign w:val="bottom"/>
            <w:vMerge w:val="restart"/>
          </w:tcPr>
          <w:p>
            <w:pPr>
              <w:spacing w:after="0"/>
              <w:rPr>
                <w:sz w:val="9"/>
                <w:szCs w:val="9"/>
                <w:color w:val="auto"/>
              </w:rPr>
            </w:pPr>
          </w:p>
        </w:tc>
        <w:tc>
          <w:tcPr>
            <w:tcW w:w="700" w:type="dxa"/>
            <w:vAlign w:val="bottom"/>
            <w:vMerge w:val="restart"/>
          </w:tcPr>
          <w:p>
            <w:pPr>
              <w:jc w:val="right"/>
              <w:ind w:right="103"/>
              <w:spacing w:after="0"/>
              <w:rPr>
                <w:sz w:val="20"/>
                <w:szCs w:val="20"/>
                <w:color w:val="auto"/>
              </w:rPr>
            </w:pPr>
            <w:r>
              <w:rPr>
                <w:rFonts w:ascii="Arial" w:cs="Arial" w:eastAsia="Arial" w:hAnsi="Arial"/>
                <w:sz w:val="11"/>
                <w:szCs w:val="11"/>
                <w:color w:val="auto"/>
              </w:rPr>
              <w:t>Leased</w:t>
            </w:r>
          </w:p>
        </w:tc>
        <w:tc>
          <w:tcPr>
            <w:tcW w:w="60" w:type="dxa"/>
            <w:vAlign w:val="bottom"/>
            <w:vMerge w:val="restart"/>
          </w:tcPr>
          <w:p>
            <w:pPr>
              <w:spacing w:after="0"/>
              <w:rPr>
                <w:sz w:val="9"/>
                <w:szCs w:val="9"/>
                <w:color w:val="auto"/>
              </w:rPr>
            </w:pPr>
          </w:p>
        </w:tc>
        <w:tc>
          <w:tcPr>
            <w:tcW w:w="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100" w:type="dxa"/>
            <w:vAlign w:val="bottom"/>
            <w:gridSpan w:val="2"/>
          </w:tcPr>
          <w:p>
            <w:pPr>
              <w:jc w:val="center"/>
              <w:ind w:right="40"/>
              <w:spacing w:after="0" w:line="114" w:lineRule="exact"/>
              <w:rPr>
                <w:sz w:val="20"/>
                <w:szCs w:val="20"/>
                <w:color w:val="auto"/>
              </w:rPr>
            </w:pPr>
            <w:r>
              <w:rPr>
                <w:rFonts w:ascii="Arial" w:cs="Arial" w:eastAsia="Arial" w:hAnsi="Arial"/>
                <w:sz w:val="11"/>
                <w:szCs w:val="11"/>
                <w:color w:val="auto"/>
              </w:rPr>
              <w:t>Near-Term/</w:t>
            </w:r>
          </w:p>
        </w:tc>
        <w:tc>
          <w:tcPr>
            <w:tcW w:w="680" w:type="dxa"/>
            <w:vAlign w:val="bottom"/>
            <w:vMerge w:val="restart"/>
          </w:tcPr>
          <w:p>
            <w:pPr>
              <w:jc w:val="center"/>
              <w:spacing w:after="0"/>
              <w:rPr>
                <w:sz w:val="20"/>
                <w:szCs w:val="20"/>
                <w:color w:val="auto"/>
              </w:rPr>
            </w:pPr>
            <w:r>
              <w:rPr>
                <w:rFonts w:ascii="Arial" w:cs="Arial" w:eastAsia="Arial" w:hAnsi="Arial"/>
                <w:sz w:val="11"/>
                <w:szCs w:val="11"/>
                <w:color w:val="auto"/>
              </w:rPr>
              <w:t>Future</w:t>
            </w:r>
          </w:p>
        </w:tc>
        <w:tc>
          <w:tcPr>
            <w:tcW w:w="160" w:type="dxa"/>
            <w:vAlign w:val="bottom"/>
          </w:tcPr>
          <w:p>
            <w:pPr>
              <w:spacing w:after="0"/>
              <w:rPr>
                <w:sz w:val="9"/>
                <w:szCs w:val="9"/>
                <w:color w:val="auto"/>
              </w:rPr>
            </w:pPr>
          </w:p>
        </w:tc>
        <w:tc>
          <w:tcPr>
            <w:tcW w:w="800" w:type="dxa"/>
            <w:vAlign w:val="bottom"/>
          </w:tcPr>
          <w:p>
            <w:pPr>
              <w:jc w:val="center"/>
              <w:spacing w:after="0" w:line="114" w:lineRule="exact"/>
              <w:rPr>
                <w:sz w:val="20"/>
                <w:szCs w:val="20"/>
                <w:color w:val="auto"/>
              </w:rPr>
            </w:pPr>
            <w:r>
              <w:rPr>
                <w:rFonts w:ascii="Arial" w:cs="Arial" w:eastAsia="Arial" w:hAnsi="Arial"/>
                <w:sz w:val="11"/>
                <w:szCs w:val="11"/>
                <w:color w:val="auto"/>
              </w:rPr>
              <w:t>Expiring</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vMerge w:val="restart"/>
          </w:tcPr>
          <w:p>
            <w:pPr>
              <w:jc w:val="center"/>
              <w:ind w:right="63"/>
              <w:spacing w:after="0"/>
              <w:rPr>
                <w:sz w:val="20"/>
                <w:szCs w:val="20"/>
                <w:color w:val="auto"/>
              </w:rPr>
            </w:pPr>
            <w:r>
              <w:rPr>
                <w:rFonts w:ascii="Arial" w:cs="Arial" w:eastAsia="Arial" w:hAnsi="Arial"/>
                <w:sz w:val="11"/>
                <w:szCs w:val="11"/>
                <w:color w:val="auto"/>
                <w:w w:val="94"/>
              </w:rPr>
              <w:t>Total</w:t>
            </w:r>
            <w:r>
              <w:rPr>
                <w:rFonts w:ascii="Arial" w:cs="Arial" w:eastAsia="Arial" w:hAnsi="Arial"/>
                <w:sz w:val="14"/>
                <w:szCs w:val="14"/>
                <w:color w:val="auto"/>
                <w:w w:val="94"/>
                <w:vertAlign w:val="superscript"/>
              </w:rPr>
              <w:t>(3)</w:t>
            </w: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jc w:val="center"/>
              <w:ind w:right="63"/>
              <w:spacing w:after="0" w:line="114" w:lineRule="exact"/>
              <w:rPr>
                <w:sz w:val="20"/>
                <w:szCs w:val="20"/>
                <w:color w:val="auto"/>
              </w:rPr>
            </w:pPr>
            <w:r>
              <w:rPr>
                <w:rFonts w:ascii="Arial" w:cs="Arial" w:eastAsia="Arial" w:hAnsi="Arial"/>
                <w:sz w:val="11"/>
                <w:szCs w:val="11"/>
                <w:color w:val="auto"/>
              </w:rPr>
              <w:t>Revenue</w:t>
            </w:r>
          </w:p>
        </w:tc>
        <w:tc>
          <w:tcPr>
            <w:tcW w:w="0" w:type="dxa"/>
            <w:vAlign w:val="bottom"/>
          </w:tcPr>
          <w:p>
            <w:pPr>
              <w:spacing w:after="0"/>
              <w:rPr>
                <w:sz w:val="1"/>
                <w:szCs w:val="1"/>
                <w:color w:val="auto"/>
              </w:rPr>
            </w:pPr>
          </w:p>
        </w:tc>
      </w:tr>
      <w:tr>
        <w:trPr>
          <w:trHeight w:val="150"/>
        </w:trPr>
        <w:tc>
          <w:tcPr>
            <w:tcW w:w="1600" w:type="dxa"/>
            <w:vAlign w:val="bottom"/>
            <w:tcBorders>
              <w:bottom w:val="single" w:sz="8" w:color="auto"/>
            </w:tcBorders>
            <w:vMerge w:val="continue"/>
          </w:tcPr>
          <w:p>
            <w:pPr>
              <w:spacing w:after="0"/>
              <w:rPr>
                <w:sz w:val="13"/>
                <w:szCs w:val="13"/>
                <w:color w:val="auto"/>
              </w:rPr>
            </w:pPr>
          </w:p>
        </w:tc>
        <w:tc>
          <w:tcPr>
            <w:tcW w:w="60" w:type="dxa"/>
            <w:vAlign w:val="bottom"/>
            <w:tcBorders>
              <w:bottom w:val="single" w:sz="8" w:color="CCEEFF"/>
            </w:tcBorders>
            <w:vMerge w:val="continue"/>
          </w:tcPr>
          <w:p>
            <w:pPr>
              <w:spacing w:after="0"/>
              <w:rPr>
                <w:sz w:val="13"/>
                <w:szCs w:val="13"/>
                <w:color w:val="auto"/>
              </w:rPr>
            </w:pPr>
          </w:p>
        </w:tc>
        <w:tc>
          <w:tcPr>
            <w:tcW w:w="700" w:type="dxa"/>
            <w:vAlign w:val="bottom"/>
            <w:tcBorders>
              <w:bottom w:val="single" w:sz="8" w:color="auto"/>
            </w:tcBorders>
            <w:vMerge w:val="continue"/>
          </w:tcPr>
          <w:p>
            <w:pPr>
              <w:spacing w:after="0"/>
              <w:rPr>
                <w:sz w:val="13"/>
                <w:szCs w:val="13"/>
                <w:color w:val="auto"/>
              </w:rPr>
            </w:pPr>
          </w:p>
        </w:tc>
        <w:tc>
          <w:tcPr>
            <w:tcW w:w="60" w:type="dxa"/>
            <w:vAlign w:val="bottom"/>
            <w:tcBorders>
              <w:bottom w:val="single" w:sz="8" w:color="CCEEFF"/>
            </w:tcBorders>
            <w:vMerge w:val="continue"/>
          </w:tcPr>
          <w:p>
            <w:pPr>
              <w:spacing w:after="0"/>
              <w:rPr>
                <w:sz w:val="13"/>
                <w:szCs w:val="13"/>
                <w:color w:val="auto"/>
              </w:rPr>
            </w:pPr>
          </w:p>
        </w:tc>
        <w:tc>
          <w:tcPr>
            <w:tcW w:w="720" w:type="dxa"/>
            <w:vAlign w:val="bottom"/>
            <w:tcBorders>
              <w:bottom w:val="single" w:sz="8" w:color="auto"/>
            </w:tcBorders>
          </w:tcPr>
          <w:p>
            <w:pPr>
              <w:ind w:left="60"/>
              <w:spacing w:after="0"/>
              <w:rPr>
                <w:sz w:val="20"/>
                <w:szCs w:val="20"/>
                <w:color w:val="auto"/>
              </w:rPr>
            </w:pPr>
            <w:r>
              <w:rPr>
                <w:rFonts w:ascii="Arial" w:cs="Arial" w:eastAsia="Arial" w:hAnsi="Arial"/>
                <w:sz w:val="11"/>
                <w:szCs w:val="11"/>
                <w:color w:val="auto"/>
              </w:rPr>
              <w:t>Anticipating</w:t>
            </w:r>
          </w:p>
        </w:tc>
        <w:tc>
          <w:tcPr>
            <w:tcW w:w="40" w:type="dxa"/>
            <w:vAlign w:val="bottom"/>
            <w:tcBorders>
              <w:bottom w:val="single" w:sz="8" w:color="CCEEFF"/>
            </w:tcBorders>
          </w:tcPr>
          <w:p>
            <w:pPr>
              <w:spacing w:after="0"/>
              <w:rPr>
                <w:sz w:val="13"/>
                <w:szCs w:val="13"/>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rPr>
              <w:t>Priority Anticipated</w:t>
            </w:r>
          </w:p>
        </w:tc>
        <w:tc>
          <w:tcPr>
            <w:tcW w:w="6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vMerge w:val="continue"/>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tcPr>
          <w:p>
            <w:pPr>
              <w:jc w:val="center"/>
              <w:spacing w:after="0" w:line="151" w:lineRule="exact"/>
              <w:rPr>
                <w:sz w:val="20"/>
                <w:szCs w:val="20"/>
                <w:color w:val="auto"/>
              </w:rPr>
            </w:pPr>
            <w:r>
              <w:rPr>
                <w:rFonts w:ascii="Arial" w:cs="Arial" w:eastAsia="Arial" w:hAnsi="Arial"/>
                <w:sz w:val="11"/>
                <w:szCs w:val="11"/>
                <w:color w:val="auto"/>
                <w:w w:val="98"/>
              </w:rPr>
              <w:t>Leases</w:t>
            </w:r>
            <w:r>
              <w:rPr>
                <w:rFonts w:ascii="Arial" w:cs="Arial" w:eastAsia="Arial" w:hAnsi="Arial"/>
                <w:sz w:val="14"/>
                <w:szCs w:val="14"/>
                <w:color w:val="auto"/>
                <w:w w:val="98"/>
                <w:vertAlign w:val="superscript"/>
              </w:rPr>
              <w:t>(2)</w:t>
            </w:r>
          </w:p>
        </w:tc>
        <w:tc>
          <w:tcPr>
            <w:tcW w:w="1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vMerge w:val="continue"/>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760" w:type="dxa"/>
            <w:vAlign w:val="bottom"/>
            <w:tcBorders>
              <w:bottom w:val="single" w:sz="8" w:color="auto"/>
            </w:tcBorders>
            <w:gridSpan w:val="2"/>
          </w:tcPr>
          <w:p>
            <w:pPr>
              <w:jc w:val="center"/>
              <w:spacing w:after="0" w:line="151" w:lineRule="exact"/>
              <w:rPr>
                <w:sz w:val="20"/>
                <w:szCs w:val="20"/>
                <w:color w:val="auto"/>
              </w:rPr>
            </w:pPr>
            <w:r>
              <w:rPr>
                <w:rFonts w:ascii="Arial" w:cs="Arial" w:eastAsia="Arial" w:hAnsi="Arial"/>
                <w:sz w:val="11"/>
                <w:szCs w:val="11"/>
                <w:color w:val="auto"/>
                <w:w w:val="97"/>
              </w:rPr>
              <w:t>(per RSF)</w:t>
            </w:r>
            <w:r>
              <w:rPr>
                <w:rFonts w:ascii="Arial" w:cs="Arial" w:eastAsia="Arial" w:hAnsi="Arial"/>
                <w:sz w:val="14"/>
                <w:szCs w:val="14"/>
                <w:color w:val="auto"/>
                <w:w w:val="97"/>
                <w:vertAlign w:val="superscript"/>
              </w:rPr>
              <w:t>(4)</w:t>
            </w:r>
          </w:p>
        </w:tc>
        <w:tc>
          <w:tcPr>
            <w:tcW w:w="0" w:type="dxa"/>
            <w:vAlign w:val="bottom"/>
          </w:tcPr>
          <w:p>
            <w:pPr>
              <w:spacing w:after="0"/>
              <w:rPr>
                <w:sz w:val="1"/>
                <w:szCs w:val="1"/>
                <w:color w:val="auto"/>
              </w:rPr>
            </w:pPr>
          </w:p>
        </w:tc>
      </w:tr>
      <w:tr>
        <w:trPr>
          <w:trHeight w:val="141"/>
        </w:trPr>
        <w:tc>
          <w:tcPr>
            <w:tcW w:w="1660" w:type="dxa"/>
            <w:vAlign w:val="bottom"/>
            <w:gridSpan w:val="2"/>
            <w:shd w:val="clear" w:color="auto" w:fill="CCEEFF"/>
          </w:tcPr>
          <w:p>
            <w:pPr>
              <w:ind w:left="60"/>
              <w:spacing w:after="0"/>
              <w:rPr>
                <w:sz w:val="20"/>
                <w:szCs w:val="20"/>
                <w:color w:val="auto"/>
              </w:rPr>
            </w:pPr>
            <w:r>
              <w:rPr>
                <w:rFonts w:ascii="Arial" w:cs="Arial" w:eastAsia="Arial" w:hAnsi="Arial"/>
                <w:sz w:val="11"/>
                <w:szCs w:val="11"/>
                <w:color w:val="auto"/>
              </w:rPr>
              <w:t>Greater Boston</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14,075</w:t>
            </w: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57,179</w:t>
            </w:r>
          </w:p>
        </w:tc>
        <w:tc>
          <w:tcPr>
            <w:tcW w:w="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104,500</w:t>
            </w: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210,588</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386,342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78.66</w:t>
            </w:r>
          </w:p>
        </w:tc>
        <w:tc>
          <w:tcPr>
            <w:tcW w:w="0" w:type="dxa"/>
            <w:vAlign w:val="bottom"/>
          </w:tcPr>
          <w:p>
            <w:pPr>
              <w:spacing w:after="0"/>
              <w:rPr>
                <w:sz w:val="1"/>
                <w:szCs w:val="1"/>
                <w:color w:val="auto"/>
              </w:rPr>
            </w:pPr>
          </w:p>
        </w:tc>
      </w:tr>
      <w:tr>
        <w:trPr>
          <w:trHeight w:val="161"/>
        </w:trPr>
        <w:tc>
          <w:tcPr>
            <w:tcW w:w="1660" w:type="dxa"/>
            <w:vAlign w:val="bottom"/>
            <w:gridSpan w:val="2"/>
          </w:tcPr>
          <w:p>
            <w:pPr>
              <w:ind w:left="60"/>
              <w:spacing w:after="0"/>
              <w:rPr>
                <w:sz w:val="20"/>
                <w:szCs w:val="20"/>
                <w:color w:val="auto"/>
              </w:rPr>
            </w:pPr>
            <w:r>
              <w:rPr>
                <w:rFonts w:ascii="Arial" w:cs="Arial" w:eastAsia="Arial" w:hAnsi="Arial"/>
                <w:sz w:val="11"/>
                <w:szCs w:val="11"/>
                <w:color w:val="auto"/>
              </w:rPr>
              <w:t>San Francisco Bay Area</w:t>
            </w:r>
          </w:p>
        </w:tc>
        <w:tc>
          <w:tcPr>
            <w:tcW w:w="7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58,517</w:t>
            </w:r>
          </w:p>
        </w:tc>
        <w:tc>
          <w:tcPr>
            <w:tcW w:w="1080" w:type="dxa"/>
            <w:vAlign w:val="bottom"/>
            <w:gridSpan w:val="2"/>
          </w:tcPr>
          <w:p>
            <w:pPr>
              <w:jc w:val="right"/>
              <w:ind w:right="143"/>
              <w:spacing w:after="0"/>
              <w:rPr>
                <w:sz w:val="20"/>
                <w:szCs w:val="20"/>
                <w:color w:val="auto"/>
              </w:rPr>
            </w:pPr>
            <w:r>
              <w:rPr>
                <w:rFonts w:ascii="Arial" w:cs="Arial" w:eastAsia="Arial" w:hAnsi="Arial"/>
                <w:sz w:val="11"/>
                <w:szCs w:val="11"/>
                <w:color w:val="auto"/>
              </w:rPr>
              <w:t>107,250</w:t>
            </w:r>
          </w:p>
        </w:tc>
        <w:tc>
          <w:tcPr>
            <w:tcW w:w="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252,300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ind w:right="3"/>
              <w:spacing w:after="0"/>
              <w:rPr>
                <w:sz w:val="20"/>
                <w:szCs w:val="20"/>
                <w:color w:val="auto"/>
              </w:rPr>
            </w:pPr>
            <w:r>
              <w:rPr>
                <w:rFonts w:ascii="Arial" w:cs="Arial" w:eastAsia="Arial" w:hAnsi="Arial"/>
                <w:sz w:val="11"/>
                <w:szCs w:val="11"/>
                <w:color w:val="auto"/>
              </w:rPr>
              <w:t>418,067</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55.48</w:t>
            </w:r>
          </w:p>
        </w:tc>
        <w:tc>
          <w:tcPr>
            <w:tcW w:w="0" w:type="dxa"/>
            <w:vAlign w:val="bottom"/>
          </w:tcPr>
          <w:p>
            <w:pPr>
              <w:spacing w:after="0"/>
              <w:rPr>
                <w:sz w:val="1"/>
                <w:szCs w:val="1"/>
                <w:color w:val="auto"/>
              </w:rPr>
            </w:pPr>
          </w:p>
        </w:tc>
      </w:tr>
      <w:tr>
        <w:trPr>
          <w:trHeight w:val="161"/>
        </w:trPr>
        <w:tc>
          <w:tcPr>
            <w:tcW w:w="1660" w:type="dxa"/>
            <w:vAlign w:val="bottom"/>
            <w:gridSpan w:val="2"/>
            <w:shd w:val="clear" w:color="auto" w:fill="CCEEFF"/>
          </w:tcPr>
          <w:p>
            <w:pPr>
              <w:ind w:left="60"/>
              <w:spacing w:after="0"/>
              <w:rPr>
                <w:sz w:val="20"/>
                <w:szCs w:val="20"/>
                <w:color w:val="auto"/>
              </w:rPr>
            </w:pPr>
            <w:r>
              <w:rPr>
                <w:rFonts w:ascii="Arial" w:cs="Arial" w:eastAsia="Arial" w:hAnsi="Arial"/>
                <w:sz w:val="11"/>
                <w:szCs w:val="11"/>
                <w:color w:val="auto"/>
              </w:rPr>
              <w:t>San Diego</w:t>
            </w:r>
          </w:p>
        </w:tc>
        <w:tc>
          <w:tcPr>
            <w:tcW w:w="7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27,119</w:t>
            </w: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226,144</w:t>
            </w: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17,408</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270,671</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29.33</w:t>
            </w:r>
          </w:p>
        </w:tc>
        <w:tc>
          <w:tcPr>
            <w:tcW w:w="0" w:type="dxa"/>
            <w:vAlign w:val="bottom"/>
          </w:tcPr>
          <w:p>
            <w:pPr>
              <w:spacing w:after="0"/>
              <w:rPr>
                <w:sz w:val="1"/>
                <w:szCs w:val="1"/>
                <w:color w:val="auto"/>
              </w:rPr>
            </w:pPr>
          </w:p>
        </w:tc>
      </w:tr>
      <w:tr>
        <w:trPr>
          <w:trHeight w:val="161"/>
        </w:trPr>
        <w:tc>
          <w:tcPr>
            <w:tcW w:w="1660" w:type="dxa"/>
            <w:vAlign w:val="bottom"/>
            <w:gridSpan w:val="2"/>
          </w:tcPr>
          <w:p>
            <w:pPr>
              <w:ind w:left="60"/>
              <w:spacing w:after="0"/>
              <w:rPr>
                <w:sz w:val="20"/>
                <w:szCs w:val="20"/>
                <w:color w:val="auto"/>
              </w:rPr>
            </w:pPr>
            <w:r>
              <w:rPr>
                <w:rFonts w:ascii="Arial" w:cs="Arial" w:eastAsia="Arial" w:hAnsi="Arial"/>
                <w:sz w:val="11"/>
                <w:szCs w:val="11"/>
                <w:color w:val="auto"/>
              </w:rPr>
              <w:t>Seattle</w:t>
            </w:r>
          </w:p>
        </w:tc>
        <w:tc>
          <w:tcPr>
            <w:tcW w:w="700" w:type="dxa"/>
            <w:vAlign w:val="bottom"/>
          </w:tcPr>
          <w:p>
            <w:pPr>
              <w:jc w:val="right"/>
              <w:spacing w:after="0"/>
              <w:rPr>
                <w:sz w:val="20"/>
                <w:szCs w:val="20"/>
                <w:color w:val="auto"/>
              </w:rPr>
            </w:pPr>
            <w:r>
              <w:rPr>
                <w:rFonts w:ascii="Arial" w:cs="Arial" w:eastAsia="Arial" w:hAnsi="Arial"/>
                <w:sz w:val="11"/>
                <w:szCs w:val="11"/>
                <w:color w:val="auto"/>
              </w:rPr>
              <w:t>18,107</w:t>
            </w:r>
          </w:p>
        </w:tc>
        <w:tc>
          <w:tcPr>
            <w:tcW w:w="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4"/>
                <w:szCs w:val="14"/>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800" w:type="dxa"/>
            <w:vAlign w:val="bottom"/>
          </w:tcPr>
          <w:p>
            <w:pPr>
              <w:jc w:val="right"/>
              <w:ind w:right="3"/>
              <w:spacing w:after="0"/>
              <w:rPr>
                <w:sz w:val="20"/>
                <w:szCs w:val="20"/>
                <w:color w:val="auto"/>
              </w:rPr>
            </w:pPr>
            <w:r>
              <w:rPr>
                <w:rFonts w:ascii="Arial" w:cs="Arial" w:eastAsia="Arial" w:hAnsi="Arial"/>
                <w:sz w:val="11"/>
                <w:szCs w:val="11"/>
                <w:color w:val="auto"/>
              </w:rPr>
              <w:t>111,263</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ind w:right="3"/>
              <w:spacing w:after="0"/>
              <w:rPr>
                <w:sz w:val="20"/>
                <w:szCs w:val="20"/>
                <w:color w:val="auto"/>
              </w:rPr>
            </w:pPr>
            <w:r>
              <w:rPr>
                <w:rFonts w:ascii="Arial" w:cs="Arial" w:eastAsia="Arial" w:hAnsi="Arial"/>
                <w:sz w:val="11"/>
                <w:szCs w:val="11"/>
                <w:color w:val="auto"/>
              </w:rPr>
              <w:t>129,370</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20.78</w:t>
            </w:r>
          </w:p>
        </w:tc>
        <w:tc>
          <w:tcPr>
            <w:tcW w:w="0" w:type="dxa"/>
            <w:vAlign w:val="bottom"/>
          </w:tcPr>
          <w:p>
            <w:pPr>
              <w:spacing w:after="0"/>
              <w:rPr>
                <w:sz w:val="1"/>
                <w:szCs w:val="1"/>
                <w:color w:val="auto"/>
              </w:rPr>
            </w:pPr>
          </w:p>
        </w:tc>
      </w:tr>
      <w:tr>
        <w:trPr>
          <w:trHeight w:val="161"/>
        </w:trPr>
        <w:tc>
          <w:tcPr>
            <w:tcW w:w="1660" w:type="dxa"/>
            <w:vAlign w:val="bottom"/>
            <w:gridSpan w:val="2"/>
            <w:shd w:val="clear" w:color="auto" w:fill="CCEEFF"/>
          </w:tcPr>
          <w:p>
            <w:pPr>
              <w:ind w:left="60"/>
              <w:spacing w:after="0"/>
              <w:rPr>
                <w:sz w:val="20"/>
                <w:szCs w:val="20"/>
                <w:color w:val="auto"/>
              </w:rPr>
            </w:pPr>
            <w:r>
              <w:rPr>
                <w:rFonts w:ascii="Arial" w:cs="Arial" w:eastAsia="Arial" w:hAnsi="Arial"/>
                <w:sz w:val="11"/>
                <w:szCs w:val="11"/>
                <w:color w:val="auto"/>
              </w:rPr>
              <w:t>Maryland</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10,919</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10,919</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5.62</w:t>
            </w:r>
          </w:p>
        </w:tc>
        <w:tc>
          <w:tcPr>
            <w:tcW w:w="0" w:type="dxa"/>
            <w:vAlign w:val="bottom"/>
          </w:tcPr>
          <w:p>
            <w:pPr>
              <w:spacing w:after="0"/>
              <w:rPr>
                <w:sz w:val="1"/>
                <w:szCs w:val="1"/>
                <w:color w:val="auto"/>
              </w:rPr>
            </w:pPr>
          </w:p>
        </w:tc>
      </w:tr>
      <w:tr>
        <w:trPr>
          <w:trHeight w:val="161"/>
        </w:trPr>
        <w:tc>
          <w:tcPr>
            <w:tcW w:w="1660" w:type="dxa"/>
            <w:vAlign w:val="bottom"/>
            <w:gridSpan w:val="2"/>
          </w:tcPr>
          <w:p>
            <w:pPr>
              <w:ind w:left="60"/>
              <w:spacing w:after="0"/>
              <w:rPr>
                <w:sz w:val="20"/>
                <w:szCs w:val="20"/>
                <w:color w:val="auto"/>
              </w:rPr>
            </w:pPr>
            <w:r>
              <w:rPr>
                <w:rFonts w:ascii="Arial" w:cs="Arial" w:eastAsia="Arial" w:hAnsi="Arial"/>
                <w:sz w:val="11"/>
                <w:szCs w:val="11"/>
                <w:color w:val="auto"/>
              </w:rPr>
              <w:t>Research Triangle</w:t>
            </w:r>
          </w:p>
        </w:tc>
        <w:tc>
          <w:tcPr>
            <w:tcW w:w="7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10,478</w:t>
            </w:r>
          </w:p>
        </w:tc>
        <w:tc>
          <w:tcPr>
            <w:tcW w:w="40" w:type="dxa"/>
            <w:vAlign w:val="bottom"/>
          </w:tcPr>
          <w:p>
            <w:pPr>
              <w:spacing w:after="0"/>
              <w:rPr>
                <w:sz w:val="14"/>
                <w:szCs w:val="14"/>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18,439</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ind w:right="3"/>
              <w:spacing w:after="0"/>
              <w:rPr>
                <w:sz w:val="20"/>
                <w:szCs w:val="20"/>
                <w:color w:val="auto"/>
              </w:rPr>
            </w:pPr>
            <w:r>
              <w:rPr>
                <w:rFonts w:ascii="Arial" w:cs="Arial" w:eastAsia="Arial" w:hAnsi="Arial"/>
                <w:sz w:val="11"/>
                <w:szCs w:val="11"/>
                <w:color w:val="auto"/>
              </w:rPr>
              <w:t>28,917</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37.70</w:t>
            </w:r>
          </w:p>
        </w:tc>
        <w:tc>
          <w:tcPr>
            <w:tcW w:w="0" w:type="dxa"/>
            <w:vAlign w:val="bottom"/>
          </w:tcPr>
          <w:p>
            <w:pPr>
              <w:spacing w:after="0"/>
              <w:rPr>
                <w:sz w:val="1"/>
                <w:szCs w:val="1"/>
                <w:color w:val="auto"/>
              </w:rPr>
            </w:pPr>
          </w:p>
        </w:tc>
      </w:tr>
      <w:tr>
        <w:trPr>
          <w:trHeight w:val="161"/>
        </w:trPr>
        <w:tc>
          <w:tcPr>
            <w:tcW w:w="1660" w:type="dxa"/>
            <w:vAlign w:val="bottom"/>
            <w:gridSpan w:val="2"/>
            <w:shd w:val="clear" w:color="auto" w:fill="CCEEFF"/>
          </w:tcPr>
          <w:p>
            <w:pPr>
              <w:ind w:left="60"/>
              <w:spacing w:after="0"/>
              <w:rPr>
                <w:sz w:val="20"/>
                <w:szCs w:val="20"/>
                <w:color w:val="auto"/>
              </w:rPr>
            </w:pPr>
            <w:r>
              <w:rPr>
                <w:rFonts w:ascii="Arial" w:cs="Arial" w:eastAsia="Arial" w:hAnsi="Arial"/>
                <w:sz w:val="11"/>
                <w:szCs w:val="11"/>
                <w:color w:val="auto"/>
              </w:rPr>
              <w:t>New York City</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5,896</w:t>
            </w:r>
          </w:p>
        </w:tc>
        <w:tc>
          <w:tcPr>
            <w:tcW w:w="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355,792</w:t>
            </w:r>
          </w:p>
        </w:tc>
        <w:tc>
          <w:tcPr>
            <w:tcW w:w="160" w:type="dxa"/>
            <w:vAlign w:val="bottom"/>
            <w:shd w:val="clear" w:color="auto" w:fill="CCEEFF"/>
          </w:tcPr>
          <w:p>
            <w:pPr>
              <w:jc w:val="right"/>
              <w:spacing w:after="0"/>
              <w:rPr>
                <w:sz w:val="20"/>
                <w:szCs w:val="20"/>
                <w:color w:val="auto"/>
              </w:rPr>
            </w:pPr>
            <w:r>
              <w:rPr>
                <w:rFonts w:ascii="Arial" w:cs="Arial" w:eastAsia="Arial" w:hAnsi="Arial"/>
                <w:sz w:val="7"/>
                <w:szCs w:val="7"/>
                <w:color w:val="auto"/>
              </w:rPr>
              <w:t>(5)</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361,688</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53.71</w:t>
            </w:r>
          </w:p>
        </w:tc>
        <w:tc>
          <w:tcPr>
            <w:tcW w:w="0" w:type="dxa"/>
            <w:vAlign w:val="bottom"/>
          </w:tcPr>
          <w:p>
            <w:pPr>
              <w:spacing w:after="0"/>
              <w:rPr>
                <w:sz w:val="1"/>
                <w:szCs w:val="1"/>
                <w:color w:val="auto"/>
              </w:rPr>
            </w:pPr>
          </w:p>
        </w:tc>
      </w:tr>
      <w:tr>
        <w:trPr>
          <w:trHeight w:val="161"/>
        </w:trPr>
        <w:tc>
          <w:tcPr>
            <w:tcW w:w="1660" w:type="dxa"/>
            <w:vAlign w:val="bottom"/>
            <w:gridSpan w:val="2"/>
          </w:tcPr>
          <w:p>
            <w:pPr>
              <w:ind w:left="60"/>
              <w:spacing w:after="0"/>
              <w:rPr>
                <w:sz w:val="20"/>
                <w:szCs w:val="20"/>
                <w:color w:val="auto"/>
              </w:rPr>
            </w:pPr>
            <w:r>
              <w:rPr>
                <w:rFonts w:ascii="Arial" w:cs="Arial" w:eastAsia="Arial" w:hAnsi="Arial"/>
                <w:sz w:val="11"/>
                <w:szCs w:val="11"/>
                <w:color w:val="auto"/>
              </w:rPr>
              <w:t>Texas</w:t>
            </w:r>
          </w:p>
        </w:tc>
        <w:tc>
          <w:tcPr>
            <w:tcW w:w="7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4"/>
                <w:szCs w:val="14"/>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1"/>
        </w:trPr>
        <w:tc>
          <w:tcPr>
            <w:tcW w:w="1660" w:type="dxa"/>
            <w:vAlign w:val="bottom"/>
            <w:gridSpan w:val="2"/>
            <w:shd w:val="clear" w:color="auto" w:fill="CCEEFF"/>
          </w:tcPr>
          <w:p>
            <w:pPr>
              <w:ind w:left="60"/>
              <w:spacing w:after="0"/>
              <w:rPr>
                <w:sz w:val="20"/>
                <w:szCs w:val="20"/>
                <w:color w:val="auto"/>
              </w:rPr>
            </w:pPr>
            <w:r>
              <w:rPr>
                <w:rFonts w:ascii="Arial" w:cs="Arial" w:eastAsia="Arial" w:hAnsi="Arial"/>
                <w:sz w:val="11"/>
                <w:szCs w:val="11"/>
                <w:color w:val="auto"/>
              </w:rPr>
              <w:t>Canada</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13,321</w:t>
            </w: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13,321</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26.58</w:t>
            </w:r>
          </w:p>
        </w:tc>
        <w:tc>
          <w:tcPr>
            <w:tcW w:w="0" w:type="dxa"/>
            <w:vAlign w:val="bottom"/>
          </w:tcPr>
          <w:p>
            <w:pPr>
              <w:spacing w:after="0"/>
              <w:rPr>
                <w:sz w:val="1"/>
                <w:szCs w:val="1"/>
                <w:color w:val="auto"/>
              </w:rPr>
            </w:pPr>
          </w:p>
        </w:tc>
      </w:tr>
      <w:tr>
        <w:trPr>
          <w:trHeight w:val="161"/>
        </w:trPr>
        <w:tc>
          <w:tcPr>
            <w:tcW w:w="1660" w:type="dxa"/>
            <w:vAlign w:val="bottom"/>
            <w:tcBorders>
              <w:bottom w:val="single" w:sz="8" w:color="CCEEFF"/>
            </w:tcBorders>
            <w:gridSpan w:val="2"/>
          </w:tcPr>
          <w:p>
            <w:pPr>
              <w:ind w:left="60"/>
              <w:spacing w:after="0"/>
              <w:rPr>
                <w:sz w:val="20"/>
                <w:szCs w:val="20"/>
                <w:color w:val="auto"/>
              </w:rPr>
            </w:pPr>
            <w:r>
              <w:rPr>
                <w:rFonts w:ascii="Arial" w:cs="Arial" w:eastAsia="Arial" w:hAnsi="Arial"/>
                <w:sz w:val="11"/>
                <w:szCs w:val="11"/>
                <w:color w:val="auto"/>
              </w:rPr>
              <w:t>Non-cluster/other markets</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right"/>
              <w:ind w:right="143"/>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10,430</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10,430</w:t>
            </w:r>
          </w:p>
        </w:tc>
        <w:tc>
          <w:tcPr>
            <w:tcW w:w="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57.02</w:t>
            </w:r>
          </w:p>
        </w:tc>
        <w:tc>
          <w:tcPr>
            <w:tcW w:w="0" w:type="dxa"/>
            <w:vAlign w:val="bottom"/>
          </w:tcPr>
          <w:p>
            <w:pPr>
              <w:spacing w:after="0"/>
              <w:rPr>
                <w:sz w:val="1"/>
                <w:szCs w:val="1"/>
                <w:color w:val="auto"/>
              </w:rPr>
            </w:pPr>
          </w:p>
        </w:tc>
      </w:tr>
      <w:tr>
        <w:trPr>
          <w:trHeight w:val="140"/>
        </w:trPr>
        <w:tc>
          <w:tcPr>
            <w:tcW w:w="1660" w:type="dxa"/>
            <w:vAlign w:val="bottom"/>
            <w:tcBorders>
              <w:bottom w:val="single" w:sz="8" w:color="CCEEFF"/>
            </w:tcBorders>
            <w:gridSpan w:val="2"/>
            <w:shd w:val="clear" w:color="auto" w:fill="CCEEFF"/>
          </w:tcPr>
          <w:p>
            <w:pPr>
              <w:ind w:left="180"/>
              <w:spacing w:after="0" w:line="120" w:lineRule="exact"/>
              <w:rPr>
                <w:sz w:val="20"/>
                <w:szCs w:val="20"/>
                <w:color w:val="auto"/>
              </w:rPr>
            </w:pPr>
            <w:r>
              <w:rPr>
                <w:rFonts w:ascii="Arial" w:cs="Arial" w:eastAsia="Arial" w:hAnsi="Arial"/>
                <w:sz w:val="11"/>
                <w:szCs w:val="11"/>
                <w:color w:val="auto"/>
              </w:rPr>
              <w:t>Total</w:t>
            </w:r>
          </w:p>
        </w:tc>
        <w:tc>
          <w:tcPr>
            <w:tcW w:w="700" w:type="dxa"/>
            <w:vAlign w:val="bottom"/>
            <w:tcBorders>
              <w:bottom w:val="single" w:sz="8" w:color="auto"/>
            </w:tcBorders>
            <w:shd w:val="clear" w:color="auto" w:fill="CCEEFF"/>
          </w:tcPr>
          <w:p>
            <w:pPr>
              <w:jc w:val="right"/>
              <w:spacing w:after="0" w:line="120" w:lineRule="exact"/>
              <w:rPr>
                <w:sz w:val="20"/>
                <w:szCs w:val="20"/>
                <w:color w:val="auto"/>
              </w:rPr>
            </w:pPr>
            <w:r>
              <w:rPr>
                <w:rFonts w:ascii="Arial" w:cs="Arial" w:eastAsia="Arial" w:hAnsi="Arial"/>
                <w:sz w:val="11"/>
                <w:szCs w:val="11"/>
                <w:color w:val="auto"/>
              </w:rPr>
              <w:t>72,622</w:t>
            </w:r>
          </w:p>
        </w:tc>
        <w:tc>
          <w:tcPr>
            <w:tcW w:w="6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20" w:lineRule="exact"/>
              <w:rPr>
                <w:sz w:val="20"/>
                <w:szCs w:val="20"/>
                <w:color w:val="auto"/>
              </w:rPr>
            </w:pPr>
            <w:r>
              <w:rPr>
                <w:rFonts w:ascii="Arial" w:cs="Arial" w:eastAsia="Arial" w:hAnsi="Arial"/>
                <w:sz w:val="11"/>
                <w:szCs w:val="11"/>
                <w:color w:val="auto"/>
              </w:rPr>
              <w:t>132,070</w:t>
            </w:r>
          </w:p>
        </w:tc>
        <w:tc>
          <w:tcPr>
            <w:tcW w:w="40" w:type="dxa"/>
            <w:vAlign w:val="bottom"/>
            <w:tcBorders>
              <w:bottom w:val="single" w:sz="8" w:color="CCEEFF"/>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ind w:right="143"/>
              <w:spacing w:after="0" w:line="120" w:lineRule="exact"/>
              <w:rPr>
                <w:sz w:val="20"/>
                <w:szCs w:val="20"/>
                <w:color w:val="auto"/>
              </w:rPr>
            </w:pPr>
            <w:r>
              <w:rPr>
                <w:rFonts w:ascii="Arial" w:cs="Arial" w:eastAsia="Arial" w:hAnsi="Arial"/>
                <w:sz w:val="11"/>
                <w:szCs w:val="11"/>
                <w:color w:val="auto"/>
              </w:rPr>
              <w:t>107,250</w:t>
            </w:r>
          </w:p>
        </w:tc>
        <w:tc>
          <w:tcPr>
            <w:tcW w:w="6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20" w:lineRule="exact"/>
              <w:rPr>
                <w:sz w:val="20"/>
                <w:szCs w:val="20"/>
                <w:color w:val="auto"/>
              </w:rPr>
            </w:pPr>
            <w:r>
              <w:rPr>
                <w:rFonts w:ascii="Arial" w:cs="Arial" w:eastAsia="Arial" w:hAnsi="Arial"/>
                <w:sz w:val="11"/>
                <w:szCs w:val="11"/>
                <w:color w:val="auto"/>
              </w:rPr>
              <w:t>330,644</w:t>
            </w:r>
          </w:p>
        </w:tc>
        <w:tc>
          <w:tcPr>
            <w:tcW w:w="16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20" w:lineRule="exact"/>
              <w:rPr>
                <w:sz w:val="20"/>
                <w:szCs w:val="20"/>
                <w:color w:val="auto"/>
              </w:rPr>
            </w:pPr>
            <w:r>
              <w:rPr>
                <w:rFonts w:ascii="Arial" w:cs="Arial" w:eastAsia="Arial" w:hAnsi="Arial"/>
                <w:sz w:val="11"/>
                <w:szCs w:val="11"/>
                <w:color w:val="auto"/>
              </w:rPr>
              <w:t>987,139</w:t>
            </w:r>
          </w:p>
        </w:tc>
        <w:tc>
          <w:tcPr>
            <w:tcW w:w="1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ind w:right="3"/>
              <w:spacing w:after="0" w:line="120" w:lineRule="exact"/>
              <w:rPr>
                <w:sz w:val="20"/>
                <w:szCs w:val="20"/>
                <w:color w:val="auto"/>
              </w:rPr>
            </w:pPr>
            <w:r>
              <w:rPr>
                <w:rFonts w:ascii="Arial" w:cs="Arial" w:eastAsia="Arial" w:hAnsi="Arial"/>
                <w:sz w:val="11"/>
                <w:szCs w:val="11"/>
                <w:color w:val="auto"/>
              </w:rPr>
              <w:t>1,629,725</w:t>
            </w:r>
          </w:p>
        </w:tc>
        <w:tc>
          <w:tcPr>
            <w:tcW w:w="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spacing w:after="0" w:line="120" w:lineRule="exact"/>
              <w:rPr>
                <w:sz w:val="20"/>
                <w:szCs w:val="20"/>
                <w:color w:val="auto"/>
              </w:rPr>
            </w:pPr>
            <w:r>
              <w:rPr>
                <w:rFonts w:ascii="Arial" w:cs="Arial" w:eastAsia="Arial" w:hAnsi="Arial"/>
                <w:sz w:val="11"/>
                <w:szCs w:val="11"/>
                <w:color w:val="auto"/>
              </w:rPr>
              <w:t>$</w:t>
            </w:r>
          </w:p>
        </w:tc>
        <w:tc>
          <w:tcPr>
            <w:tcW w:w="620" w:type="dxa"/>
            <w:vAlign w:val="bottom"/>
            <w:tcBorders>
              <w:bottom w:val="single" w:sz="8" w:color="auto"/>
            </w:tcBorders>
            <w:shd w:val="clear" w:color="auto" w:fill="CCEEFF"/>
          </w:tcPr>
          <w:p>
            <w:pPr>
              <w:jc w:val="right"/>
              <w:spacing w:after="0" w:line="120" w:lineRule="exact"/>
              <w:rPr>
                <w:sz w:val="20"/>
                <w:szCs w:val="20"/>
                <w:color w:val="auto"/>
              </w:rPr>
            </w:pPr>
            <w:r>
              <w:rPr>
                <w:rFonts w:ascii="Arial" w:cs="Arial" w:eastAsia="Arial" w:hAnsi="Arial"/>
                <w:sz w:val="11"/>
                <w:szCs w:val="11"/>
                <w:color w:val="auto"/>
              </w:rPr>
              <w:t>52.61</w:t>
            </w:r>
          </w:p>
        </w:tc>
        <w:tc>
          <w:tcPr>
            <w:tcW w:w="0" w:type="dxa"/>
            <w:vAlign w:val="bottom"/>
          </w:tcPr>
          <w:p>
            <w:pPr>
              <w:spacing w:after="0"/>
              <w:rPr>
                <w:sz w:val="1"/>
                <w:szCs w:val="1"/>
                <w:color w:val="auto"/>
              </w:rPr>
            </w:pPr>
          </w:p>
        </w:tc>
      </w:tr>
      <w:tr>
        <w:trPr>
          <w:trHeight w:val="20"/>
        </w:trPr>
        <w:tc>
          <w:tcPr>
            <w:tcW w:w="1660" w:type="dxa"/>
            <w:vAlign w:val="bottom"/>
            <w:gridSpan w:val="2"/>
            <w:vMerge w:val="restart"/>
          </w:tcPr>
          <w:p>
            <w:pPr>
              <w:ind w:left="60"/>
              <w:spacing w:after="0"/>
              <w:rPr>
                <w:sz w:val="20"/>
                <w:szCs w:val="20"/>
                <w:color w:val="auto"/>
              </w:rPr>
            </w:pPr>
            <w:r>
              <w:rPr>
                <w:rFonts w:ascii="Arial" w:cs="Arial" w:eastAsia="Arial" w:hAnsi="Arial"/>
                <w:sz w:val="11"/>
                <w:szCs w:val="11"/>
                <w:color w:val="auto"/>
              </w:rPr>
              <w:t>Percentage of expiring leases</w:t>
            </w: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1660" w:type="dxa"/>
            <w:vAlign w:val="bottom"/>
            <w:gridSpan w:val="2"/>
            <w:vMerge w:val="continue"/>
          </w:tcPr>
          <w:p>
            <w:pPr>
              <w:spacing w:after="0"/>
              <w:rPr>
                <w:sz w:val="10"/>
                <w:szCs w:val="10"/>
                <w:color w:val="auto"/>
              </w:rPr>
            </w:pPr>
          </w:p>
        </w:tc>
        <w:tc>
          <w:tcPr>
            <w:tcW w:w="700" w:type="dxa"/>
            <w:vAlign w:val="bottom"/>
          </w:tcPr>
          <w:p>
            <w:pPr>
              <w:jc w:val="right"/>
              <w:spacing w:after="0" w:line="117" w:lineRule="exact"/>
              <w:rPr>
                <w:sz w:val="20"/>
                <w:szCs w:val="20"/>
                <w:color w:val="auto"/>
              </w:rPr>
            </w:pPr>
            <w:r>
              <w:rPr>
                <w:rFonts w:ascii="Arial" w:cs="Arial" w:eastAsia="Arial" w:hAnsi="Arial"/>
                <w:sz w:val="11"/>
                <w:szCs w:val="11"/>
                <w:color w:val="auto"/>
              </w:rPr>
              <w:t>4%</w:t>
            </w:r>
          </w:p>
        </w:tc>
        <w:tc>
          <w:tcPr>
            <w:tcW w:w="60" w:type="dxa"/>
            <w:vAlign w:val="bottom"/>
          </w:tcPr>
          <w:p>
            <w:pPr>
              <w:spacing w:after="0"/>
              <w:rPr>
                <w:sz w:val="10"/>
                <w:szCs w:val="10"/>
                <w:color w:val="auto"/>
              </w:rPr>
            </w:pPr>
          </w:p>
        </w:tc>
        <w:tc>
          <w:tcPr>
            <w:tcW w:w="720" w:type="dxa"/>
            <w:vAlign w:val="bottom"/>
          </w:tcPr>
          <w:p>
            <w:pPr>
              <w:jc w:val="right"/>
              <w:spacing w:after="0" w:line="117" w:lineRule="exact"/>
              <w:rPr>
                <w:sz w:val="20"/>
                <w:szCs w:val="20"/>
                <w:color w:val="auto"/>
              </w:rPr>
            </w:pPr>
            <w:r>
              <w:rPr>
                <w:rFonts w:ascii="Arial" w:cs="Arial" w:eastAsia="Arial" w:hAnsi="Arial"/>
                <w:sz w:val="11"/>
                <w:szCs w:val="11"/>
                <w:color w:val="auto"/>
              </w:rPr>
              <w:t>8%</w:t>
            </w:r>
          </w:p>
        </w:tc>
        <w:tc>
          <w:tcPr>
            <w:tcW w:w="1080" w:type="dxa"/>
            <w:vAlign w:val="bottom"/>
            <w:gridSpan w:val="2"/>
          </w:tcPr>
          <w:p>
            <w:pPr>
              <w:jc w:val="right"/>
              <w:ind w:right="123"/>
              <w:spacing w:after="0" w:line="117" w:lineRule="exact"/>
              <w:rPr>
                <w:sz w:val="20"/>
                <w:szCs w:val="20"/>
                <w:color w:val="auto"/>
              </w:rPr>
            </w:pPr>
            <w:r>
              <w:rPr>
                <w:rFonts w:ascii="Arial" w:cs="Arial" w:eastAsia="Arial" w:hAnsi="Arial"/>
                <w:sz w:val="11"/>
                <w:szCs w:val="11"/>
                <w:color w:val="auto"/>
              </w:rPr>
              <w:t>7%</w:t>
            </w:r>
          </w:p>
        </w:tc>
        <w:tc>
          <w:tcPr>
            <w:tcW w:w="60" w:type="dxa"/>
            <w:vAlign w:val="bottom"/>
          </w:tcPr>
          <w:p>
            <w:pPr>
              <w:spacing w:after="0"/>
              <w:rPr>
                <w:sz w:val="10"/>
                <w:szCs w:val="10"/>
                <w:color w:val="auto"/>
              </w:rPr>
            </w:pPr>
          </w:p>
        </w:tc>
        <w:tc>
          <w:tcPr>
            <w:tcW w:w="680" w:type="dxa"/>
            <w:vAlign w:val="bottom"/>
          </w:tcPr>
          <w:p>
            <w:pPr>
              <w:jc w:val="right"/>
              <w:spacing w:after="0" w:line="117" w:lineRule="exact"/>
              <w:rPr>
                <w:sz w:val="20"/>
                <w:szCs w:val="20"/>
                <w:color w:val="auto"/>
              </w:rPr>
            </w:pPr>
            <w:r>
              <w:rPr>
                <w:rFonts w:ascii="Arial" w:cs="Arial" w:eastAsia="Arial" w:hAnsi="Arial"/>
                <w:sz w:val="11"/>
                <w:szCs w:val="11"/>
                <w:color w:val="auto"/>
              </w:rPr>
              <w:t>20%</w:t>
            </w:r>
          </w:p>
        </w:tc>
        <w:tc>
          <w:tcPr>
            <w:tcW w:w="160" w:type="dxa"/>
            <w:vAlign w:val="bottom"/>
          </w:tcPr>
          <w:p>
            <w:pPr>
              <w:spacing w:after="0"/>
              <w:rPr>
                <w:sz w:val="10"/>
                <w:szCs w:val="10"/>
                <w:color w:val="auto"/>
              </w:rPr>
            </w:pPr>
          </w:p>
        </w:tc>
        <w:tc>
          <w:tcPr>
            <w:tcW w:w="800" w:type="dxa"/>
            <w:vAlign w:val="bottom"/>
          </w:tcPr>
          <w:p>
            <w:pPr>
              <w:jc w:val="right"/>
              <w:spacing w:after="0" w:line="117" w:lineRule="exact"/>
              <w:rPr>
                <w:sz w:val="20"/>
                <w:szCs w:val="20"/>
                <w:color w:val="auto"/>
              </w:rPr>
            </w:pPr>
            <w:r>
              <w:rPr>
                <w:rFonts w:ascii="Arial" w:cs="Arial" w:eastAsia="Arial" w:hAnsi="Arial"/>
                <w:sz w:val="11"/>
                <w:szCs w:val="11"/>
                <w:color w:val="auto"/>
              </w:rPr>
              <w:t>61%</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jc w:val="right"/>
              <w:spacing w:after="0" w:line="117" w:lineRule="exact"/>
              <w:rPr>
                <w:sz w:val="20"/>
                <w:szCs w:val="20"/>
                <w:color w:val="auto"/>
              </w:rPr>
            </w:pPr>
            <w:r>
              <w:rPr>
                <w:rFonts w:ascii="Arial" w:cs="Arial" w:eastAsia="Arial" w:hAnsi="Arial"/>
                <w:sz w:val="11"/>
                <w:szCs w:val="11"/>
                <w:color w:val="auto"/>
              </w:rPr>
              <w:t>100%</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1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5"/>
          </w:tcPr>
          <w:p>
            <w:pPr>
              <w:jc w:val="right"/>
              <w:spacing w:after="0"/>
              <w:rPr>
                <w:sz w:val="20"/>
                <w:szCs w:val="20"/>
                <w:color w:val="auto"/>
              </w:rPr>
            </w:pPr>
            <w:r>
              <w:rPr>
                <w:rFonts w:ascii="Arial" w:cs="Arial" w:eastAsia="Arial" w:hAnsi="Arial"/>
                <w:sz w:val="11"/>
                <w:szCs w:val="11"/>
                <w:color w:val="auto"/>
              </w:rPr>
              <w:t>2025 Contractual Lease Expirations (in RSF)</w:t>
            </w: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3"/>
        </w:trPr>
        <w:tc>
          <w:tcPr>
            <w:tcW w:w="160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color w:val="auto"/>
              </w:rPr>
              <w:t>Negotiating/</w:t>
            </w:r>
          </w:p>
        </w:tc>
        <w:tc>
          <w:tcPr>
            <w:tcW w:w="40" w:type="dxa"/>
            <w:vAlign w:val="bottom"/>
          </w:tcPr>
          <w:p>
            <w:pPr>
              <w:spacing w:after="0"/>
              <w:rPr>
                <w:sz w:val="8"/>
                <w:szCs w:val="8"/>
                <w:color w:val="auto"/>
              </w:rPr>
            </w:pPr>
          </w:p>
        </w:tc>
        <w:tc>
          <w:tcPr>
            <w:tcW w:w="1100" w:type="dxa"/>
            <w:vAlign w:val="bottom"/>
            <w:gridSpan w:val="2"/>
          </w:tcPr>
          <w:p>
            <w:pPr>
              <w:jc w:val="center"/>
              <w:ind w:right="40"/>
              <w:spacing w:after="0" w:line="103" w:lineRule="exact"/>
              <w:rPr>
                <w:sz w:val="20"/>
                <w:szCs w:val="20"/>
                <w:color w:val="auto"/>
              </w:rPr>
            </w:pPr>
            <w:r>
              <w:rPr>
                <w:rFonts w:ascii="Arial" w:cs="Arial" w:eastAsia="Arial" w:hAnsi="Arial"/>
                <w:sz w:val="11"/>
                <w:szCs w:val="11"/>
                <w:color w:val="auto"/>
              </w:rPr>
              <w:t>Targeted for Future</w:t>
            </w:r>
          </w:p>
        </w:tc>
        <w:tc>
          <w:tcPr>
            <w:tcW w:w="680" w:type="dxa"/>
            <w:vAlign w:val="bottom"/>
          </w:tcPr>
          <w:p>
            <w:pPr>
              <w:jc w:val="center"/>
              <w:spacing w:after="0" w:line="103" w:lineRule="exact"/>
              <w:rPr>
                <w:sz w:val="20"/>
                <w:szCs w:val="20"/>
                <w:color w:val="auto"/>
              </w:rPr>
            </w:pPr>
            <w:r>
              <w:rPr>
                <w:rFonts w:ascii="Arial" w:cs="Arial" w:eastAsia="Arial" w:hAnsi="Arial"/>
                <w:sz w:val="11"/>
                <w:szCs w:val="11"/>
                <w:color w:val="auto"/>
              </w:rPr>
              <w:t>Remaining</w:t>
            </w: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gridSpan w:val="2"/>
          </w:tcPr>
          <w:p>
            <w:pPr>
              <w:jc w:val="center"/>
              <w:spacing w:after="0" w:line="103" w:lineRule="exact"/>
              <w:rPr>
                <w:sz w:val="20"/>
                <w:szCs w:val="20"/>
                <w:color w:val="auto"/>
              </w:rPr>
            </w:pPr>
            <w:r>
              <w:rPr>
                <w:rFonts w:ascii="Arial" w:cs="Arial" w:eastAsia="Arial" w:hAnsi="Arial"/>
                <w:sz w:val="11"/>
                <w:szCs w:val="11"/>
                <w:color w:val="auto"/>
              </w:rPr>
              <w:t>Annual Rental</w:t>
            </w: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1600" w:type="dxa"/>
            <w:vAlign w:val="bottom"/>
            <w:vMerge w:val="restart"/>
          </w:tcPr>
          <w:p>
            <w:pPr>
              <w:ind w:left="640"/>
              <w:spacing w:after="0"/>
              <w:rPr>
                <w:sz w:val="20"/>
                <w:szCs w:val="20"/>
                <w:color w:val="auto"/>
              </w:rPr>
            </w:pPr>
            <w:r>
              <w:rPr>
                <w:rFonts w:ascii="Arial" w:cs="Arial" w:eastAsia="Arial" w:hAnsi="Arial"/>
                <w:sz w:val="11"/>
                <w:szCs w:val="11"/>
                <w:color w:val="auto"/>
              </w:rPr>
              <w:t>Market</w:t>
            </w:r>
          </w:p>
        </w:tc>
        <w:tc>
          <w:tcPr>
            <w:tcW w:w="60" w:type="dxa"/>
            <w:vAlign w:val="bottom"/>
            <w:vMerge w:val="restart"/>
          </w:tcPr>
          <w:p>
            <w:pPr>
              <w:spacing w:after="0"/>
              <w:rPr>
                <w:sz w:val="9"/>
                <w:szCs w:val="9"/>
                <w:color w:val="auto"/>
              </w:rPr>
            </w:pPr>
          </w:p>
        </w:tc>
        <w:tc>
          <w:tcPr>
            <w:tcW w:w="700" w:type="dxa"/>
            <w:vAlign w:val="bottom"/>
            <w:vMerge w:val="restart"/>
          </w:tcPr>
          <w:p>
            <w:pPr>
              <w:jc w:val="right"/>
              <w:ind w:right="103"/>
              <w:spacing w:after="0"/>
              <w:rPr>
                <w:sz w:val="20"/>
                <w:szCs w:val="20"/>
                <w:color w:val="auto"/>
              </w:rPr>
            </w:pPr>
            <w:r>
              <w:rPr>
                <w:rFonts w:ascii="Arial" w:cs="Arial" w:eastAsia="Arial" w:hAnsi="Arial"/>
                <w:sz w:val="11"/>
                <w:szCs w:val="11"/>
                <w:color w:val="auto"/>
              </w:rPr>
              <w:t>Leased</w:t>
            </w:r>
          </w:p>
        </w:tc>
        <w:tc>
          <w:tcPr>
            <w:tcW w:w="60" w:type="dxa"/>
            <w:vAlign w:val="bottom"/>
            <w:vMerge w:val="restart"/>
          </w:tcPr>
          <w:p>
            <w:pPr>
              <w:spacing w:after="0"/>
              <w:rPr>
                <w:sz w:val="9"/>
                <w:szCs w:val="9"/>
                <w:color w:val="auto"/>
              </w:rPr>
            </w:pPr>
          </w:p>
        </w:tc>
        <w:tc>
          <w:tcPr>
            <w:tcW w:w="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100" w:type="dxa"/>
            <w:vAlign w:val="bottom"/>
            <w:gridSpan w:val="2"/>
          </w:tcPr>
          <w:p>
            <w:pPr>
              <w:jc w:val="center"/>
              <w:ind w:right="40"/>
              <w:spacing w:after="0" w:line="114" w:lineRule="exact"/>
              <w:rPr>
                <w:sz w:val="20"/>
                <w:szCs w:val="20"/>
                <w:color w:val="auto"/>
              </w:rPr>
            </w:pPr>
            <w:r>
              <w:rPr>
                <w:rFonts w:ascii="Arial" w:cs="Arial" w:eastAsia="Arial" w:hAnsi="Arial"/>
                <w:sz w:val="11"/>
                <w:szCs w:val="11"/>
                <w:color w:val="auto"/>
              </w:rPr>
              <w:t>Development/</w:t>
            </w:r>
          </w:p>
        </w:tc>
        <w:tc>
          <w:tcPr>
            <w:tcW w:w="680" w:type="dxa"/>
            <w:vAlign w:val="bottom"/>
          </w:tcPr>
          <w:p>
            <w:pPr>
              <w:jc w:val="center"/>
              <w:spacing w:after="0" w:line="114" w:lineRule="exact"/>
              <w:rPr>
                <w:sz w:val="20"/>
                <w:szCs w:val="20"/>
                <w:color w:val="auto"/>
              </w:rPr>
            </w:pPr>
            <w:r>
              <w:rPr>
                <w:rFonts w:ascii="Arial" w:cs="Arial" w:eastAsia="Arial" w:hAnsi="Arial"/>
                <w:sz w:val="11"/>
                <w:szCs w:val="11"/>
                <w:color w:val="auto"/>
              </w:rPr>
              <w:t>Expiring</w:t>
            </w:r>
          </w:p>
        </w:tc>
        <w:tc>
          <w:tcPr>
            <w:tcW w:w="160" w:type="dxa"/>
            <w:vAlign w:val="bottom"/>
          </w:tcPr>
          <w:p>
            <w:pPr>
              <w:spacing w:after="0"/>
              <w:rPr>
                <w:sz w:val="9"/>
                <w:szCs w:val="9"/>
                <w:color w:val="auto"/>
              </w:rPr>
            </w:pPr>
          </w:p>
        </w:tc>
        <w:tc>
          <w:tcPr>
            <w:tcW w:w="800" w:type="dxa"/>
            <w:vAlign w:val="bottom"/>
            <w:vMerge w:val="restart"/>
          </w:tcPr>
          <w:p>
            <w:pPr>
              <w:jc w:val="center"/>
              <w:spacing w:after="0"/>
              <w:rPr>
                <w:sz w:val="20"/>
                <w:szCs w:val="20"/>
                <w:color w:val="auto"/>
              </w:rPr>
            </w:pPr>
            <w:r>
              <w:rPr>
                <w:rFonts w:ascii="Arial" w:cs="Arial" w:eastAsia="Arial" w:hAnsi="Arial"/>
                <w:sz w:val="11"/>
                <w:szCs w:val="11"/>
                <w:color w:val="auto"/>
                <w:w w:val="97"/>
              </w:rPr>
              <w:t>Total</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jc w:val="center"/>
              <w:ind w:right="63"/>
              <w:spacing w:after="0" w:line="114" w:lineRule="exact"/>
              <w:rPr>
                <w:sz w:val="20"/>
                <w:szCs w:val="20"/>
                <w:color w:val="auto"/>
              </w:rPr>
            </w:pPr>
            <w:r>
              <w:rPr>
                <w:rFonts w:ascii="Arial" w:cs="Arial" w:eastAsia="Arial" w:hAnsi="Arial"/>
                <w:sz w:val="11"/>
                <w:szCs w:val="11"/>
                <w:color w:val="auto"/>
              </w:rPr>
              <w:t>Revenue</w:t>
            </w: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600" w:type="dxa"/>
            <w:vAlign w:val="bottom"/>
            <w:tcBorders>
              <w:bottom w:val="single" w:sz="8" w:color="auto"/>
            </w:tcBorders>
            <w:vMerge w:val="continue"/>
          </w:tcPr>
          <w:p>
            <w:pPr>
              <w:spacing w:after="0"/>
              <w:rPr>
                <w:sz w:val="13"/>
                <w:szCs w:val="13"/>
                <w:color w:val="auto"/>
              </w:rPr>
            </w:pPr>
          </w:p>
        </w:tc>
        <w:tc>
          <w:tcPr>
            <w:tcW w:w="60" w:type="dxa"/>
            <w:vAlign w:val="bottom"/>
            <w:tcBorders>
              <w:bottom w:val="single" w:sz="8" w:color="CCEEFF"/>
            </w:tcBorders>
            <w:vMerge w:val="continue"/>
          </w:tcPr>
          <w:p>
            <w:pPr>
              <w:spacing w:after="0"/>
              <w:rPr>
                <w:sz w:val="13"/>
                <w:szCs w:val="13"/>
                <w:color w:val="auto"/>
              </w:rPr>
            </w:pPr>
          </w:p>
        </w:tc>
        <w:tc>
          <w:tcPr>
            <w:tcW w:w="700" w:type="dxa"/>
            <w:vAlign w:val="bottom"/>
            <w:tcBorders>
              <w:bottom w:val="single" w:sz="8" w:color="auto"/>
            </w:tcBorders>
            <w:vMerge w:val="continue"/>
          </w:tcPr>
          <w:p>
            <w:pPr>
              <w:spacing w:after="0"/>
              <w:rPr>
                <w:sz w:val="13"/>
                <w:szCs w:val="13"/>
                <w:color w:val="auto"/>
              </w:rPr>
            </w:pPr>
          </w:p>
        </w:tc>
        <w:tc>
          <w:tcPr>
            <w:tcW w:w="60" w:type="dxa"/>
            <w:vAlign w:val="bottom"/>
            <w:tcBorders>
              <w:bottom w:val="single" w:sz="8" w:color="CCEEFF"/>
            </w:tcBorders>
            <w:vMerge w:val="continue"/>
          </w:tcPr>
          <w:p>
            <w:pPr>
              <w:spacing w:after="0"/>
              <w:rPr>
                <w:sz w:val="13"/>
                <w:szCs w:val="13"/>
                <w:color w:val="auto"/>
              </w:rPr>
            </w:pPr>
          </w:p>
        </w:tc>
        <w:tc>
          <w:tcPr>
            <w:tcW w:w="720" w:type="dxa"/>
            <w:vAlign w:val="bottom"/>
            <w:tcBorders>
              <w:bottom w:val="single" w:sz="8" w:color="auto"/>
            </w:tcBorders>
          </w:tcPr>
          <w:p>
            <w:pPr>
              <w:ind w:left="60"/>
              <w:spacing w:after="0"/>
              <w:rPr>
                <w:sz w:val="20"/>
                <w:szCs w:val="20"/>
                <w:color w:val="auto"/>
              </w:rPr>
            </w:pPr>
            <w:r>
              <w:rPr>
                <w:rFonts w:ascii="Arial" w:cs="Arial" w:eastAsia="Arial" w:hAnsi="Arial"/>
                <w:sz w:val="11"/>
                <w:szCs w:val="11"/>
                <w:color w:val="auto"/>
              </w:rPr>
              <w:t>Anticipating</w:t>
            </w:r>
          </w:p>
        </w:tc>
        <w:tc>
          <w:tcPr>
            <w:tcW w:w="40" w:type="dxa"/>
            <w:vAlign w:val="bottom"/>
            <w:tcBorders>
              <w:bottom w:val="single" w:sz="8" w:color="CCEEFF"/>
            </w:tcBorders>
          </w:tcPr>
          <w:p>
            <w:pPr>
              <w:spacing w:after="0"/>
              <w:rPr>
                <w:sz w:val="13"/>
                <w:szCs w:val="13"/>
                <w:color w:val="auto"/>
              </w:rPr>
            </w:pPr>
          </w:p>
        </w:tc>
        <w:tc>
          <w:tcPr>
            <w:tcW w:w="1040" w:type="dxa"/>
            <w:vAlign w:val="bottom"/>
            <w:tcBorders>
              <w:bottom w:val="single" w:sz="8" w:color="auto"/>
            </w:tcBorders>
          </w:tcPr>
          <w:p>
            <w:pPr>
              <w:jc w:val="center"/>
              <w:spacing w:after="0" w:line="151" w:lineRule="exact"/>
              <w:rPr>
                <w:sz w:val="20"/>
                <w:szCs w:val="20"/>
                <w:color w:val="auto"/>
              </w:rPr>
            </w:pPr>
            <w:r>
              <w:rPr>
                <w:rFonts w:ascii="Arial" w:cs="Arial" w:eastAsia="Arial" w:hAnsi="Arial"/>
                <w:sz w:val="11"/>
                <w:szCs w:val="11"/>
                <w:color w:val="auto"/>
              </w:rPr>
              <w:t>Redevelopment</w:t>
            </w:r>
            <w:r>
              <w:rPr>
                <w:rFonts w:ascii="Arial" w:cs="Arial" w:eastAsia="Arial" w:hAnsi="Arial"/>
                <w:sz w:val="14"/>
                <w:szCs w:val="14"/>
                <w:color w:val="auto"/>
                <w:vertAlign w:val="superscript"/>
              </w:rPr>
              <w:t>(1)</w:t>
            </w:r>
          </w:p>
        </w:tc>
        <w:tc>
          <w:tcPr>
            <w:tcW w:w="6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jc w:val="center"/>
              <w:spacing w:after="0" w:line="151" w:lineRule="exact"/>
              <w:rPr>
                <w:sz w:val="20"/>
                <w:szCs w:val="20"/>
                <w:color w:val="auto"/>
              </w:rPr>
            </w:pPr>
            <w:r>
              <w:rPr>
                <w:rFonts w:ascii="Arial" w:cs="Arial" w:eastAsia="Arial" w:hAnsi="Arial"/>
                <w:sz w:val="11"/>
                <w:szCs w:val="11"/>
                <w:color w:val="auto"/>
                <w:w w:val="98"/>
              </w:rPr>
              <w:t>Leases</w:t>
            </w:r>
            <w:r>
              <w:rPr>
                <w:rFonts w:ascii="Arial" w:cs="Arial" w:eastAsia="Arial" w:hAnsi="Arial"/>
                <w:sz w:val="14"/>
                <w:szCs w:val="14"/>
                <w:color w:val="auto"/>
                <w:w w:val="98"/>
                <w:vertAlign w:val="superscript"/>
              </w:rPr>
              <w:t>(6)</w:t>
            </w:r>
          </w:p>
        </w:tc>
        <w:tc>
          <w:tcPr>
            <w:tcW w:w="16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vMerge w:val="continue"/>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center"/>
              <w:ind w:right="43"/>
              <w:spacing w:after="0" w:line="151" w:lineRule="exact"/>
              <w:rPr>
                <w:sz w:val="20"/>
                <w:szCs w:val="20"/>
                <w:color w:val="auto"/>
              </w:rPr>
            </w:pPr>
            <w:r>
              <w:rPr>
                <w:rFonts w:ascii="Arial" w:cs="Arial" w:eastAsia="Arial" w:hAnsi="Arial"/>
                <w:sz w:val="11"/>
                <w:szCs w:val="11"/>
                <w:color w:val="auto"/>
              </w:rPr>
              <w:t>(per RSF)</w:t>
            </w:r>
            <w:r>
              <w:rPr>
                <w:rFonts w:ascii="Arial" w:cs="Arial" w:eastAsia="Arial" w:hAnsi="Arial"/>
                <w:sz w:val="14"/>
                <w:szCs w:val="14"/>
                <w:color w:val="auto"/>
                <w:vertAlign w:val="superscript"/>
              </w:rPr>
              <w:t>(4)</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1660" w:type="dxa"/>
            <w:vAlign w:val="bottom"/>
            <w:gridSpan w:val="2"/>
            <w:shd w:val="clear" w:color="auto" w:fill="CCEEFF"/>
          </w:tcPr>
          <w:p>
            <w:pPr>
              <w:ind w:left="60"/>
              <w:spacing w:after="0"/>
              <w:rPr>
                <w:sz w:val="20"/>
                <w:szCs w:val="20"/>
                <w:color w:val="auto"/>
              </w:rPr>
            </w:pPr>
            <w:r>
              <w:rPr>
                <w:rFonts w:ascii="Arial" w:cs="Arial" w:eastAsia="Arial" w:hAnsi="Arial"/>
                <w:sz w:val="11"/>
                <w:szCs w:val="11"/>
                <w:color w:val="auto"/>
              </w:rPr>
              <w:t>Greater Boston</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44,332</w:t>
            </w: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38,705</w:t>
            </w:r>
          </w:p>
        </w:tc>
        <w:tc>
          <w:tcPr>
            <w:tcW w:w="1080" w:type="dxa"/>
            <w:vAlign w:val="bottom"/>
            <w:gridSpan w:val="2"/>
            <w:shd w:val="clear" w:color="auto" w:fill="CCEEFF"/>
          </w:tcPr>
          <w:p>
            <w:pPr>
              <w:jc w:val="right"/>
              <w:ind w:right="143"/>
              <w:spacing w:after="0"/>
              <w:rPr>
                <w:sz w:val="20"/>
                <w:szCs w:val="20"/>
                <w:color w:val="auto"/>
              </w:rPr>
            </w:pPr>
            <w:r>
              <w:rPr>
                <w:rFonts w:ascii="Arial" w:cs="Arial" w:eastAsia="Arial" w:hAnsi="Arial"/>
                <w:sz w:val="11"/>
                <w:szCs w:val="11"/>
                <w:color w:val="auto"/>
              </w:rPr>
              <w:t>25,312</w:t>
            </w: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890,639</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7"/>
                <w:szCs w:val="7"/>
                <w:color w:val="auto"/>
              </w:rPr>
              <w:t>(7)</w:t>
            </w: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998,988</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78.18</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660" w:type="dxa"/>
            <w:vAlign w:val="bottom"/>
            <w:gridSpan w:val="2"/>
          </w:tcPr>
          <w:p>
            <w:pPr>
              <w:ind w:left="60"/>
              <w:spacing w:after="0"/>
              <w:rPr>
                <w:sz w:val="20"/>
                <w:szCs w:val="20"/>
                <w:color w:val="auto"/>
              </w:rPr>
            </w:pPr>
            <w:r>
              <w:rPr>
                <w:rFonts w:ascii="Arial" w:cs="Arial" w:eastAsia="Arial" w:hAnsi="Arial"/>
                <w:sz w:val="11"/>
                <w:szCs w:val="11"/>
                <w:color w:val="auto"/>
              </w:rPr>
              <w:t>San Francisco Bay Area</w:t>
            </w:r>
          </w:p>
        </w:tc>
        <w:tc>
          <w:tcPr>
            <w:tcW w:w="700" w:type="dxa"/>
            <w:vAlign w:val="bottom"/>
          </w:tcPr>
          <w:p>
            <w:pPr>
              <w:jc w:val="right"/>
              <w:spacing w:after="0"/>
              <w:rPr>
                <w:sz w:val="20"/>
                <w:szCs w:val="20"/>
                <w:color w:val="auto"/>
              </w:rPr>
            </w:pPr>
            <w:r>
              <w:rPr>
                <w:rFonts w:ascii="Arial" w:cs="Arial" w:eastAsia="Arial" w:hAnsi="Arial"/>
                <w:sz w:val="11"/>
                <w:szCs w:val="11"/>
                <w:color w:val="auto"/>
              </w:rPr>
              <w:t>35,797</w:t>
            </w:r>
          </w:p>
        </w:tc>
        <w:tc>
          <w:tcPr>
            <w:tcW w:w="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83,980</w:t>
            </w:r>
          </w:p>
        </w:tc>
        <w:tc>
          <w:tcPr>
            <w:tcW w:w="40" w:type="dxa"/>
            <w:vAlign w:val="bottom"/>
          </w:tcPr>
          <w:p>
            <w:pPr>
              <w:spacing w:after="0"/>
              <w:rPr>
                <w:sz w:val="14"/>
                <w:szCs w:val="14"/>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491,082</w:t>
            </w: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610,859</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ind w:right="3"/>
              <w:spacing w:after="0"/>
              <w:rPr>
                <w:sz w:val="20"/>
                <w:szCs w:val="20"/>
                <w:color w:val="auto"/>
              </w:rPr>
            </w:pPr>
            <w:r>
              <w:rPr>
                <w:rFonts w:ascii="Arial" w:cs="Arial" w:eastAsia="Arial" w:hAnsi="Arial"/>
                <w:sz w:val="11"/>
                <w:szCs w:val="11"/>
                <w:color w:val="auto"/>
              </w:rPr>
              <w:t>71.91</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660" w:type="dxa"/>
            <w:vAlign w:val="bottom"/>
            <w:gridSpan w:val="2"/>
            <w:shd w:val="clear" w:color="auto" w:fill="CCEEFF"/>
          </w:tcPr>
          <w:p>
            <w:pPr>
              <w:ind w:left="60"/>
              <w:spacing w:after="0"/>
              <w:rPr>
                <w:sz w:val="20"/>
                <w:szCs w:val="20"/>
                <w:color w:val="auto"/>
              </w:rPr>
            </w:pPr>
            <w:r>
              <w:rPr>
                <w:rFonts w:ascii="Arial" w:cs="Arial" w:eastAsia="Arial" w:hAnsi="Arial"/>
                <w:sz w:val="11"/>
                <w:szCs w:val="11"/>
                <w:color w:val="auto"/>
              </w:rPr>
              <w:t>San Diego</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22,324</w:t>
            </w: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28,854</w:t>
            </w:r>
          </w:p>
        </w:tc>
        <w:tc>
          <w:tcPr>
            <w:tcW w:w="1080" w:type="dxa"/>
            <w:vAlign w:val="bottom"/>
            <w:gridSpan w:val="2"/>
            <w:shd w:val="clear" w:color="auto" w:fill="CCEEFF"/>
          </w:tcPr>
          <w:p>
            <w:pPr>
              <w:jc w:val="right"/>
              <w:ind w:right="143"/>
              <w:spacing w:after="0"/>
              <w:rPr>
                <w:sz w:val="20"/>
                <w:szCs w:val="20"/>
                <w:color w:val="auto"/>
              </w:rPr>
            </w:pPr>
            <w:r>
              <w:rPr>
                <w:rFonts w:ascii="Arial" w:cs="Arial" w:eastAsia="Arial" w:hAnsi="Arial"/>
                <w:sz w:val="11"/>
                <w:szCs w:val="11"/>
                <w:color w:val="auto"/>
              </w:rPr>
              <w:t>269,048</w:t>
            </w: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257,832</w:t>
            </w: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578,058</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27.46</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660" w:type="dxa"/>
            <w:vAlign w:val="bottom"/>
            <w:gridSpan w:val="2"/>
          </w:tcPr>
          <w:p>
            <w:pPr>
              <w:ind w:left="60"/>
              <w:spacing w:after="0"/>
              <w:rPr>
                <w:sz w:val="20"/>
                <w:szCs w:val="20"/>
                <w:color w:val="auto"/>
              </w:rPr>
            </w:pPr>
            <w:r>
              <w:rPr>
                <w:rFonts w:ascii="Arial" w:cs="Arial" w:eastAsia="Arial" w:hAnsi="Arial"/>
                <w:sz w:val="11"/>
                <w:szCs w:val="11"/>
                <w:color w:val="auto"/>
              </w:rPr>
              <w:t>Seattle</w:t>
            </w:r>
          </w:p>
        </w:tc>
        <w:tc>
          <w:tcPr>
            <w:tcW w:w="7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14,058</w:t>
            </w:r>
          </w:p>
        </w:tc>
        <w:tc>
          <w:tcPr>
            <w:tcW w:w="1080" w:type="dxa"/>
            <w:vAlign w:val="bottom"/>
            <w:gridSpan w:val="2"/>
          </w:tcPr>
          <w:p>
            <w:pPr>
              <w:jc w:val="right"/>
              <w:ind w:right="143"/>
              <w:spacing w:after="0"/>
              <w:rPr>
                <w:sz w:val="20"/>
                <w:szCs w:val="20"/>
                <w:color w:val="auto"/>
              </w:rPr>
            </w:pPr>
            <w:r>
              <w:rPr>
                <w:rFonts w:ascii="Arial" w:cs="Arial" w:eastAsia="Arial" w:hAnsi="Arial"/>
                <w:sz w:val="11"/>
                <w:szCs w:val="11"/>
                <w:color w:val="auto"/>
              </w:rPr>
              <w:t>50,552</w:t>
            </w:r>
          </w:p>
        </w:tc>
        <w:tc>
          <w:tcPr>
            <w:tcW w:w="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215,294</w:t>
            </w: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279,904</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ind w:right="3"/>
              <w:spacing w:after="0"/>
              <w:rPr>
                <w:sz w:val="20"/>
                <w:szCs w:val="20"/>
                <w:color w:val="auto"/>
              </w:rPr>
            </w:pPr>
            <w:r>
              <w:rPr>
                <w:rFonts w:ascii="Arial" w:cs="Arial" w:eastAsia="Arial" w:hAnsi="Arial"/>
                <w:sz w:val="11"/>
                <w:szCs w:val="11"/>
                <w:color w:val="auto"/>
              </w:rPr>
              <w:t>31.76</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660" w:type="dxa"/>
            <w:vAlign w:val="bottom"/>
            <w:gridSpan w:val="2"/>
            <w:shd w:val="clear" w:color="auto" w:fill="CCEEFF"/>
          </w:tcPr>
          <w:p>
            <w:pPr>
              <w:ind w:left="60"/>
              <w:spacing w:after="0"/>
              <w:rPr>
                <w:sz w:val="20"/>
                <w:szCs w:val="20"/>
                <w:color w:val="auto"/>
              </w:rPr>
            </w:pPr>
            <w:r>
              <w:rPr>
                <w:rFonts w:ascii="Arial" w:cs="Arial" w:eastAsia="Arial" w:hAnsi="Arial"/>
                <w:sz w:val="11"/>
                <w:szCs w:val="11"/>
                <w:color w:val="auto"/>
              </w:rPr>
              <w:t>Maryland</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35,055</w:t>
            </w: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185,357</w:t>
            </w: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220,412</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28.41</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660" w:type="dxa"/>
            <w:vAlign w:val="bottom"/>
            <w:gridSpan w:val="2"/>
          </w:tcPr>
          <w:p>
            <w:pPr>
              <w:ind w:left="60"/>
              <w:spacing w:after="0"/>
              <w:rPr>
                <w:sz w:val="20"/>
                <w:szCs w:val="20"/>
                <w:color w:val="auto"/>
              </w:rPr>
            </w:pPr>
            <w:r>
              <w:rPr>
                <w:rFonts w:ascii="Arial" w:cs="Arial" w:eastAsia="Arial" w:hAnsi="Arial"/>
                <w:sz w:val="11"/>
                <w:szCs w:val="11"/>
                <w:color w:val="auto"/>
              </w:rPr>
              <w:t>Research Triangle</w:t>
            </w:r>
          </w:p>
        </w:tc>
        <w:tc>
          <w:tcPr>
            <w:tcW w:w="7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4"/>
                <w:szCs w:val="14"/>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320,957</w:t>
            </w: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320,957</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ind w:right="3"/>
              <w:spacing w:after="0"/>
              <w:rPr>
                <w:sz w:val="20"/>
                <w:szCs w:val="20"/>
                <w:color w:val="auto"/>
              </w:rPr>
            </w:pPr>
            <w:r>
              <w:rPr>
                <w:rFonts w:ascii="Arial" w:cs="Arial" w:eastAsia="Arial" w:hAnsi="Arial"/>
                <w:sz w:val="11"/>
                <w:szCs w:val="11"/>
                <w:color w:val="auto"/>
              </w:rPr>
              <w:t>51.34</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660" w:type="dxa"/>
            <w:vAlign w:val="bottom"/>
            <w:gridSpan w:val="2"/>
            <w:shd w:val="clear" w:color="auto" w:fill="CCEEFF"/>
          </w:tcPr>
          <w:p>
            <w:pPr>
              <w:ind w:left="60"/>
              <w:spacing w:after="0"/>
              <w:rPr>
                <w:sz w:val="20"/>
                <w:szCs w:val="20"/>
                <w:color w:val="auto"/>
              </w:rPr>
            </w:pPr>
            <w:r>
              <w:rPr>
                <w:rFonts w:ascii="Arial" w:cs="Arial" w:eastAsia="Arial" w:hAnsi="Arial"/>
                <w:sz w:val="11"/>
                <w:szCs w:val="11"/>
                <w:color w:val="auto"/>
              </w:rPr>
              <w:t>New York City</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67,215</w:t>
            </w: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67,215</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106.25</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660" w:type="dxa"/>
            <w:vAlign w:val="bottom"/>
            <w:gridSpan w:val="2"/>
          </w:tcPr>
          <w:p>
            <w:pPr>
              <w:ind w:left="60"/>
              <w:spacing w:after="0"/>
              <w:rPr>
                <w:sz w:val="20"/>
                <w:szCs w:val="20"/>
                <w:color w:val="auto"/>
              </w:rPr>
            </w:pPr>
            <w:r>
              <w:rPr>
                <w:rFonts w:ascii="Arial" w:cs="Arial" w:eastAsia="Arial" w:hAnsi="Arial"/>
                <w:sz w:val="11"/>
                <w:szCs w:val="11"/>
                <w:color w:val="auto"/>
              </w:rPr>
              <w:t>Texas</w:t>
            </w:r>
          </w:p>
        </w:tc>
        <w:tc>
          <w:tcPr>
            <w:tcW w:w="7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357,136</w:t>
            </w:r>
          </w:p>
        </w:tc>
        <w:tc>
          <w:tcPr>
            <w:tcW w:w="1080" w:type="dxa"/>
            <w:vAlign w:val="bottom"/>
            <w:gridSpan w:val="2"/>
          </w:tcPr>
          <w:p>
            <w:pPr>
              <w:jc w:val="right"/>
              <w:ind w:right="143"/>
              <w:spacing w:after="0"/>
              <w:rPr>
                <w:sz w:val="20"/>
                <w:szCs w:val="20"/>
                <w:color w:val="auto"/>
              </w:rPr>
            </w:pPr>
            <w:r>
              <w:rPr>
                <w:rFonts w:ascii="Arial" w:cs="Arial" w:eastAsia="Arial" w:hAnsi="Arial"/>
                <w:sz w:val="11"/>
                <w:szCs w:val="11"/>
                <w:color w:val="auto"/>
              </w:rPr>
              <w:t>198,972</w:t>
            </w:r>
          </w:p>
        </w:tc>
        <w:tc>
          <w:tcPr>
            <w:tcW w:w="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247,246</w:t>
            </w: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803,354</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ind w:right="3"/>
              <w:spacing w:after="0"/>
              <w:rPr>
                <w:sz w:val="20"/>
                <w:szCs w:val="20"/>
                <w:color w:val="auto"/>
              </w:rPr>
            </w:pPr>
            <w:r>
              <w:rPr>
                <w:rFonts w:ascii="Arial" w:cs="Arial" w:eastAsia="Arial" w:hAnsi="Arial"/>
                <w:sz w:val="11"/>
                <w:szCs w:val="11"/>
                <w:color w:val="auto"/>
              </w:rPr>
              <w:t>36.27</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660" w:type="dxa"/>
            <w:vAlign w:val="bottom"/>
            <w:gridSpan w:val="2"/>
            <w:shd w:val="clear" w:color="auto" w:fill="CCEEFF"/>
          </w:tcPr>
          <w:p>
            <w:pPr>
              <w:ind w:left="60"/>
              <w:spacing w:after="0"/>
              <w:rPr>
                <w:sz w:val="20"/>
                <w:szCs w:val="20"/>
                <w:color w:val="auto"/>
              </w:rPr>
            </w:pPr>
            <w:r>
              <w:rPr>
                <w:rFonts w:ascii="Arial" w:cs="Arial" w:eastAsia="Arial" w:hAnsi="Arial"/>
                <w:sz w:val="11"/>
                <w:szCs w:val="11"/>
                <w:color w:val="auto"/>
              </w:rPr>
              <w:t>Canada</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88,412</w:t>
            </w: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88,412</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20.31</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660" w:type="dxa"/>
            <w:vAlign w:val="bottom"/>
            <w:tcBorders>
              <w:bottom w:val="single" w:sz="8" w:color="CCEEFF"/>
            </w:tcBorders>
            <w:gridSpan w:val="2"/>
          </w:tcPr>
          <w:p>
            <w:pPr>
              <w:ind w:left="60"/>
              <w:spacing w:after="0"/>
              <w:rPr>
                <w:sz w:val="20"/>
                <w:szCs w:val="20"/>
                <w:color w:val="auto"/>
              </w:rPr>
            </w:pPr>
            <w:r>
              <w:rPr>
                <w:rFonts w:ascii="Arial" w:cs="Arial" w:eastAsia="Arial" w:hAnsi="Arial"/>
                <w:sz w:val="11"/>
                <w:szCs w:val="11"/>
                <w:color w:val="auto"/>
              </w:rPr>
              <w:t>Non-cluster/other markets</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right"/>
              <w:ind w:right="143"/>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1,000</w:t>
            </w:r>
          </w:p>
        </w:tc>
        <w:tc>
          <w:tcPr>
            <w:tcW w:w="16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1,000</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49.20</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1660" w:type="dxa"/>
            <w:vAlign w:val="bottom"/>
            <w:gridSpan w:val="2"/>
            <w:shd w:val="clear" w:color="auto" w:fill="CCEEFF"/>
          </w:tcPr>
          <w:p>
            <w:pPr>
              <w:ind w:left="260"/>
              <w:spacing w:after="0" w:line="120" w:lineRule="exact"/>
              <w:rPr>
                <w:sz w:val="20"/>
                <w:szCs w:val="20"/>
                <w:color w:val="auto"/>
              </w:rPr>
            </w:pPr>
            <w:r>
              <w:rPr>
                <w:rFonts w:ascii="Arial" w:cs="Arial" w:eastAsia="Arial" w:hAnsi="Arial"/>
                <w:sz w:val="11"/>
                <w:szCs w:val="11"/>
                <w:color w:val="auto"/>
              </w:rPr>
              <w:t>Total</w:t>
            </w:r>
          </w:p>
        </w:tc>
        <w:tc>
          <w:tcPr>
            <w:tcW w:w="700" w:type="dxa"/>
            <w:vAlign w:val="bottom"/>
            <w:shd w:val="clear" w:color="auto" w:fill="CCEEFF"/>
          </w:tcPr>
          <w:p>
            <w:pPr>
              <w:jc w:val="right"/>
              <w:spacing w:after="0" w:line="120" w:lineRule="exact"/>
              <w:rPr>
                <w:sz w:val="20"/>
                <w:szCs w:val="20"/>
                <w:color w:val="auto"/>
              </w:rPr>
            </w:pPr>
            <w:r>
              <w:rPr>
                <w:rFonts w:ascii="Arial" w:cs="Arial" w:eastAsia="Arial" w:hAnsi="Arial"/>
                <w:sz w:val="11"/>
                <w:szCs w:val="11"/>
                <w:color w:val="auto"/>
              </w:rPr>
              <w:t>137,508</w:t>
            </w: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20" w:lineRule="exact"/>
              <w:rPr>
                <w:sz w:val="20"/>
                <w:szCs w:val="20"/>
                <w:color w:val="auto"/>
              </w:rPr>
            </w:pPr>
            <w:r>
              <w:rPr>
                <w:rFonts w:ascii="Arial" w:cs="Arial" w:eastAsia="Arial" w:hAnsi="Arial"/>
                <w:sz w:val="11"/>
                <w:szCs w:val="11"/>
                <w:color w:val="auto"/>
              </w:rPr>
              <w:t>522,733</w:t>
            </w:r>
          </w:p>
        </w:tc>
        <w:tc>
          <w:tcPr>
            <w:tcW w:w="1080" w:type="dxa"/>
            <w:vAlign w:val="bottom"/>
            <w:gridSpan w:val="2"/>
            <w:shd w:val="clear" w:color="auto" w:fill="CCEEFF"/>
          </w:tcPr>
          <w:p>
            <w:pPr>
              <w:jc w:val="right"/>
              <w:ind w:right="143"/>
              <w:spacing w:after="0" w:line="120" w:lineRule="exact"/>
              <w:rPr>
                <w:sz w:val="20"/>
                <w:szCs w:val="20"/>
                <w:color w:val="auto"/>
              </w:rPr>
            </w:pPr>
            <w:r>
              <w:rPr>
                <w:rFonts w:ascii="Arial" w:cs="Arial" w:eastAsia="Arial" w:hAnsi="Arial"/>
                <w:sz w:val="11"/>
                <w:szCs w:val="11"/>
                <w:color w:val="auto"/>
              </w:rPr>
              <w:t>543,884</w:t>
            </w: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20" w:lineRule="exact"/>
              <w:rPr>
                <w:sz w:val="20"/>
                <w:szCs w:val="20"/>
                <w:color w:val="auto"/>
              </w:rPr>
            </w:pPr>
            <w:r>
              <w:rPr>
                <w:rFonts w:ascii="Arial" w:cs="Arial" w:eastAsia="Arial" w:hAnsi="Arial"/>
                <w:sz w:val="11"/>
                <w:szCs w:val="11"/>
                <w:color w:val="auto"/>
              </w:rPr>
              <w:t>2,765,034</w:t>
            </w: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20" w:lineRule="exact"/>
              <w:rPr>
                <w:sz w:val="20"/>
                <w:szCs w:val="20"/>
                <w:color w:val="auto"/>
              </w:rPr>
            </w:pPr>
            <w:r>
              <w:rPr>
                <w:rFonts w:ascii="Arial" w:cs="Arial" w:eastAsia="Arial" w:hAnsi="Arial"/>
                <w:sz w:val="11"/>
                <w:szCs w:val="11"/>
                <w:color w:val="auto"/>
              </w:rPr>
              <w:t>3,969,159</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20" w:lineRule="exact"/>
              <w:rPr>
                <w:sz w:val="20"/>
                <w:szCs w:val="20"/>
                <w:color w:val="auto"/>
              </w:rPr>
            </w:pPr>
            <w:r>
              <w:rPr>
                <w:rFonts w:ascii="Arial" w:cs="Arial" w:eastAsia="Arial" w:hAnsi="Arial"/>
                <w:sz w:val="11"/>
                <w:szCs w:val="11"/>
                <w:color w:val="auto"/>
              </w:rPr>
              <w:t>$</w:t>
            </w:r>
          </w:p>
        </w:tc>
        <w:tc>
          <w:tcPr>
            <w:tcW w:w="700" w:type="dxa"/>
            <w:vAlign w:val="bottom"/>
            <w:shd w:val="clear" w:color="auto" w:fill="CCEEFF"/>
          </w:tcPr>
          <w:p>
            <w:pPr>
              <w:jc w:val="right"/>
              <w:ind w:right="3"/>
              <w:spacing w:after="0" w:line="120" w:lineRule="exact"/>
              <w:rPr>
                <w:sz w:val="20"/>
                <w:szCs w:val="20"/>
                <w:color w:val="auto"/>
              </w:rPr>
            </w:pPr>
            <w:r>
              <w:rPr>
                <w:rFonts w:ascii="Arial" w:cs="Arial" w:eastAsia="Arial" w:hAnsi="Arial"/>
                <w:sz w:val="11"/>
                <w:szCs w:val="11"/>
                <w:color w:val="auto"/>
              </w:rPr>
              <w:t>52.32</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660" w:type="dxa"/>
            <w:vAlign w:val="bottom"/>
            <w:tcBorders>
              <w:top w:val="single" w:sz="8" w:color="CCEEFF"/>
              <w:bottom w:val="single" w:sz="8" w:color="CCEEFF"/>
            </w:tcBorders>
            <w:gridSpan w:val="2"/>
            <w:vMerge w:val="restart"/>
          </w:tcPr>
          <w:p>
            <w:pPr>
              <w:ind w:left="60"/>
              <w:spacing w:after="0"/>
              <w:rPr>
                <w:sz w:val="20"/>
                <w:szCs w:val="20"/>
                <w:color w:val="auto"/>
              </w:rPr>
            </w:pPr>
            <w:r>
              <w:rPr>
                <w:rFonts w:ascii="Arial" w:cs="Arial" w:eastAsia="Arial" w:hAnsi="Arial"/>
                <w:sz w:val="11"/>
                <w:szCs w:val="11"/>
                <w:color w:val="auto"/>
              </w:rPr>
              <w:t>Percentage of expiring leases</w:t>
            </w: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1660" w:type="dxa"/>
            <w:vAlign w:val="bottom"/>
            <w:gridSpan w:val="2"/>
            <w:vMerge w:val="continue"/>
          </w:tcPr>
          <w:p>
            <w:pPr>
              <w:spacing w:after="0"/>
              <w:rPr>
                <w:sz w:val="10"/>
                <w:szCs w:val="10"/>
                <w:color w:val="auto"/>
              </w:rPr>
            </w:pPr>
          </w:p>
        </w:tc>
        <w:tc>
          <w:tcPr>
            <w:tcW w:w="700" w:type="dxa"/>
            <w:vAlign w:val="bottom"/>
          </w:tcPr>
          <w:p>
            <w:pPr>
              <w:jc w:val="right"/>
              <w:spacing w:after="0" w:line="117" w:lineRule="exact"/>
              <w:rPr>
                <w:sz w:val="20"/>
                <w:szCs w:val="20"/>
                <w:color w:val="auto"/>
              </w:rPr>
            </w:pPr>
            <w:r>
              <w:rPr>
                <w:rFonts w:ascii="Arial" w:cs="Arial" w:eastAsia="Arial" w:hAnsi="Arial"/>
                <w:sz w:val="11"/>
                <w:szCs w:val="11"/>
                <w:color w:val="auto"/>
              </w:rPr>
              <w:t>3%</w:t>
            </w:r>
          </w:p>
        </w:tc>
        <w:tc>
          <w:tcPr>
            <w:tcW w:w="60" w:type="dxa"/>
            <w:vAlign w:val="bottom"/>
          </w:tcPr>
          <w:p>
            <w:pPr>
              <w:spacing w:after="0"/>
              <w:rPr>
                <w:sz w:val="10"/>
                <w:szCs w:val="10"/>
                <w:color w:val="auto"/>
              </w:rPr>
            </w:pPr>
          </w:p>
        </w:tc>
        <w:tc>
          <w:tcPr>
            <w:tcW w:w="720" w:type="dxa"/>
            <w:vAlign w:val="bottom"/>
          </w:tcPr>
          <w:p>
            <w:pPr>
              <w:jc w:val="right"/>
              <w:spacing w:after="0" w:line="117" w:lineRule="exact"/>
              <w:rPr>
                <w:sz w:val="20"/>
                <w:szCs w:val="20"/>
                <w:color w:val="auto"/>
              </w:rPr>
            </w:pPr>
            <w:r>
              <w:rPr>
                <w:rFonts w:ascii="Arial" w:cs="Arial" w:eastAsia="Arial" w:hAnsi="Arial"/>
                <w:sz w:val="11"/>
                <w:szCs w:val="11"/>
                <w:color w:val="auto"/>
              </w:rPr>
              <w:t>13%</w:t>
            </w:r>
          </w:p>
        </w:tc>
        <w:tc>
          <w:tcPr>
            <w:tcW w:w="1080" w:type="dxa"/>
            <w:vAlign w:val="bottom"/>
            <w:gridSpan w:val="2"/>
          </w:tcPr>
          <w:p>
            <w:pPr>
              <w:jc w:val="right"/>
              <w:ind w:right="123"/>
              <w:spacing w:after="0" w:line="117" w:lineRule="exact"/>
              <w:rPr>
                <w:sz w:val="20"/>
                <w:szCs w:val="20"/>
                <w:color w:val="auto"/>
              </w:rPr>
            </w:pPr>
            <w:r>
              <w:rPr>
                <w:rFonts w:ascii="Arial" w:cs="Arial" w:eastAsia="Arial" w:hAnsi="Arial"/>
                <w:sz w:val="11"/>
                <w:szCs w:val="11"/>
                <w:color w:val="auto"/>
              </w:rPr>
              <w:t>14%</w:t>
            </w:r>
          </w:p>
        </w:tc>
        <w:tc>
          <w:tcPr>
            <w:tcW w:w="60" w:type="dxa"/>
            <w:vAlign w:val="bottom"/>
          </w:tcPr>
          <w:p>
            <w:pPr>
              <w:spacing w:after="0"/>
              <w:rPr>
                <w:sz w:val="10"/>
                <w:szCs w:val="10"/>
                <w:color w:val="auto"/>
              </w:rPr>
            </w:pPr>
          </w:p>
        </w:tc>
        <w:tc>
          <w:tcPr>
            <w:tcW w:w="680" w:type="dxa"/>
            <w:vAlign w:val="bottom"/>
          </w:tcPr>
          <w:p>
            <w:pPr>
              <w:jc w:val="right"/>
              <w:spacing w:after="0" w:line="117" w:lineRule="exact"/>
              <w:rPr>
                <w:sz w:val="20"/>
                <w:szCs w:val="20"/>
                <w:color w:val="auto"/>
              </w:rPr>
            </w:pPr>
            <w:r>
              <w:rPr>
                <w:rFonts w:ascii="Arial" w:cs="Arial" w:eastAsia="Arial" w:hAnsi="Arial"/>
                <w:sz w:val="11"/>
                <w:szCs w:val="11"/>
                <w:color w:val="auto"/>
              </w:rPr>
              <w:t>70%</w:t>
            </w:r>
          </w:p>
        </w:tc>
        <w:tc>
          <w:tcPr>
            <w:tcW w:w="160" w:type="dxa"/>
            <w:vAlign w:val="bottom"/>
          </w:tcPr>
          <w:p>
            <w:pPr>
              <w:spacing w:after="0"/>
              <w:rPr>
                <w:sz w:val="10"/>
                <w:szCs w:val="10"/>
                <w:color w:val="auto"/>
              </w:rPr>
            </w:pPr>
          </w:p>
        </w:tc>
        <w:tc>
          <w:tcPr>
            <w:tcW w:w="800" w:type="dxa"/>
            <w:vAlign w:val="bottom"/>
          </w:tcPr>
          <w:p>
            <w:pPr>
              <w:jc w:val="right"/>
              <w:spacing w:after="0" w:line="117" w:lineRule="exact"/>
              <w:rPr>
                <w:sz w:val="20"/>
                <w:szCs w:val="20"/>
                <w:color w:val="auto"/>
              </w:rPr>
            </w:pPr>
            <w:r>
              <w:rPr>
                <w:rFonts w:ascii="Arial" w:cs="Arial" w:eastAsia="Arial" w:hAnsi="Arial"/>
                <w:sz w:val="11"/>
                <w:szCs w:val="11"/>
                <w:color w:val="auto"/>
              </w:rPr>
              <w:t>100%</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p>
      <w:pPr>
        <w:ind w:left="900" w:right="899" w:hanging="262"/>
        <w:spacing w:after="0" w:line="252" w:lineRule="auto"/>
        <w:tabs>
          <w:tab w:leader="none" w:pos="900" w:val="left"/>
        </w:tabs>
        <w:numPr>
          <w:ilvl w:val="0"/>
          <w:numId w:val="77"/>
        </w:numPr>
        <w:rPr>
          <w:rFonts w:ascii="Arial" w:cs="Arial" w:eastAsia="Arial" w:hAnsi="Arial"/>
          <w:sz w:val="10"/>
          <w:szCs w:val="10"/>
          <w:color w:val="auto"/>
        </w:rPr>
      </w:pPr>
      <w:r>
        <w:rPr>
          <w:rFonts w:ascii="Arial" w:cs="Arial" w:eastAsia="Arial" w:hAnsi="Arial"/>
          <w:sz w:val="10"/>
          <w:szCs w:val="10"/>
          <w:color w:val="auto"/>
        </w:rPr>
        <w:t>Primarily represents assets that were recently acquired for future value-creation opportunities, for which we expect, subject to market conditions and leasing, to commence first-time conversion from non-laboratory space to laboratory space, or to commence future ground-up development. As of June 30, 2024, annual rental revenue from these leases expiring in 2024 and 2025 is $42.98 per RSF and $32.71 per RSF, respectively. The weighted-average expiration date of these leases expiring in 2024 and 2025 is September 29, 2024 and January 12, 2025, respectively. Refer to “Investments in real estate” under “Definitions and reconciliations” in Item 2 for additional details, including value-creation square feet currently included in rental properties.</w:t>
      </w:r>
    </w:p>
    <w:p>
      <w:pPr>
        <w:spacing w:after="0" w:line="1" w:lineRule="exact"/>
        <w:rPr>
          <w:rFonts w:ascii="Arial" w:cs="Arial" w:eastAsia="Arial" w:hAnsi="Arial"/>
          <w:sz w:val="10"/>
          <w:szCs w:val="10"/>
          <w:color w:val="auto"/>
        </w:rPr>
      </w:pPr>
    </w:p>
    <w:p>
      <w:pPr>
        <w:ind w:left="900" w:right="759" w:hanging="262"/>
        <w:spacing w:after="0" w:line="253" w:lineRule="auto"/>
        <w:tabs>
          <w:tab w:leader="none" w:pos="900" w:val="left"/>
        </w:tabs>
        <w:numPr>
          <w:ilvl w:val="0"/>
          <w:numId w:val="77"/>
        </w:numPr>
        <w:rPr>
          <w:rFonts w:ascii="Arial" w:cs="Arial" w:eastAsia="Arial" w:hAnsi="Arial"/>
          <w:sz w:val="10"/>
          <w:szCs w:val="10"/>
          <w:color w:val="auto"/>
        </w:rPr>
      </w:pPr>
      <w:r>
        <w:rPr>
          <w:rFonts w:ascii="Arial" w:cs="Arial" w:eastAsia="Arial" w:hAnsi="Arial"/>
          <w:sz w:val="10"/>
          <w:szCs w:val="10"/>
          <w:color w:val="auto"/>
        </w:rPr>
        <w:t>Excluding the expiration described in footnote 5, the largest remaining contractual lease expiration in 2024 is 97,702 RSF in our Mission Bay submarket, where we are working to retain the current tenant.</w:t>
      </w:r>
    </w:p>
    <w:p>
      <w:pPr>
        <w:ind w:left="900" w:hanging="262"/>
        <w:spacing w:after="0"/>
        <w:tabs>
          <w:tab w:leader="none" w:pos="900" w:val="left"/>
        </w:tabs>
        <w:numPr>
          <w:ilvl w:val="0"/>
          <w:numId w:val="77"/>
        </w:numPr>
        <w:rPr>
          <w:rFonts w:ascii="Arial" w:cs="Arial" w:eastAsia="Arial" w:hAnsi="Arial"/>
          <w:sz w:val="10"/>
          <w:szCs w:val="10"/>
          <w:color w:val="auto"/>
        </w:rPr>
      </w:pPr>
      <w:r>
        <w:rPr>
          <w:rFonts w:ascii="Arial" w:cs="Arial" w:eastAsia="Arial" w:hAnsi="Arial"/>
          <w:sz w:val="10"/>
          <w:szCs w:val="10"/>
          <w:color w:val="auto"/>
        </w:rPr>
        <w:t>Excludes month-to-month leases aggregating 129,549 RSF as of June 30, 2024.</w:t>
      </w:r>
    </w:p>
    <w:p>
      <w:pPr>
        <w:spacing w:after="0" w:line="3" w:lineRule="exact"/>
        <w:rPr>
          <w:rFonts w:ascii="Arial" w:cs="Arial" w:eastAsia="Arial" w:hAnsi="Arial"/>
          <w:sz w:val="10"/>
          <w:szCs w:val="10"/>
          <w:color w:val="auto"/>
        </w:rPr>
      </w:pPr>
    </w:p>
    <w:p>
      <w:pPr>
        <w:ind w:left="900" w:hanging="262"/>
        <w:spacing w:after="0"/>
        <w:tabs>
          <w:tab w:leader="none" w:pos="900" w:val="left"/>
        </w:tabs>
        <w:numPr>
          <w:ilvl w:val="0"/>
          <w:numId w:val="77"/>
        </w:numPr>
        <w:rPr>
          <w:rFonts w:ascii="Arial" w:cs="Arial" w:eastAsia="Arial" w:hAnsi="Arial"/>
          <w:sz w:val="10"/>
          <w:szCs w:val="10"/>
          <w:color w:val="auto"/>
        </w:rPr>
      </w:pPr>
      <w:r>
        <w:rPr>
          <w:rFonts w:ascii="Arial" w:cs="Arial" w:eastAsia="Arial" w:hAnsi="Arial"/>
          <w:sz w:val="10"/>
          <w:szCs w:val="10"/>
          <w:color w:val="auto"/>
        </w:rPr>
        <w:t>Represents amounts in effect as of June 30, 2024.</w:t>
      </w:r>
    </w:p>
    <w:p>
      <w:pPr>
        <w:spacing w:after="0" w:line="3" w:lineRule="exact"/>
        <w:rPr>
          <w:rFonts w:ascii="Arial" w:cs="Arial" w:eastAsia="Arial" w:hAnsi="Arial"/>
          <w:sz w:val="10"/>
          <w:szCs w:val="10"/>
          <w:color w:val="auto"/>
        </w:rPr>
      </w:pPr>
    </w:p>
    <w:p>
      <w:pPr>
        <w:ind w:left="900" w:hanging="262"/>
        <w:spacing w:after="0"/>
        <w:tabs>
          <w:tab w:leader="none" w:pos="900" w:val="left"/>
        </w:tabs>
        <w:numPr>
          <w:ilvl w:val="0"/>
          <w:numId w:val="77"/>
        </w:numPr>
        <w:rPr>
          <w:rFonts w:ascii="Arial" w:cs="Arial" w:eastAsia="Arial" w:hAnsi="Arial"/>
          <w:sz w:val="10"/>
          <w:szCs w:val="10"/>
          <w:color w:val="auto"/>
        </w:rPr>
      </w:pPr>
      <w:r>
        <w:rPr>
          <w:rFonts w:ascii="Arial" w:cs="Arial" w:eastAsia="Arial" w:hAnsi="Arial"/>
          <w:sz w:val="10"/>
          <w:szCs w:val="10"/>
          <w:color w:val="auto"/>
        </w:rPr>
        <w:t>Includes 349,947 RSF at 219 East 42nd Street that was classified as held for sale as of June 30, 2024 and was sold in July 2024.</w:t>
      </w:r>
    </w:p>
    <w:p>
      <w:pPr>
        <w:spacing w:after="0" w:line="7" w:lineRule="exact"/>
        <w:rPr>
          <w:rFonts w:ascii="Arial" w:cs="Arial" w:eastAsia="Arial" w:hAnsi="Arial"/>
          <w:sz w:val="10"/>
          <w:szCs w:val="10"/>
          <w:color w:val="auto"/>
        </w:rPr>
      </w:pPr>
    </w:p>
    <w:p>
      <w:pPr>
        <w:ind w:left="900" w:right="679" w:hanging="262"/>
        <w:spacing w:after="0"/>
        <w:tabs>
          <w:tab w:leader="none" w:pos="900" w:val="left"/>
        </w:tabs>
        <w:numPr>
          <w:ilvl w:val="0"/>
          <w:numId w:val="77"/>
        </w:numPr>
        <w:rPr>
          <w:rFonts w:ascii="Arial" w:cs="Arial" w:eastAsia="Arial" w:hAnsi="Arial"/>
          <w:sz w:val="10"/>
          <w:szCs w:val="10"/>
          <w:color w:val="auto"/>
        </w:rPr>
      </w:pPr>
      <w:r>
        <w:rPr>
          <w:rFonts w:ascii="Arial" w:cs="Arial" w:eastAsia="Arial" w:hAnsi="Arial"/>
          <w:sz w:val="10"/>
          <w:szCs w:val="10"/>
          <w:color w:val="auto"/>
        </w:rPr>
        <w:t>Key remaining expiring leases in 2025 include 600,477 RSF in three submarkets with a weighted-average expiration date of February 1, 2025 and annual rental revenue as of June 30, 2024 aggregating approximately $37 million comprised of the following: (i) 248,700 RSF at our Alexandria Technology Square</w:t>
      </w:r>
      <w:r>
        <w:rPr>
          <w:rFonts w:ascii="Arial" w:cs="Arial" w:eastAsia="Arial" w:hAnsi="Arial"/>
          <w:sz w:val="13"/>
          <w:szCs w:val="13"/>
          <w:color w:val="auto"/>
          <w:vertAlign w:val="superscript"/>
        </w:rPr>
        <w:t>®</w:t>
      </w:r>
      <w:r>
        <w:rPr>
          <w:rFonts w:ascii="Arial" w:cs="Arial" w:eastAsia="Arial" w:hAnsi="Arial"/>
          <w:sz w:val="10"/>
          <w:szCs w:val="10"/>
          <w:color w:val="auto"/>
        </w:rPr>
        <w:t xml:space="preserve"> mega campus in our Cambridge submarket, of which 171,945 RSF is expected to be repositioned from single-tenancy to multi-tenancy, and we are evaluating options to reposition the remaining 76,755 RSF; (ii) 247,246 RSF of industrial and R&amp;D space in our Austin submarket for which we are evaluating options to market for re-lease or reposition the space; and (iii) 104,531 RSF in our Research Triangle market that is currently being marketed for re-lease. We expect downtime on these spaces to range from 12 to 24 months on a weighted average basis.</w:t>
      </w:r>
    </w:p>
    <w:p>
      <w:pPr>
        <w:spacing w:after="0" w:line="1" w:lineRule="exact"/>
        <w:rPr>
          <w:rFonts w:ascii="Arial" w:cs="Arial" w:eastAsia="Arial" w:hAnsi="Arial"/>
          <w:sz w:val="10"/>
          <w:szCs w:val="10"/>
          <w:color w:val="auto"/>
        </w:rPr>
      </w:pPr>
    </w:p>
    <w:p>
      <w:pPr>
        <w:ind w:left="900" w:hanging="262"/>
        <w:spacing w:after="0"/>
        <w:tabs>
          <w:tab w:leader="none" w:pos="900" w:val="left"/>
        </w:tabs>
        <w:numPr>
          <w:ilvl w:val="0"/>
          <w:numId w:val="77"/>
        </w:numPr>
        <w:rPr>
          <w:rFonts w:ascii="Arial" w:cs="Arial" w:eastAsia="Arial" w:hAnsi="Arial"/>
          <w:sz w:val="10"/>
          <w:szCs w:val="10"/>
          <w:color w:val="auto"/>
        </w:rPr>
      </w:pPr>
      <w:r>
        <w:rPr>
          <w:rFonts w:ascii="Arial" w:cs="Arial" w:eastAsia="Arial" w:hAnsi="Arial"/>
          <w:sz w:val="10"/>
          <w:szCs w:val="10"/>
          <w:color w:val="auto"/>
        </w:rPr>
        <w:t>Includes 816,048 RSF of contractual lease expirations in our Cambridge/Inner Suburbs submarket. Refer to footnote 6 for additional details.</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188595</wp:posOffset>
            </wp:positionV>
            <wp:extent cx="5584190" cy="33788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584190" cy="3378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500"/>
        <w:spacing w:after="0"/>
        <w:rPr>
          <w:sz w:val="20"/>
          <w:szCs w:val="20"/>
          <w:color w:val="auto"/>
        </w:rPr>
      </w:pPr>
      <w:r>
        <w:rPr>
          <w:rFonts w:ascii="Arial" w:cs="Arial" w:eastAsia="Arial" w:hAnsi="Arial"/>
          <w:sz w:val="13"/>
          <w:szCs w:val="13"/>
          <w:u w:val="single" w:color="auto"/>
          <w:color w:val="auto"/>
        </w:rPr>
        <w:t>Top 20 tenants</w:t>
      </w:r>
    </w:p>
    <w:p>
      <w:pPr>
        <w:spacing w:after="0" w:line="154" w:lineRule="exact"/>
        <w:rPr>
          <w:sz w:val="20"/>
          <w:szCs w:val="20"/>
          <w:color w:val="auto"/>
        </w:rPr>
      </w:pPr>
    </w:p>
    <w:p>
      <w:pPr>
        <w:jc w:val="center"/>
        <w:ind w:right="179"/>
        <w:spacing w:after="0"/>
        <w:rPr>
          <w:sz w:val="20"/>
          <w:szCs w:val="20"/>
          <w:color w:val="auto"/>
        </w:rPr>
      </w:pPr>
      <w:r>
        <w:rPr>
          <w:rFonts w:ascii="Arial" w:cs="Arial" w:eastAsia="Arial" w:hAnsi="Arial"/>
          <w:sz w:val="16"/>
          <w:szCs w:val="16"/>
          <w:b w:val="1"/>
          <w:bCs w:val="1"/>
          <w:color w:val="1F497D"/>
        </w:rPr>
        <w:t>92% of Top 20 Tenant Annual Rental Revenue Is From Investment-Grade</w:t>
      </w:r>
    </w:p>
    <w:p>
      <w:pPr>
        <w:spacing w:after="0" w:line="11" w:lineRule="exact"/>
        <w:rPr>
          <w:sz w:val="20"/>
          <w:szCs w:val="20"/>
          <w:color w:val="auto"/>
        </w:rPr>
      </w:pPr>
    </w:p>
    <w:p>
      <w:pPr>
        <w:jc w:val="center"/>
        <w:ind w:right="139"/>
        <w:spacing w:after="0"/>
        <w:rPr>
          <w:sz w:val="20"/>
          <w:szCs w:val="20"/>
          <w:color w:val="auto"/>
        </w:rPr>
      </w:pPr>
      <w:r>
        <w:rPr>
          <w:rFonts w:ascii="Arial" w:cs="Arial" w:eastAsia="Arial" w:hAnsi="Arial"/>
          <w:sz w:val="16"/>
          <w:szCs w:val="16"/>
          <w:b w:val="1"/>
          <w:bCs w:val="1"/>
          <w:color w:val="1F497D"/>
        </w:rPr>
        <w:t xml:space="preserve">or Publicly Traded Large Cap Tenants </w:t>
      </w:r>
      <w:r>
        <w:rPr>
          <w:rFonts w:ascii="Arial" w:cs="Arial" w:eastAsia="Arial" w:hAnsi="Arial"/>
          <w:sz w:val="20"/>
          <w:szCs w:val="20"/>
          <w:b w:val="1"/>
          <w:bCs w:val="1"/>
          <w:color w:val="1F497D"/>
          <w:vertAlign w:val="superscript"/>
        </w:rPr>
        <w:t>(1)</w:t>
      </w:r>
    </w:p>
    <w:p>
      <w:pPr>
        <w:spacing w:after="0" w:line="110" w:lineRule="exact"/>
        <w:rPr>
          <w:sz w:val="20"/>
          <w:szCs w:val="20"/>
          <w:color w:val="auto"/>
        </w:rPr>
      </w:pPr>
    </w:p>
    <w:p>
      <w:pPr>
        <w:ind w:left="500" w:right="679" w:firstLine="515"/>
        <w:spacing w:after="0" w:line="263" w:lineRule="auto"/>
        <w:rPr>
          <w:sz w:val="20"/>
          <w:szCs w:val="20"/>
          <w:color w:val="auto"/>
        </w:rPr>
      </w:pPr>
      <w:r>
        <w:rPr>
          <w:rFonts w:ascii="Arial" w:cs="Arial" w:eastAsia="Arial" w:hAnsi="Arial"/>
          <w:sz w:val="13"/>
          <w:szCs w:val="13"/>
          <w:color w:val="auto"/>
        </w:rPr>
        <w:t>Our properties are leased to a high-quality and diverse group of tenants, with no individual tenant accounting for more than 5.7% of our annual rental revenue in effect as of June 30, 2024. The following table sets forth information regarding leases with our 20 largest tenants in North America based upon annual rental revenue in effect as of June 30, 2024 (dollars in thousands, except average market cap amounts):</w:t>
      </w:r>
    </w:p>
    <w:p>
      <w:pPr>
        <w:spacing w:after="0" w:line="157" w:lineRule="exact"/>
        <w:rPr>
          <w:sz w:val="20"/>
          <w:szCs w:val="20"/>
          <w:color w:val="auto"/>
        </w:rPr>
      </w:pPr>
    </w:p>
    <w:tbl>
      <w:tblPr>
        <w:tblLayout w:type="fixed"/>
        <w:tblInd w:w="600" w:type="dxa"/>
        <w:tblCellMar>
          <w:top w:w="0" w:type="dxa"/>
          <w:left w:w="0" w:type="dxa"/>
          <w:bottom w:w="0" w:type="dxa"/>
          <w:right w:w="0" w:type="dxa"/>
        </w:tblCellMar>
      </w:tblPr>
      <w:tr>
        <w:trPr>
          <w:trHeight w:val="126"/>
        </w:trPr>
        <w:tc>
          <w:tcPr>
            <w:tcW w:w="18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800" w:type="dxa"/>
            <w:vAlign w:val="bottom"/>
            <w:gridSpan w:val="2"/>
          </w:tcPr>
          <w:p>
            <w:pPr>
              <w:jc w:val="center"/>
              <w:ind w:right="3"/>
              <w:spacing w:after="0"/>
              <w:rPr>
                <w:sz w:val="20"/>
                <w:szCs w:val="20"/>
                <w:color w:val="auto"/>
              </w:rPr>
            </w:pPr>
            <w:r>
              <w:rPr>
                <w:rFonts w:ascii="Arial" w:cs="Arial" w:eastAsia="Arial" w:hAnsi="Arial"/>
                <w:sz w:val="11"/>
                <w:szCs w:val="11"/>
                <w:color w:val="auto"/>
              </w:rPr>
              <w:t>Remaining</w:t>
            </w: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120" w:type="dxa"/>
            <w:vAlign w:val="bottom"/>
            <w:gridSpan w:val="2"/>
            <w:vMerge w:val="restart"/>
          </w:tcPr>
          <w:p>
            <w:pPr>
              <w:ind w:left="120"/>
              <w:spacing w:after="0"/>
              <w:rPr>
                <w:sz w:val="20"/>
                <w:szCs w:val="20"/>
                <w:color w:val="auto"/>
              </w:rPr>
            </w:pPr>
            <w:r>
              <w:rPr>
                <w:rFonts w:ascii="Arial" w:cs="Arial" w:eastAsia="Arial" w:hAnsi="Arial"/>
                <w:sz w:val="11"/>
                <w:szCs w:val="11"/>
                <w:color w:val="auto"/>
              </w:rPr>
              <w:t>Investment-Grade</w:t>
            </w:r>
          </w:p>
        </w:tc>
        <w:tc>
          <w:tcPr>
            <w:tcW w:w="160" w:type="dxa"/>
            <w:vAlign w:val="bottom"/>
          </w:tcPr>
          <w:p>
            <w:pPr>
              <w:spacing w:after="0"/>
              <w:rPr>
                <w:sz w:val="10"/>
                <w:szCs w:val="10"/>
                <w:color w:val="auto"/>
              </w:rPr>
            </w:pPr>
          </w:p>
        </w:tc>
        <w:tc>
          <w:tcPr>
            <w:tcW w:w="500" w:type="dxa"/>
            <w:vAlign w:val="bottom"/>
          </w:tcPr>
          <w:p>
            <w:pPr>
              <w:jc w:val="center"/>
              <w:spacing w:after="0"/>
              <w:rPr>
                <w:sz w:val="20"/>
                <w:szCs w:val="20"/>
                <w:color w:val="auto"/>
              </w:rPr>
            </w:pPr>
            <w:r>
              <w:rPr>
                <w:rFonts w:ascii="Arial" w:cs="Arial" w:eastAsia="Arial" w:hAnsi="Arial"/>
                <w:sz w:val="11"/>
                <w:szCs w:val="11"/>
                <w:color w:val="auto"/>
              </w:rPr>
              <w:t>Average</w:t>
            </w:r>
          </w:p>
        </w:tc>
        <w:tc>
          <w:tcPr>
            <w:tcW w:w="0" w:type="dxa"/>
            <w:vAlign w:val="bottom"/>
          </w:tcPr>
          <w:p>
            <w:pPr>
              <w:spacing w:after="0"/>
              <w:rPr>
                <w:sz w:val="1"/>
                <w:szCs w:val="1"/>
                <w:color w:val="auto"/>
              </w:rPr>
            </w:pPr>
          </w:p>
        </w:tc>
      </w:tr>
      <w:tr>
        <w:trPr>
          <w:trHeight w:val="43"/>
        </w:trPr>
        <w:tc>
          <w:tcPr>
            <w:tcW w:w="180" w:type="dxa"/>
            <w:vAlign w:val="bottom"/>
          </w:tcPr>
          <w:p>
            <w:pPr>
              <w:spacing w:after="0"/>
              <w:rPr>
                <w:sz w:val="3"/>
                <w:szCs w:val="3"/>
                <w:color w:val="auto"/>
              </w:rPr>
            </w:pPr>
          </w:p>
        </w:tc>
        <w:tc>
          <w:tcPr>
            <w:tcW w:w="2300" w:type="dxa"/>
            <w:vAlign w:val="bottom"/>
          </w:tcPr>
          <w:p>
            <w:pPr>
              <w:spacing w:after="0"/>
              <w:rPr>
                <w:sz w:val="3"/>
                <w:szCs w:val="3"/>
                <w:color w:val="auto"/>
              </w:rPr>
            </w:pPr>
          </w:p>
        </w:tc>
        <w:tc>
          <w:tcPr>
            <w:tcW w:w="560" w:type="dxa"/>
            <w:vAlign w:val="bottom"/>
            <w:vMerge w:val="restart"/>
          </w:tcPr>
          <w:p>
            <w:pPr>
              <w:jc w:val="center"/>
              <w:ind w:left="143"/>
              <w:spacing w:after="0" w:line="114" w:lineRule="exact"/>
              <w:rPr>
                <w:sz w:val="20"/>
                <w:szCs w:val="20"/>
                <w:color w:val="auto"/>
              </w:rPr>
            </w:pPr>
            <w:r>
              <w:rPr>
                <w:rFonts w:ascii="Arial" w:cs="Arial" w:eastAsia="Arial" w:hAnsi="Arial"/>
                <w:sz w:val="11"/>
                <w:szCs w:val="11"/>
                <w:color w:val="auto"/>
              </w:rPr>
              <w:t>Lease</w:t>
            </w:r>
          </w:p>
        </w:tc>
        <w:tc>
          <w:tcPr>
            <w:tcW w:w="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vMerge w:val="restart"/>
          </w:tcPr>
          <w:p>
            <w:pPr>
              <w:jc w:val="center"/>
              <w:ind w:right="63"/>
              <w:spacing w:after="0" w:line="114" w:lineRule="exact"/>
              <w:rPr>
                <w:sz w:val="20"/>
                <w:szCs w:val="20"/>
                <w:color w:val="auto"/>
              </w:rPr>
            </w:pPr>
            <w:r>
              <w:rPr>
                <w:rFonts w:ascii="Arial" w:cs="Arial" w:eastAsia="Arial" w:hAnsi="Arial"/>
                <w:sz w:val="11"/>
                <w:szCs w:val="11"/>
                <w:color w:val="auto"/>
                <w:w w:val="99"/>
              </w:rPr>
              <w:t>Annual</w:t>
            </w:r>
          </w:p>
        </w:tc>
        <w:tc>
          <w:tcPr>
            <w:tcW w:w="940" w:type="dxa"/>
            <w:vAlign w:val="bottom"/>
            <w:vMerge w:val="restart"/>
          </w:tcPr>
          <w:p>
            <w:pPr>
              <w:jc w:val="center"/>
              <w:spacing w:after="0" w:line="114" w:lineRule="exact"/>
              <w:rPr>
                <w:sz w:val="20"/>
                <w:szCs w:val="20"/>
                <w:color w:val="auto"/>
              </w:rPr>
            </w:pPr>
            <w:r>
              <w:rPr>
                <w:rFonts w:ascii="Arial" w:cs="Arial" w:eastAsia="Arial" w:hAnsi="Arial"/>
                <w:sz w:val="11"/>
                <w:szCs w:val="11"/>
                <w:color w:val="auto"/>
              </w:rPr>
              <w:t>Percentage of</w:t>
            </w:r>
          </w:p>
        </w:tc>
        <w:tc>
          <w:tcPr>
            <w:tcW w:w="112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vMerge w:val="restart"/>
          </w:tcPr>
          <w:p>
            <w:pPr>
              <w:jc w:val="center"/>
              <w:spacing w:after="0" w:line="114" w:lineRule="exact"/>
              <w:rPr>
                <w:sz w:val="20"/>
                <w:szCs w:val="20"/>
                <w:color w:val="auto"/>
              </w:rPr>
            </w:pPr>
            <w:r>
              <w:rPr>
                <w:rFonts w:ascii="Arial" w:cs="Arial" w:eastAsia="Arial" w:hAnsi="Arial"/>
                <w:sz w:val="11"/>
                <w:szCs w:val="11"/>
                <w:color w:val="auto"/>
              </w:rPr>
              <w:t>Market</w:t>
            </w:r>
          </w:p>
        </w:tc>
        <w:tc>
          <w:tcPr>
            <w:tcW w:w="0" w:type="dxa"/>
            <w:vAlign w:val="bottom"/>
          </w:tcPr>
          <w:p>
            <w:pPr>
              <w:spacing w:after="0"/>
              <w:rPr>
                <w:sz w:val="1"/>
                <w:szCs w:val="1"/>
                <w:color w:val="auto"/>
              </w:rPr>
            </w:pPr>
          </w:p>
        </w:tc>
      </w:tr>
      <w:tr>
        <w:trPr>
          <w:trHeight w:val="71"/>
        </w:trPr>
        <w:tc>
          <w:tcPr>
            <w:tcW w:w="180" w:type="dxa"/>
            <w:vAlign w:val="bottom"/>
          </w:tcPr>
          <w:p>
            <w:pPr>
              <w:spacing w:after="0"/>
              <w:rPr>
                <w:sz w:val="6"/>
                <w:szCs w:val="6"/>
                <w:color w:val="auto"/>
              </w:rPr>
            </w:pPr>
          </w:p>
        </w:tc>
        <w:tc>
          <w:tcPr>
            <w:tcW w:w="230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820" w:type="dxa"/>
            <w:vAlign w:val="bottom"/>
            <w:vMerge w:val="restart"/>
          </w:tcPr>
          <w:p>
            <w:pPr>
              <w:jc w:val="right"/>
              <w:ind w:right="103"/>
              <w:spacing w:after="0"/>
              <w:rPr>
                <w:sz w:val="20"/>
                <w:szCs w:val="20"/>
                <w:color w:val="auto"/>
              </w:rPr>
            </w:pPr>
            <w:r>
              <w:rPr>
                <w:rFonts w:ascii="Arial" w:cs="Arial" w:eastAsia="Arial" w:hAnsi="Arial"/>
                <w:sz w:val="11"/>
                <w:szCs w:val="11"/>
                <w:color w:val="auto"/>
              </w:rPr>
              <w:t>Aggregate</w:t>
            </w:r>
          </w:p>
        </w:tc>
        <w:tc>
          <w:tcPr>
            <w:tcW w:w="16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1120" w:type="dxa"/>
            <w:vAlign w:val="bottom"/>
            <w:gridSpan w:val="2"/>
            <w:vMerge w:val="restart"/>
          </w:tcPr>
          <w:p>
            <w:pPr>
              <w:ind w:left="200"/>
              <w:spacing w:after="0"/>
              <w:rPr>
                <w:sz w:val="20"/>
                <w:szCs w:val="20"/>
                <w:color w:val="auto"/>
              </w:rPr>
            </w:pPr>
            <w:r>
              <w:rPr>
                <w:rFonts w:ascii="Arial" w:cs="Arial" w:eastAsia="Arial" w:hAnsi="Arial"/>
                <w:sz w:val="11"/>
                <w:szCs w:val="11"/>
                <w:color w:val="auto"/>
              </w:rPr>
              <w:t>Credit Ratings</w:t>
            </w:r>
          </w:p>
        </w:tc>
        <w:tc>
          <w:tcPr>
            <w:tcW w:w="16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7"/>
        </w:trPr>
        <w:tc>
          <w:tcPr>
            <w:tcW w:w="180" w:type="dxa"/>
            <w:vAlign w:val="bottom"/>
          </w:tcPr>
          <w:p>
            <w:pPr>
              <w:spacing w:after="0"/>
              <w:rPr>
                <w:sz w:val="9"/>
                <w:szCs w:val="9"/>
                <w:color w:val="auto"/>
              </w:rPr>
            </w:pPr>
          </w:p>
        </w:tc>
        <w:tc>
          <w:tcPr>
            <w:tcW w:w="2300" w:type="dxa"/>
            <w:vAlign w:val="bottom"/>
            <w:vMerge w:val="restart"/>
          </w:tcPr>
          <w:p>
            <w:pPr>
              <w:ind w:left="980"/>
              <w:spacing w:after="0"/>
              <w:rPr>
                <w:sz w:val="20"/>
                <w:szCs w:val="20"/>
                <w:color w:val="auto"/>
              </w:rPr>
            </w:pPr>
            <w:r>
              <w:rPr>
                <w:rFonts w:ascii="Arial" w:cs="Arial" w:eastAsia="Arial" w:hAnsi="Arial"/>
                <w:sz w:val="11"/>
                <w:szCs w:val="11"/>
                <w:color w:val="auto"/>
              </w:rPr>
              <w:t>Tenant</w:t>
            </w:r>
          </w:p>
        </w:tc>
        <w:tc>
          <w:tcPr>
            <w:tcW w:w="560" w:type="dxa"/>
            <w:vAlign w:val="bottom"/>
          </w:tcPr>
          <w:p>
            <w:pPr>
              <w:jc w:val="center"/>
              <w:ind w:left="123"/>
              <w:spacing w:after="0" w:line="107" w:lineRule="exact"/>
              <w:rPr>
                <w:sz w:val="20"/>
                <w:szCs w:val="20"/>
                <w:color w:val="auto"/>
              </w:rPr>
            </w:pPr>
            <w:r>
              <w:rPr>
                <w:rFonts w:ascii="Arial" w:cs="Arial" w:eastAsia="Arial" w:hAnsi="Arial"/>
                <w:sz w:val="10"/>
                <w:szCs w:val="10"/>
                <w:color w:val="auto"/>
              </w:rPr>
              <w:t>Term</w:t>
            </w:r>
            <w:r>
              <w:rPr>
                <w:rFonts w:ascii="Arial" w:cs="Arial" w:eastAsia="Arial" w:hAnsi="Arial"/>
                <w:sz w:val="12"/>
                <w:szCs w:val="12"/>
                <w:color w:val="auto"/>
                <w:vertAlign w:val="superscript"/>
              </w:rPr>
              <w:t>(1)</w:t>
            </w:r>
          </w:p>
        </w:tc>
        <w:tc>
          <w:tcPr>
            <w:tcW w:w="24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jc w:val="center"/>
              <w:ind w:right="63"/>
              <w:spacing w:after="0" w:line="107" w:lineRule="exact"/>
              <w:rPr>
                <w:sz w:val="20"/>
                <w:szCs w:val="20"/>
                <w:color w:val="auto"/>
              </w:rPr>
            </w:pPr>
            <w:r>
              <w:rPr>
                <w:rFonts w:ascii="Arial" w:cs="Arial" w:eastAsia="Arial" w:hAnsi="Arial"/>
                <w:sz w:val="11"/>
                <w:szCs w:val="11"/>
                <w:color w:val="auto"/>
              </w:rPr>
              <w:t>Rental</w:t>
            </w:r>
          </w:p>
        </w:tc>
        <w:tc>
          <w:tcPr>
            <w:tcW w:w="940" w:type="dxa"/>
            <w:vAlign w:val="bottom"/>
          </w:tcPr>
          <w:p>
            <w:pPr>
              <w:jc w:val="center"/>
              <w:spacing w:after="0" w:line="107" w:lineRule="exact"/>
              <w:rPr>
                <w:sz w:val="20"/>
                <w:szCs w:val="20"/>
                <w:color w:val="auto"/>
              </w:rPr>
            </w:pPr>
            <w:r>
              <w:rPr>
                <w:rFonts w:ascii="Arial" w:cs="Arial" w:eastAsia="Arial" w:hAnsi="Arial"/>
                <w:sz w:val="11"/>
                <w:szCs w:val="11"/>
                <w:color w:val="auto"/>
              </w:rPr>
              <w:t>Annual Rental</w:t>
            </w:r>
          </w:p>
        </w:tc>
        <w:tc>
          <w:tcPr>
            <w:tcW w:w="112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jc w:val="center"/>
              <w:spacing w:after="0" w:line="107" w:lineRule="exact"/>
              <w:rPr>
                <w:sz w:val="20"/>
                <w:szCs w:val="20"/>
                <w:color w:val="auto"/>
              </w:rPr>
            </w:pPr>
            <w:r>
              <w:rPr>
                <w:rFonts w:ascii="Arial" w:cs="Arial" w:eastAsia="Arial" w:hAnsi="Arial"/>
                <w:sz w:val="10"/>
                <w:szCs w:val="10"/>
                <w:color w:val="auto"/>
              </w:rPr>
              <w:t>Cap</w:t>
            </w:r>
            <w:r>
              <w:rPr>
                <w:rFonts w:ascii="Arial" w:cs="Arial" w:eastAsia="Arial" w:hAnsi="Arial"/>
                <w:sz w:val="12"/>
                <w:szCs w:val="12"/>
                <w:color w:val="auto"/>
                <w:vertAlign w:val="superscript"/>
              </w:rPr>
              <w:t>(1)</w:t>
            </w:r>
          </w:p>
        </w:tc>
        <w:tc>
          <w:tcPr>
            <w:tcW w:w="0" w:type="dxa"/>
            <w:vAlign w:val="bottom"/>
          </w:tcPr>
          <w:p>
            <w:pPr>
              <w:spacing w:after="0"/>
              <w:rPr>
                <w:sz w:val="1"/>
                <w:szCs w:val="1"/>
                <w:color w:val="auto"/>
              </w:rPr>
            </w:pPr>
          </w:p>
        </w:tc>
      </w:tr>
      <w:tr>
        <w:trPr>
          <w:trHeight w:val="187"/>
        </w:trPr>
        <w:tc>
          <w:tcPr>
            <w:tcW w:w="180" w:type="dxa"/>
            <w:vAlign w:val="bottom"/>
          </w:tcPr>
          <w:p>
            <w:pPr>
              <w:spacing w:after="0"/>
              <w:rPr>
                <w:sz w:val="16"/>
                <w:szCs w:val="16"/>
                <w:color w:val="auto"/>
              </w:rPr>
            </w:pPr>
          </w:p>
        </w:tc>
        <w:tc>
          <w:tcPr>
            <w:tcW w:w="2300" w:type="dxa"/>
            <w:vAlign w:val="bottom"/>
            <w:vMerge w:val="continue"/>
          </w:tcPr>
          <w:p>
            <w:pPr>
              <w:spacing w:after="0"/>
              <w:rPr>
                <w:sz w:val="16"/>
                <w:szCs w:val="16"/>
                <w:color w:val="auto"/>
              </w:rPr>
            </w:pPr>
          </w:p>
        </w:tc>
        <w:tc>
          <w:tcPr>
            <w:tcW w:w="800" w:type="dxa"/>
            <w:vAlign w:val="bottom"/>
            <w:gridSpan w:val="2"/>
          </w:tcPr>
          <w:p>
            <w:pPr>
              <w:jc w:val="center"/>
              <w:spacing w:after="0"/>
              <w:rPr>
                <w:sz w:val="20"/>
                <w:szCs w:val="20"/>
                <w:color w:val="auto"/>
              </w:rPr>
            </w:pPr>
            <w:r>
              <w:rPr>
                <w:rFonts w:ascii="Arial" w:cs="Arial" w:eastAsia="Arial" w:hAnsi="Arial"/>
                <w:sz w:val="11"/>
                <w:szCs w:val="11"/>
                <w:color w:val="auto"/>
              </w:rPr>
              <w:t>(in Years)</w:t>
            </w:r>
          </w:p>
        </w:tc>
        <w:tc>
          <w:tcPr>
            <w:tcW w:w="820" w:type="dxa"/>
            <w:vAlign w:val="bottom"/>
          </w:tcPr>
          <w:p>
            <w:pPr>
              <w:jc w:val="right"/>
              <w:ind w:right="243"/>
              <w:spacing w:after="0"/>
              <w:rPr>
                <w:sz w:val="20"/>
                <w:szCs w:val="20"/>
                <w:color w:val="auto"/>
              </w:rPr>
            </w:pPr>
            <w:r>
              <w:rPr>
                <w:rFonts w:ascii="Arial" w:cs="Arial" w:eastAsia="Arial" w:hAnsi="Arial"/>
                <w:sz w:val="11"/>
                <w:szCs w:val="11"/>
                <w:color w:val="auto"/>
              </w:rPr>
              <w:t>RSF</w:t>
            </w:r>
          </w:p>
        </w:tc>
        <w:tc>
          <w:tcPr>
            <w:tcW w:w="160" w:type="dxa"/>
            <w:vAlign w:val="bottom"/>
          </w:tcPr>
          <w:p>
            <w:pPr>
              <w:spacing w:after="0"/>
              <w:rPr>
                <w:sz w:val="16"/>
                <w:szCs w:val="16"/>
                <w:color w:val="auto"/>
              </w:rPr>
            </w:pPr>
          </w:p>
        </w:tc>
        <w:tc>
          <w:tcPr>
            <w:tcW w:w="700" w:type="dxa"/>
            <w:vAlign w:val="bottom"/>
          </w:tcPr>
          <w:p>
            <w:pPr>
              <w:jc w:val="center"/>
              <w:ind w:right="63"/>
              <w:spacing w:after="0"/>
              <w:rPr>
                <w:sz w:val="20"/>
                <w:szCs w:val="20"/>
                <w:color w:val="auto"/>
              </w:rPr>
            </w:pPr>
            <w:r>
              <w:rPr>
                <w:rFonts w:ascii="Arial" w:cs="Arial" w:eastAsia="Arial" w:hAnsi="Arial"/>
                <w:sz w:val="11"/>
                <w:szCs w:val="11"/>
                <w:color w:val="auto"/>
                <w:w w:val="97"/>
              </w:rPr>
              <w:t>Revenue</w:t>
            </w:r>
            <w:r>
              <w:rPr>
                <w:rFonts w:ascii="Arial" w:cs="Arial" w:eastAsia="Arial" w:hAnsi="Arial"/>
                <w:sz w:val="14"/>
                <w:szCs w:val="14"/>
                <w:color w:val="auto"/>
                <w:w w:val="97"/>
                <w:vertAlign w:val="superscript"/>
              </w:rPr>
              <w:t>(1)</w:t>
            </w:r>
          </w:p>
        </w:tc>
        <w:tc>
          <w:tcPr>
            <w:tcW w:w="940" w:type="dxa"/>
            <w:vAlign w:val="bottom"/>
          </w:tcPr>
          <w:p>
            <w:pPr>
              <w:jc w:val="center"/>
              <w:spacing w:after="0"/>
              <w:rPr>
                <w:sz w:val="20"/>
                <w:szCs w:val="20"/>
                <w:color w:val="auto"/>
              </w:rPr>
            </w:pPr>
            <w:r>
              <w:rPr>
                <w:rFonts w:ascii="Arial" w:cs="Arial" w:eastAsia="Arial" w:hAnsi="Arial"/>
                <w:sz w:val="11"/>
                <w:szCs w:val="11"/>
                <w:color w:val="auto"/>
                <w:w w:val="99"/>
              </w:rPr>
              <w:t xml:space="preserve">Revenue </w:t>
            </w:r>
            <w:r>
              <w:rPr>
                <w:rFonts w:ascii="Arial" w:cs="Arial" w:eastAsia="Arial" w:hAnsi="Arial"/>
                <w:sz w:val="14"/>
                <w:szCs w:val="14"/>
                <w:color w:val="auto"/>
                <w:w w:val="99"/>
                <w:vertAlign w:val="superscript"/>
              </w:rPr>
              <w:t>(1)</w:t>
            </w:r>
          </w:p>
        </w:tc>
        <w:tc>
          <w:tcPr>
            <w:tcW w:w="620" w:type="dxa"/>
            <w:vAlign w:val="bottom"/>
          </w:tcPr>
          <w:p>
            <w:pPr>
              <w:ind w:left="80"/>
              <w:spacing w:after="0"/>
              <w:rPr>
                <w:sz w:val="20"/>
                <w:szCs w:val="20"/>
                <w:color w:val="auto"/>
              </w:rPr>
            </w:pPr>
            <w:r>
              <w:rPr>
                <w:rFonts w:ascii="Arial" w:cs="Arial" w:eastAsia="Arial" w:hAnsi="Arial"/>
                <w:sz w:val="11"/>
                <w:szCs w:val="11"/>
                <w:color w:val="auto"/>
              </w:rPr>
              <w:t>Moody’s</w:t>
            </w:r>
          </w:p>
        </w:tc>
        <w:tc>
          <w:tcPr>
            <w:tcW w:w="500" w:type="dxa"/>
            <w:vAlign w:val="bottom"/>
          </w:tcPr>
          <w:p>
            <w:pPr>
              <w:jc w:val="center"/>
              <w:spacing w:after="0"/>
              <w:rPr>
                <w:sz w:val="20"/>
                <w:szCs w:val="20"/>
                <w:color w:val="auto"/>
              </w:rPr>
            </w:pPr>
            <w:r>
              <w:rPr>
                <w:rFonts w:ascii="Arial" w:cs="Arial" w:eastAsia="Arial" w:hAnsi="Arial"/>
                <w:sz w:val="11"/>
                <w:szCs w:val="11"/>
                <w:color w:val="auto"/>
                <w:w w:val="99"/>
              </w:rPr>
              <w:t>S&amp;P</w:t>
            </w:r>
          </w:p>
        </w:tc>
        <w:tc>
          <w:tcPr>
            <w:tcW w:w="660" w:type="dxa"/>
            <w:vAlign w:val="bottom"/>
            <w:gridSpan w:val="2"/>
          </w:tcPr>
          <w:p>
            <w:pPr>
              <w:ind w:left="120"/>
              <w:spacing w:after="0"/>
              <w:rPr>
                <w:sz w:val="20"/>
                <w:szCs w:val="20"/>
                <w:color w:val="auto"/>
              </w:rPr>
            </w:pPr>
            <w:r>
              <w:rPr>
                <w:rFonts w:ascii="Arial" w:cs="Arial" w:eastAsia="Arial" w:hAnsi="Arial"/>
                <w:sz w:val="11"/>
                <w:szCs w:val="11"/>
                <w:i w:val="1"/>
                <w:iCs w:val="1"/>
                <w:color w:val="auto"/>
                <w:w w:val="98"/>
              </w:rPr>
              <w:t>(in billions)</w:t>
            </w:r>
          </w:p>
        </w:tc>
        <w:tc>
          <w:tcPr>
            <w:tcW w:w="0" w:type="dxa"/>
            <w:vAlign w:val="bottom"/>
          </w:tcPr>
          <w:p>
            <w:pPr>
              <w:spacing w:after="0"/>
              <w:rPr>
                <w:sz w:val="1"/>
                <w:szCs w:val="1"/>
                <w:color w:val="auto"/>
              </w:rPr>
            </w:pPr>
          </w:p>
        </w:tc>
      </w:tr>
      <w:tr>
        <w:trPr>
          <w:trHeight w:val="150"/>
        </w:trPr>
        <w:tc>
          <w:tcPr>
            <w:tcW w:w="180" w:type="dxa"/>
            <w:vAlign w:val="bottom"/>
          </w:tcPr>
          <w:p>
            <w:pPr>
              <w:jc w:val="right"/>
              <w:ind w:right="3"/>
              <w:spacing w:after="0"/>
              <w:rPr>
                <w:sz w:val="20"/>
                <w:szCs w:val="20"/>
                <w:color w:val="auto"/>
              </w:rPr>
            </w:pPr>
            <w:r>
              <w:rPr>
                <w:rFonts w:ascii="Arial" w:cs="Arial" w:eastAsia="Arial" w:hAnsi="Arial"/>
                <w:sz w:val="11"/>
                <w:szCs w:val="11"/>
                <w:color w:val="auto"/>
              </w:rPr>
              <w:t>1</w:t>
            </w:r>
          </w:p>
        </w:tc>
        <w:tc>
          <w:tcPr>
            <w:tcW w:w="2300" w:type="dxa"/>
            <w:vAlign w:val="bottom"/>
          </w:tcPr>
          <w:p>
            <w:pPr>
              <w:ind w:left="80"/>
              <w:spacing w:after="0"/>
              <w:rPr>
                <w:sz w:val="20"/>
                <w:szCs w:val="20"/>
                <w:color w:val="auto"/>
              </w:rPr>
            </w:pPr>
            <w:r>
              <w:rPr>
                <w:rFonts w:ascii="Arial" w:cs="Arial" w:eastAsia="Arial" w:hAnsi="Arial"/>
                <w:sz w:val="11"/>
                <w:szCs w:val="11"/>
                <w:color w:val="auto"/>
              </w:rPr>
              <w:t>Moderna, Inc.</w:t>
            </w:r>
          </w:p>
        </w:tc>
        <w:tc>
          <w:tcPr>
            <w:tcW w:w="560" w:type="dxa"/>
            <w:vAlign w:val="bottom"/>
          </w:tcPr>
          <w:p>
            <w:pPr>
              <w:jc w:val="right"/>
              <w:ind w:right="3"/>
              <w:spacing w:after="0"/>
              <w:rPr>
                <w:sz w:val="20"/>
                <w:szCs w:val="20"/>
                <w:color w:val="auto"/>
              </w:rPr>
            </w:pPr>
            <w:r>
              <w:rPr>
                <w:rFonts w:ascii="Arial" w:cs="Arial" w:eastAsia="Arial" w:hAnsi="Arial"/>
                <w:sz w:val="11"/>
                <w:szCs w:val="11"/>
                <w:color w:val="auto"/>
              </w:rPr>
              <w:t>12.9</w:t>
            </w:r>
          </w:p>
        </w:tc>
        <w:tc>
          <w:tcPr>
            <w:tcW w:w="240" w:type="dxa"/>
            <w:vAlign w:val="bottom"/>
          </w:tcPr>
          <w:p>
            <w:pPr>
              <w:spacing w:after="0"/>
              <w:rPr>
                <w:sz w:val="13"/>
                <w:szCs w:val="13"/>
                <w:color w:val="auto"/>
              </w:rPr>
            </w:pPr>
          </w:p>
        </w:tc>
        <w:tc>
          <w:tcPr>
            <w:tcW w:w="820" w:type="dxa"/>
            <w:vAlign w:val="bottom"/>
          </w:tcPr>
          <w:p>
            <w:pPr>
              <w:jc w:val="right"/>
              <w:ind w:right="63"/>
              <w:spacing w:after="0"/>
              <w:rPr>
                <w:sz w:val="20"/>
                <w:szCs w:val="20"/>
                <w:color w:val="auto"/>
              </w:rPr>
            </w:pPr>
            <w:r>
              <w:rPr>
                <w:rFonts w:ascii="Arial" w:cs="Arial" w:eastAsia="Arial" w:hAnsi="Arial"/>
                <w:sz w:val="11"/>
                <w:szCs w:val="11"/>
                <w:color w:val="auto"/>
              </w:rPr>
              <w:t>1,385,536</w:t>
            </w:r>
          </w:p>
        </w:tc>
        <w:tc>
          <w:tcPr>
            <w:tcW w:w="160" w:type="dxa"/>
            <w:vAlign w:val="bottom"/>
          </w:tcPr>
          <w:p>
            <w:pPr>
              <w:jc w:val="right"/>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63"/>
              <w:spacing w:after="0"/>
              <w:rPr>
                <w:sz w:val="20"/>
                <w:szCs w:val="20"/>
                <w:color w:val="auto"/>
              </w:rPr>
            </w:pPr>
            <w:r>
              <w:rPr>
                <w:rFonts w:ascii="Arial" w:cs="Arial" w:eastAsia="Arial" w:hAnsi="Arial"/>
                <w:sz w:val="11"/>
                <w:szCs w:val="11"/>
                <w:color w:val="auto"/>
              </w:rPr>
              <w:t>127,122</w:t>
            </w:r>
          </w:p>
        </w:tc>
        <w:tc>
          <w:tcPr>
            <w:tcW w:w="940" w:type="dxa"/>
            <w:vAlign w:val="bottom"/>
          </w:tcPr>
          <w:p>
            <w:pPr>
              <w:ind w:left="420"/>
              <w:spacing w:after="0"/>
              <w:rPr>
                <w:sz w:val="20"/>
                <w:szCs w:val="20"/>
                <w:color w:val="auto"/>
              </w:rPr>
            </w:pPr>
            <w:r>
              <w:rPr>
                <w:rFonts w:ascii="Arial" w:cs="Arial" w:eastAsia="Arial" w:hAnsi="Arial"/>
                <w:sz w:val="11"/>
                <w:szCs w:val="11"/>
                <w:color w:val="auto"/>
              </w:rPr>
              <w:t>5.7%</w:t>
            </w:r>
          </w:p>
        </w:tc>
        <w:tc>
          <w:tcPr>
            <w:tcW w:w="62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500" w:type="dxa"/>
            <w:vAlign w:val="bottom"/>
          </w:tcPr>
          <w:p>
            <w:pPr>
              <w:jc w:val="center"/>
              <w:spacing w:after="0"/>
              <w:rPr>
                <w:sz w:val="20"/>
                <w:szCs w:val="20"/>
                <w:color w:val="auto"/>
              </w:rPr>
            </w:pPr>
            <w:r>
              <w:rPr>
                <w:rFonts w:ascii="Arial" w:cs="Arial" w:eastAsia="Arial" w:hAnsi="Arial"/>
                <w:sz w:val="11"/>
                <w:szCs w:val="11"/>
                <w:color w:val="auto"/>
              </w:rPr>
              <w:t>—</w:t>
            </w:r>
          </w:p>
        </w:tc>
        <w:tc>
          <w:tcPr>
            <w:tcW w:w="160" w:type="dxa"/>
            <w:vAlign w:val="bottom"/>
          </w:tcPr>
          <w:p>
            <w:pPr>
              <w:ind w:left="100"/>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40.5</w:t>
            </w:r>
          </w:p>
        </w:tc>
        <w:tc>
          <w:tcPr>
            <w:tcW w:w="0" w:type="dxa"/>
            <w:vAlign w:val="bottom"/>
          </w:tcPr>
          <w:p>
            <w:pPr>
              <w:spacing w:after="0"/>
              <w:rPr>
                <w:sz w:val="1"/>
                <w:szCs w:val="1"/>
                <w:color w:val="auto"/>
              </w:rPr>
            </w:pPr>
          </w:p>
        </w:tc>
      </w:tr>
      <w:tr>
        <w:trPr>
          <w:trHeight w:val="183"/>
        </w:trPr>
        <w:tc>
          <w:tcPr>
            <w:tcW w:w="180" w:type="dxa"/>
            <w:vAlign w:val="bottom"/>
          </w:tcPr>
          <w:p>
            <w:pPr>
              <w:jc w:val="right"/>
              <w:ind w:right="3"/>
              <w:spacing w:after="0"/>
              <w:rPr>
                <w:sz w:val="20"/>
                <w:szCs w:val="20"/>
                <w:color w:val="auto"/>
              </w:rPr>
            </w:pPr>
            <w:r>
              <w:rPr>
                <w:rFonts w:ascii="Arial" w:cs="Arial" w:eastAsia="Arial" w:hAnsi="Arial"/>
                <w:sz w:val="11"/>
                <w:szCs w:val="11"/>
                <w:color w:val="auto"/>
              </w:rPr>
              <w:t>2</w:t>
            </w:r>
          </w:p>
        </w:tc>
        <w:tc>
          <w:tcPr>
            <w:tcW w:w="2300" w:type="dxa"/>
            <w:vAlign w:val="bottom"/>
          </w:tcPr>
          <w:p>
            <w:pPr>
              <w:ind w:left="80"/>
              <w:spacing w:after="0"/>
              <w:rPr>
                <w:sz w:val="20"/>
                <w:szCs w:val="20"/>
                <w:color w:val="auto"/>
              </w:rPr>
            </w:pPr>
            <w:r>
              <w:rPr>
                <w:rFonts w:ascii="Arial" w:cs="Arial" w:eastAsia="Arial" w:hAnsi="Arial"/>
                <w:sz w:val="11"/>
                <w:szCs w:val="11"/>
                <w:color w:val="auto"/>
              </w:rPr>
              <w:t>Eli Lilly and Company</w:t>
            </w:r>
          </w:p>
        </w:tc>
        <w:tc>
          <w:tcPr>
            <w:tcW w:w="560" w:type="dxa"/>
            <w:vAlign w:val="bottom"/>
          </w:tcPr>
          <w:p>
            <w:pPr>
              <w:jc w:val="right"/>
              <w:ind w:right="3"/>
              <w:spacing w:after="0"/>
              <w:rPr>
                <w:sz w:val="20"/>
                <w:szCs w:val="20"/>
                <w:color w:val="auto"/>
              </w:rPr>
            </w:pPr>
            <w:r>
              <w:rPr>
                <w:rFonts w:ascii="Arial" w:cs="Arial" w:eastAsia="Arial" w:hAnsi="Arial"/>
                <w:sz w:val="11"/>
                <w:szCs w:val="11"/>
                <w:color w:val="auto"/>
              </w:rPr>
              <w:t>8.6</w:t>
            </w:r>
          </w:p>
        </w:tc>
        <w:tc>
          <w:tcPr>
            <w:tcW w:w="240" w:type="dxa"/>
            <w:vAlign w:val="bottom"/>
          </w:tcPr>
          <w:p>
            <w:pPr>
              <w:spacing w:after="0"/>
              <w:rPr>
                <w:sz w:val="15"/>
                <w:szCs w:val="15"/>
                <w:color w:val="auto"/>
              </w:rPr>
            </w:pPr>
          </w:p>
        </w:tc>
        <w:tc>
          <w:tcPr>
            <w:tcW w:w="820" w:type="dxa"/>
            <w:vAlign w:val="bottom"/>
          </w:tcPr>
          <w:p>
            <w:pPr>
              <w:jc w:val="right"/>
              <w:ind w:right="63"/>
              <w:spacing w:after="0"/>
              <w:rPr>
                <w:sz w:val="20"/>
                <w:szCs w:val="20"/>
                <w:color w:val="auto"/>
              </w:rPr>
            </w:pPr>
            <w:r>
              <w:rPr>
                <w:rFonts w:ascii="Arial" w:cs="Arial" w:eastAsia="Arial" w:hAnsi="Arial"/>
                <w:sz w:val="11"/>
                <w:szCs w:val="11"/>
                <w:color w:val="auto"/>
              </w:rPr>
              <w:t>1,134,349</w:t>
            </w:r>
          </w:p>
        </w:tc>
        <w:tc>
          <w:tcPr>
            <w:tcW w:w="160" w:type="dxa"/>
            <w:vAlign w:val="bottom"/>
          </w:tcPr>
          <w:p>
            <w:pPr>
              <w:spacing w:after="0"/>
              <w:rPr>
                <w:sz w:val="15"/>
                <w:szCs w:val="15"/>
                <w:color w:val="auto"/>
              </w:rPr>
            </w:pPr>
          </w:p>
        </w:tc>
        <w:tc>
          <w:tcPr>
            <w:tcW w:w="700" w:type="dxa"/>
            <w:vAlign w:val="bottom"/>
          </w:tcPr>
          <w:p>
            <w:pPr>
              <w:jc w:val="right"/>
              <w:ind w:right="63"/>
              <w:spacing w:after="0"/>
              <w:rPr>
                <w:sz w:val="20"/>
                <w:szCs w:val="20"/>
                <w:color w:val="auto"/>
              </w:rPr>
            </w:pPr>
            <w:r>
              <w:rPr>
                <w:rFonts w:ascii="Arial" w:cs="Arial" w:eastAsia="Arial" w:hAnsi="Arial"/>
                <w:sz w:val="11"/>
                <w:szCs w:val="11"/>
                <w:color w:val="auto"/>
              </w:rPr>
              <w:t>92,931</w:t>
            </w:r>
          </w:p>
        </w:tc>
        <w:tc>
          <w:tcPr>
            <w:tcW w:w="940" w:type="dxa"/>
            <w:vAlign w:val="bottom"/>
          </w:tcPr>
          <w:p>
            <w:pPr>
              <w:ind w:left="420"/>
              <w:spacing w:after="0"/>
              <w:rPr>
                <w:sz w:val="20"/>
                <w:szCs w:val="20"/>
                <w:color w:val="auto"/>
              </w:rPr>
            </w:pPr>
            <w:r>
              <w:rPr>
                <w:rFonts w:ascii="Arial" w:cs="Arial" w:eastAsia="Arial" w:hAnsi="Arial"/>
                <w:sz w:val="11"/>
                <w:szCs w:val="11"/>
                <w:color w:val="auto"/>
              </w:rPr>
              <w:t>4.2</w:t>
            </w:r>
          </w:p>
        </w:tc>
        <w:tc>
          <w:tcPr>
            <w:tcW w:w="620" w:type="dxa"/>
            <w:vAlign w:val="bottom"/>
          </w:tcPr>
          <w:p>
            <w:pPr>
              <w:jc w:val="center"/>
              <w:spacing w:after="0"/>
              <w:rPr>
                <w:sz w:val="20"/>
                <w:szCs w:val="20"/>
                <w:color w:val="auto"/>
              </w:rPr>
            </w:pPr>
            <w:r>
              <w:rPr>
                <w:rFonts w:ascii="Arial" w:cs="Arial" w:eastAsia="Arial" w:hAnsi="Arial"/>
                <w:sz w:val="11"/>
                <w:szCs w:val="11"/>
                <w:color w:val="auto"/>
              </w:rPr>
              <w:t>A2</w:t>
            </w:r>
          </w:p>
        </w:tc>
        <w:tc>
          <w:tcPr>
            <w:tcW w:w="500" w:type="dxa"/>
            <w:vAlign w:val="bottom"/>
          </w:tcPr>
          <w:p>
            <w:pPr>
              <w:jc w:val="center"/>
              <w:spacing w:after="0"/>
              <w:rPr>
                <w:sz w:val="20"/>
                <w:szCs w:val="20"/>
                <w:color w:val="auto"/>
              </w:rPr>
            </w:pPr>
            <w:r>
              <w:rPr>
                <w:rFonts w:ascii="Arial" w:cs="Arial" w:eastAsia="Arial" w:hAnsi="Arial"/>
                <w:sz w:val="11"/>
                <w:szCs w:val="11"/>
                <w:color w:val="auto"/>
              </w:rPr>
              <w:t>A+</w:t>
            </w:r>
          </w:p>
        </w:tc>
        <w:tc>
          <w:tcPr>
            <w:tcW w:w="160" w:type="dxa"/>
            <w:vAlign w:val="bottom"/>
          </w:tcPr>
          <w:p>
            <w:pPr>
              <w:ind w:left="100"/>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620.0</w:t>
            </w:r>
          </w:p>
        </w:tc>
        <w:tc>
          <w:tcPr>
            <w:tcW w:w="0" w:type="dxa"/>
            <w:vAlign w:val="bottom"/>
          </w:tcPr>
          <w:p>
            <w:pPr>
              <w:spacing w:after="0"/>
              <w:rPr>
                <w:sz w:val="1"/>
                <w:szCs w:val="1"/>
                <w:color w:val="auto"/>
              </w:rPr>
            </w:pPr>
          </w:p>
        </w:tc>
      </w:tr>
      <w:tr>
        <w:trPr>
          <w:trHeight w:val="183"/>
        </w:trPr>
        <w:tc>
          <w:tcPr>
            <w:tcW w:w="180" w:type="dxa"/>
            <w:vAlign w:val="bottom"/>
          </w:tcPr>
          <w:p>
            <w:pPr>
              <w:jc w:val="right"/>
              <w:ind w:right="3"/>
              <w:spacing w:after="0"/>
              <w:rPr>
                <w:sz w:val="20"/>
                <w:szCs w:val="20"/>
                <w:color w:val="auto"/>
              </w:rPr>
            </w:pPr>
            <w:r>
              <w:rPr>
                <w:rFonts w:ascii="Arial" w:cs="Arial" w:eastAsia="Arial" w:hAnsi="Arial"/>
                <w:sz w:val="11"/>
                <w:szCs w:val="11"/>
                <w:color w:val="auto"/>
              </w:rPr>
              <w:t>3</w:t>
            </w:r>
          </w:p>
        </w:tc>
        <w:tc>
          <w:tcPr>
            <w:tcW w:w="2300" w:type="dxa"/>
            <w:vAlign w:val="bottom"/>
          </w:tcPr>
          <w:p>
            <w:pPr>
              <w:ind w:left="80"/>
              <w:spacing w:after="0"/>
              <w:rPr>
                <w:sz w:val="20"/>
                <w:szCs w:val="20"/>
                <w:color w:val="auto"/>
              </w:rPr>
            </w:pPr>
            <w:r>
              <w:rPr>
                <w:rFonts w:ascii="Arial" w:cs="Arial" w:eastAsia="Arial" w:hAnsi="Arial"/>
                <w:sz w:val="11"/>
                <w:szCs w:val="11"/>
                <w:color w:val="auto"/>
              </w:rPr>
              <w:t>Bristol-Myers Squibb Company</w:t>
            </w:r>
          </w:p>
        </w:tc>
        <w:tc>
          <w:tcPr>
            <w:tcW w:w="560" w:type="dxa"/>
            <w:vAlign w:val="bottom"/>
          </w:tcPr>
          <w:p>
            <w:pPr>
              <w:jc w:val="right"/>
              <w:ind w:right="3"/>
              <w:spacing w:after="0"/>
              <w:rPr>
                <w:sz w:val="20"/>
                <w:szCs w:val="20"/>
                <w:color w:val="auto"/>
              </w:rPr>
            </w:pPr>
            <w:r>
              <w:rPr>
                <w:rFonts w:ascii="Arial" w:cs="Arial" w:eastAsia="Arial" w:hAnsi="Arial"/>
                <w:sz w:val="11"/>
                <w:szCs w:val="11"/>
                <w:color w:val="auto"/>
              </w:rPr>
              <w:t>6.6</w:t>
            </w:r>
          </w:p>
        </w:tc>
        <w:tc>
          <w:tcPr>
            <w:tcW w:w="240" w:type="dxa"/>
            <w:vAlign w:val="bottom"/>
          </w:tcPr>
          <w:p>
            <w:pPr>
              <w:spacing w:after="0"/>
              <w:rPr>
                <w:sz w:val="15"/>
                <w:szCs w:val="15"/>
                <w:color w:val="auto"/>
              </w:rPr>
            </w:pPr>
          </w:p>
        </w:tc>
        <w:tc>
          <w:tcPr>
            <w:tcW w:w="820" w:type="dxa"/>
            <w:vAlign w:val="bottom"/>
          </w:tcPr>
          <w:p>
            <w:pPr>
              <w:jc w:val="right"/>
              <w:ind w:right="63"/>
              <w:spacing w:after="0"/>
              <w:rPr>
                <w:sz w:val="20"/>
                <w:szCs w:val="20"/>
                <w:color w:val="auto"/>
              </w:rPr>
            </w:pPr>
            <w:r>
              <w:rPr>
                <w:rFonts w:ascii="Arial" w:cs="Arial" w:eastAsia="Arial" w:hAnsi="Arial"/>
                <w:sz w:val="11"/>
                <w:szCs w:val="11"/>
                <w:color w:val="auto"/>
              </w:rPr>
              <w:t>999,379</w:t>
            </w:r>
          </w:p>
        </w:tc>
        <w:tc>
          <w:tcPr>
            <w:tcW w:w="160" w:type="dxa"/>
            <w:vAlign w:val="bottom"/>
          </w:tcPr>
          <w:p>
            <w:pPr>
              <w:spacing w:after="0"/>
              <w:rPr>
                <w:sz w:val="15"/>
                <w:szCs w:val="15"/>
                <w:color w:val="auto"/>
              </w:rPr>
            </w:pPr>
          </w:p>
        </w:tc>
        <w:tc>
          <w:tcPr>
            <w:tcW w:w="700" w:type="dxa"/>
            <w:vAlign w:val="bottom"/>
          </w:tcPr>
          <w:p>
            <w:pPr>
              <w:jc w:val="right"/>
              <w:ind w:right="63"/>
              <w:spacing w:after="0"/>
              <w:rPr>
                <w:sz w:val="20"/>
                <w:szCs w:val="20"/>
                <w:color w:val="auto"/>
              </w:rPr>
            </w:pPr>
            <w:r>
              <w:rPr>
                <w:rFonts w:ascii="Arial" w:cs="Arial" w:eastAsia="Arial" w:hAnsi="Arial"/>
                <w:sz w:val="11"/>
                <w:szCs w:val="11"/>
                <w:color w:val="auto"/>
              </w:rPr>
              <w:t>76,363</w:t>
            </w:r>
          </w:p>
        </w:tc>
        <w:tc>
          <w:tcPr>
            <w:tcW w:w="940" w:type="dxa"/>
            <w:vAlign w:val="bottom"/>
          </w:tcPr>
          <w:p>
            <w:pPr>
              <w:ind w:left="420"/>
              <w:spacing w:after="0"/>
              <w:rPr>
                <w:sz w:val="20"/>
                <w:szCs w:val="20"/>
                <w:color w:val="auto"/>
              </w:rPr>
            </w:pPr>
            <w:r>
              <w:rPr>
                <w:rFonts w:ascii="Arial" w:cs="Arial" w:eastAsia="Arial" w:hAnsi="Arial"/>
                <w:sz w:val="11"/>
                <w:szCs w:val="11"/>
                <w:color w:val="auto"/>
              </w:rPr>
              <w:t>3.4</w:t>
            </w:r>
          </w:p>
        </w:tc>
        <w:tc>
          <w:tcPr>
            <w:tcW w:w="620" w:type="dxa"/>
            <w:vAlign w:val="bottom"/>
          </w:tcPr>
          <w:p>
            <w:pPr>
              <w:jc w:val="center"/>
              <w:spacing w:after="0"/>
              <w:rPr>
                <w:sz w:val="20"/>
                <w:szCs w:val="20"/>
                <w:color w:val="auto"/>
              </w:rPr>
            </w:pPr>
            <w:r>
              <w:rPr>
                <w:rFonts w:ascii="Arial" w:cs="Arial" w:eastAsia="Arial" w:hAnsi="Arial"/>
                <w:sz w:val="11"/>
                <w:szCs w:val="11"/>
                <w:color w:val="auto"/>
              </w:rPr>
              <w:t>A2</w:t>
            </w:r>
          </w:p>
        </w:tc>
        <w:tc>
          <w:tcPr>
            <w:tcW w:w="500" w:type="dxa"/>
            <w:vAlign w:val="bottom"/>
          </w:tcPr>
          <w:p>
            <w:pPr>
              <w:jc w:val="center"/>
              <w:spacing w:after="0"/>
              <w:rPr>
                <w:sz w:val="20"/>
                <w:szCs w:val="20"/>
                <w:color w:val="auto"/>
              </w:rPr>
            </w:pPr>
            <w:r>
              <w:rPr>
                <w:rFonts w:ascii="Arial" w:cs="Arial" w:eastAsia="Arial" w:hAnsi="Arial"/>
                <w:sz w:val="11"/>
                <w:szCs w:val="11"/>
                <w:color w:val="auto"/>
              </w:rPr>
              <w:t>A+</w:t>
            </w:r>
          </w:p>
        </w:tc>
        <w:tc>
          <w:tcPr>
            <w:tcW w:w="160" w:type="dxa"/>
            <w:vAlign w:val="bottom"/>
          </w:tcPr>
          <w:p>
            <w:pPr>
              <w:ind w:left="100"/>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107.4</w:t>
            </w:r>
          </w:p>
        </w:tc>
        <w:tc>
          <w:tcPr>
            <w:tcW w:w="0" w:type="dxa"/>
            <w:vAlign w:val="bottom"/>
          </w:tcPr>
          <w:p>
            <w:pPr>
              <w:spacing w:after="0"/>
              <w:rPr>
                <w:sz w:val="1"/>
                <w:szCs w:val="1"/>
                <w:color w:val="auto"/>
              </w:rPr>
            </w:pPr>
          </w:p>
        </w:tc>
      </w:tr>
      <w:tr>
        <w:trPr>
          <w:trHeight w:val="183"/>
        </w:trPr>
        <w:tc>
          <w:tcPr>
            <w:tcW w:w="180" w:type="dxa"/>
            <w:vAlign w:val="bottom"/>
          </w:tcPr>
          <w:p>
            <w:pPr>
              <w:jc w:val="right"/>
              <w:ind w:right="3"/>
              <w:spacing w:after="0"/>
              <w:rPr>
                <w:sz w:val="20"/>
                <w:szCs w:val="20"/>
                <w:color w:val="auto"/>
              </w:rPr>
            </w:pPr>
            <w:r>
              <w:rPr>
                <w:rFonts w:ascii="Arial" w:cs="Arial" w:eastAsia="Arial" w:hAnsi="Arial"/>
                <w:sz w:val="11"/>
                <w:szCs w:val="11"/>
                <w:color w:val="auto"/>
              </w:rPr>
              <w:t>4</w:t>
            </w:r>
          </w:p>
        </w:tc>
        <w:tc>
          <w:tcPr>
            <w:tcW w:w="2300" w:type="dxa"/>
            <w:vAlign w:val="bottom"/>
          </w:tcPr>
          <w:p>
            <w:pPr>
              <w:ind w:left="80"/>
              <w:spacing w:after="0"/>
              <w:rPr>
                <w:sz w:val="20"/>
                <w:szCs w:val="20"/>
                <w:color w:val="auto"/>
              </w:rPr>
            </w:pPr>
            <w:r>
              <w:rPr>
                <w:rFonts w:ascii="Arial" w:cs="Arial" w:eastAsia="Arial" w:hAnsi="Arial"/>
                <w:sz w:val="11"/>
                <w:szCs w:val="11"/>
                <w:color w:val="auto"/>
              </w:rPr>
              <w:t>Takeda Pharmaceutical Company Limited</w:t>
            </w:r>
          </w:p>
        </w:tc>
        <w:tc>
          <w:tcPr>
            <w:tcW w:w="560" w:type="dxa"/>
            <w:vAlign w:val="bottom"/>
          </w:tcPr>
          <w:p>
            <w:pPr>
              <w:jc w:val="right"/>
              <w:ind w:right="3"/>
              <w:spacing w:after="0"/>
              <w:rPr>
                <w:sz w:val="20"/>
                <w:szCs w:val="20"/>
                <w:color w:val="auto"/>
              </w:rPr>
            </w:pPr>
            <w:r>
              <w:rPr>
                <w:rFonts w:ascii="Arial" w:cs="Arial" w:eastAsia="Arial" w:hAnsi="Arial"/>
                <w:sz w:val="11"/>
                <w:szCs w:val="11"/>
                <w:color w:val="auto"/>
              </w:rPr>
              <w:t>10.9</w:t>
            </w:r>
          </w:p>
        </w:tc>
        <w:tc>
          <w:tcPr>
            <w:tcW w:w="240" w:type="dxa"/>
            <w:vAlign w:val="bottom"/>
          </w:tcPr>
          <w:p>
            <w:pPr>
              <w:spacing w:after="0"/>
              <w:rPr>
                <w:sz w:val="15"/>
                <w:szCs w:val="15"/>
                <w:color w:val="auto"/>
              </w:rPr>
            </w:pPr>
          </w:p>
        </w:tc>
        <w:tc>
          <w:tcPr>
            <w:tcW w:w="820" w:type="dxa"/>
            <w:vAlign w:val="bottom"/>
          </w:tcPr>
          <w:p>
            <w:pPr>
              <w:jc w:val="right"/>
              <w:ind w:right="63"/>
              <w:spacing w:after="0"/>
              <w:rPr>
                <w:sz w:val="20"/>
                <w:szCs w:val="20"/>
                <w:color w:val="auto"/>
              </w:rPr>
            </w:pPr>
            <w:r>
              <w:rPr>
                <w:rFonts w:ascii="Arial" w:cs="Arial" w:eastAsia="Arial" w:hAnsi="Arial"/>
                <w:sz w:val="11"/>
                <w:szCs w:val="11"/>
                <w:color w:val="auto"/>
              </w:rPr>
              <w:t>549,759</w:t>
            </w:r>
          </w:p>
        </w:tc>
        <w:tc>
          <w:tcPr>
            <w:tcW w:w="160" w:type="dxa"/>
            <w:vAlign w:val="bottom"/>
          </w:tcPr>
          <w:p>
            <w:pPr>
              <w:spacing w:after="0"/>
              <w:rPr>
                <w:sz w:val="15"/>
                <w:szCs w:val="15"/>
                <w:color w:val="auto"/>
              </w:rPr>
            </w:pPr>
          </w:p>
        </w:tc>
        <w:tc>
          <w:tcPr>
            <w:tcW w:w="700" w:type="dxa"/>
            <w:vAlign w:val="bottom"/>
          </w:tcPr>
          <w:p>
            <w:pPr>
              <w:jc w:val="right"/>
              <w:ind w:right="63"/>
              <w:spacing w:after="0"/>
              <w:rPr>
                <w:sz w:val="20"/>
                <w:szCs w:val="20"/>
                <w:color w:val="auto"/>
              </w:rPr>
            </w:pPr>
            <w:r>
              <w:rPr>
                <w:rFonts w:ascii="Arial" w:cs="Arial" w:eastAsia="Arial" w:hAnsi="Arial"/>
                <w:sz w:val="11"/>
                <w:szCs w:val="11"/>
                <w:color w:val="auto"/>
              </w:rPr>
              <w:t>47,899</w:t>
            </w:r>
          </w:p>
        </w:tc>
        <w:tc>
          <w:tcPr>
            <w:tcW w:w="940" w:type="dxa"/>
            <w:vAlign w:val="bottom"/>
          </w:tcPr>
          <w:p>
            <w:pPr>
              <w:ind w:left="420"/>
              <w:spacing w:after="0"/>
              <w:rPr>
                <w:sz w:val="20"/>
                <w:szCs w:val="20"/>
                <w:color w:val="auto"/>
              </w:rPr>
            </w:pPr>
            <w:r>
              <w:rPr>
                <w:rFonts w:ascii="Arial" w:cs="Arial" w:eastAsia="Arial" w:hAnsi="Arial"/>
                <w:sz w:val="11"/>
                <w:szCs w:val="11"/>
                <w:color w:val="auto"/>
              </w:rPr>
              <w:t>2.2</w:t>
            </w:r>
          </w:p>
        </w:tc>
        <w:tc>
          <w:tcPr>
            <w:tcW w:w="620" w:type="dxa"/>
            <w:vAlign w:val="bottom"/>
          </w:tcPr>
          <w:p>
            <w:pPr>
              <w:jc w:val="center"/>
              <w:spacing w:after="0"/>
              <w:rPr>
                <w:sz w:val="20"/>
                <w:szCs w:val="20"/>
                <w:color w:val="auto"/>
              </w:rPr>
            </w:pPr>
            <w:r>
              <w:rPr>
                <w:rFonts w:ascii="Arial" w:cs="Arial" w:eastAsia="Arial" w:hAnsi="Arial"/>
                <w:sz w:val="11"/>
                <w:szCs w:val="11"/>
                <w:color w:val="auto"/>
              </w:rPr>
              <w:t>Baa2</w:t>
            </w:r>
          </w:p>
        </w:tc>
        <w:tc>
          <w:tcPr>
            <w:tcW w:w="500" w:type="dxa"/>
            <w:vAlign w:val="bottom"/>
          </w:tcPr>
          <w:p>
            <w:pPr>
              <w:jc w:val="center"/>
              <w:spacing w:after="0"/>
              <w:rPr>
                <w:sz w:val="20"/>
                <w:szCs w:val="20"/>
                <w:color w:val="auto"/>
              </w:rPr>
            </w:pPr>
            <w:r>
              <w:rPr>
                <w:rFonts w:ascii="Arial" w:cs="Arial" w:eastAsia="Arial" w:hAnsi="Arial"/>
                <w:sz w:val="11"/>
                <w:szCs w:val="11"/>
                <w:color w:val="auto"/>
              </w:rPr>
              <w:t>BBB+</w:t>
            </w:r>
          </w:p>
        </w:tc>
        <w:tc>
          <w:tcPr>
            <w:tcW w:w="160" w:type="dxa"/>
            <w:vAlign w:val="bottom"/>
          </w:tcPr>
          <w:p>
            <w:pPr>
              <w:ind w:left="100"/>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45.4</w:t>
            </w:r>
          </w:p>
        </w:tc>
        <w:tc>
          <w:tcPr>
            <w:tcW w:w="0" w:type="dxa"/>
            <w:vAlign w:val="bottom"/>
          </w:tcPr>
          <w:p>
            <w:pPr>
              <w:spacing w:after="0"/>
              <w:rPr>
                <w:sz w:val="1"/>
                <w:szCs w:val="1"/>
                <w:color w:val="auto"/>
              </w:rPr>
            </w:pPr>
          </w:p>
        </w:tc>
      </w:tr>
      <w:tr>
        <w:trPr>
          <w:trHeight w:val="183"/>
        </w:trPr>
        <w:tc>
          <w:tcPr>
            <w:tcW w:w="180" w:type="dxa"/>
            <w:vAlign w:val="bottom"/>
          </w:tcPr>
          <w:p>
            <w:pPr>
              <w:jc w:val="right"/>
              <w:ind w:right="3"/>
              <w:spacing w:after="0"/>
              <w:rPr>
                <w:sz w:val="20"/>
                <w:szCs w:val="20"/>
                <w:color w:val="auto"/>
              </w:rPr>
            </w:pPr>
            <w:r>
              <w:rPr>
                <w:rFonts w:ascii="Arial" w:cs="Arial" w:eastAsia="Arial" w:hAnsi="Arial"/>
                <w:sz w:val="11"/>
                <w:szCs w:val="11"/>
                <w:color w:val="auto"/>
              </w:rPr>
              <w:t>5</w:t>
            </w:r>
          </w:p>
        </w:tc>
        <w:tc>
          <w:tcPr>
            <w:tcW w:w="2300" w:type="dxa"/>
            <w:vAlign w:val="bottom"/>
          </w:tcPr>
          <w:p>
            <w:pPr>
              <w:ind w:left="80"/>
              <w:spacing w:after="0"/>
              <w:rPr>
                <w:sz w:val="20"/>
                <w:szCs w:val="20"/>
                <w:color w:val="auto"/>
              </w:rPr>
            </w:pPr>
            <w:r>
              <w:rPr>
                <w:rFonts w:ascii="Arial" w:cs="Arial" w:eastAsia="Arial" w:hAnsi="Arial"/>
                <w:sz w:val="11"/>
                <w:szCs w:val="11"/>
                <w:color w:val="auto"/>
              </w:rPr>
              <w:t>Roche</w:t>
            </w:r>
          </w:p>
        </w:tc>
        <w:tc>
          <w:tcPr>
            <w:tcW w:w="560" w:type="dxa"/>
            <w:vAlign w:val="bottom"/>
          </w:tcPr>
          <w:p>
            <w:pPr>
              <w:jc w:val="right"/>
              <w:ind w:right="3"/>
              <w:spacing w:after="0"/>
              <w:rPr>
                <w:sz w:val="20"/>
                <w:szCs w:val="20"/>
                <w:color w:val="auto"/>
              </w:rPr>
            </w:pPr>
            <w:r>
              <w:rPr>
                <w:rFonts w:ascii="Arial" w:cs="Arial" w:eastAsia="Arial" w:hAnsi="Arial"/>
                <w:sz w:val="11"/>
                <w:szCs w:val="11"/>
                <w:color w:val="auto"/>
              </w:rPr>
              <w:t>5.8</w:t>
            </w:r>
          </w:p>
        </w:tc>
        <w:tc>
          <w:tcPr>
            <w:tcW w:w="240" w:type="dxa"/>
            <w:vAlign w:val="bottom"/>
          </w:tcPr>
          <w:p>
            <w:pPr>
              <w:spacing w:after="0"/>
              <w:rPr>
                <w:sz w:val="15"/>
                <w:szCs w:val="15"/>
                <w:color w:val="auto"/>
              </w:rPr>
            </w:pPr>
          </w:p>
        </w:tc>
        <w:tc>
          <w:tcPr>
            <w:tcW w:w="820" w:type="dxa"/>
            <w:vAlign w:val="bottom"/>
          </w:tcPr>
          <w:p>
            <w:pPr>
              <w:jc w:val="right"/>
              <w:ind w:right="63"/>
              <w:spacing w:after="0"/>
              <w:rPr>
                <w:sz w:val="20"/>
                <w:szCs w:val="20"/>
                <w:color w:val="auto"/>
              </w:rPr>
            </w:pPr>
            <w:r>
              <w:rPr>
                <w:rFonts w:ascii="Arial" w:cs="Arial" w:eastAsia="Arial" w:hAnsi="Arial"/>
                <w:sz w:val="11"/>
                <w:szCs w:val="11"/>
                <w:color w:val="auto"/>
              </w:rPr>
              <w:t>770,279</w:t>
            </w:r>
          </w:p>
        </w:tc>
        <w:tc>
          <w:tcPr>
            <w:tcW w:w="160" w:type="dxa"/>
            <w:vAlign w:val="bottom"/>
          </w:tcPr>
          <w:p>
            <w:pPr>
              <w:spacing w:after="0"/>
              <w:rPr>
                <w:sz w:val="15"/>
                <w:szCs w:val="15"/>
                <w:color w:val="auto"/>
              </w:rPr>
            </w:pPr>
          </w:p>
        </w:tc>
        <w:tc>
          <w:tcPr>
            <w:tcW w:w="700" w:type="dxa"/>
            <w:vAlign w:val="bottom"/>
          </w:tcPr>
          <w:p>
            <w:pPr>
              <w:jc w:val="right"/>
              <w:ind w:right="63"/>
              <w:spacing w:after="0"/>
              <w:rPr>
                <w:sz w:val="20"/>
                <w:szCs w:val="20"/>
                <w:color w:val="auto"/>
              </w:rPr>
            </w:pPr>
            <w:r>
              <w:rPr>
                <w:rFonts w:ascii="Arial" w:cs="Arial" w:eastAsia="Arial" w:hAnsi="Arial"/>
                <w:sz w:val="11"/>
                <w:szCs w:val="11"/>
                <w:color w:val="auto"/>
              </w:rPr>
              <w:t>45,888</w:t>
            </w:r>
          </w:p>
        </w:tc>
        <w:tc>
          <w:tcPr>
            <w:tcW w:w="940" w:type="dxa"/>
            <w:vAlign w:val="bottom"/>
          </w:tcPr>
          <w:p>
            <w:pPr>
              <w:ind w:left="420"/>
              <w:spacing w:after="0"/>
              <w:rPr>
                <w:sz w:val="20"/>
                <w:szCs w:val="20"/>
                <w:color w:val="auto"/>
              </w:rPr>
            </w:pPr>
            <w:r>
              <w:rPr>
                <w:rFonts w:ascii="Arial" w:cs="Arial" w:eastAsia="Arial" w:hAnsi="Arial"/>
                <w:sz w:val="11"/>
                <w:szCs w:val="11"/>
                <w:color w:val="auto"/>
              </w:rPr>
              <w:t>2.1</w:t>
            </w:r>
          </w:p>
        </w:tc>
        <w:tc>
          <w:tcPr>
            <w:tcW w:w="620" w:type="dxa"/>
            <w:vAlign w:val="bottom"/>
          </w:tcPr>
          <w:p>
            <w:pPr>
              <w:jc w:val="center"/>
              <w:spacing w:after="0"/>
              <w:rPr>
                <w:sz w:val="20"/>
                <w:szCs w:val="20"/>
                <w:color w:val="auto"/>
              </w:rPr>
            </w:pPr>
            <w:r>
              <w:rPr>
                <w:rFonts w:ascii="Arial" w:cs="Arial" w:eastAsia="Arial" w:hAnsi="Arial"/>
                <w:sz w:val="11"/>
                <w:szCs w:val="11"/>
                <w:color w:val="auto"/>
              </w:rPr>
              <w:t>Aa2</w:t>
            </w:r>
          </w:p>
        </w:tc>
        <w:tc>
          <w:tcPr>
            <w:tcW w:w="500" w:type="dxa"/>
            <w:vAlign w:val="bottom"/>
          </w:tcPr>
          <w:p>
            <w:pPr>
              <w:jc w:val="center"/>
              <w:spacing w:after="0"/>
              <w:rPr>
                <w:sz w:val="20"/>
                <w:szCs w:val="20"/>
                <w:color w:val="auto"/>
              </w:rPr>
            </w:pPr>
            <w:r>
              <w:rPr>
                <w:rFonts w:ascii="Arial" w:cs="Arial" w:eastAsia="Arial" w:hAnsi="Arial"/>
                <w:sz w:val="11"/>
                <w:szCs w:val="11"/>
                <w:color w:val="auto"/>
              </w:rPr>
              <w:t>AA</w:t>
            </w:r>
          </w:p>
        </w:tc>
        <w:tc>
          <w:tcPr>
            <w:tcW w:w="160" w:type="dxa"/>
            <w:vAlign w:val="bottom"/>
          </w:tcPr>
          <w:p>
            <w:pPr>
              <w:ind w:left="100"/>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224.0</w:t>
            </w:r>
          </w:p>
        </w:tc>
        <w:tc>
          <w:tcPr>
            <w:tcW w:w="0" w:type="dxa"/>
            <w:vAlign w:val="bottom"/>
          </w:tcPr>
          <w:p>
            <w:pPr>
              <w:spacing w:after="0"/>
              <w:rPr>
                <w:sz w:val="1"/>
                <w:szCs w:val="1"/>
                <w:color w:val="auto"/>
              </w:rPr>
            </w:pPr>
          </w:p>
        </w:tc>
      </w:tr>
      <w:tr>
        <w:trPr>
          <w:trHeight w:val="183"/>
        </w:trPr>
        <w:tc>
          <w:tcPr>
            <w:tcW w:w="180" w:type="dxa"/>
            <w:vAlign w:val="bottom"/>
          </w:tcPr>
          <w:p>
            <w:pPr>
              <w:jc w:val="right"/>
              <w:ind w:right="3"/>
              <w:spacing w:after="0"/>
              <w:rPr>
                <w:sz w:val="20"/>
                <w:szCs w:val="20"/>
                <w:color w:val="auto"/>
              </w:rPr>
            </w:pPr>
            <w:r>
              <w:rPr>
                <w:rFonts w:ascii="Arial" w:cs="Arial" w:eastAsia="Arial" w:hAnsi="Arial"/>
                <w:sz w:val="11"/>
                <w:szCs w:val="11"/>
                <w:color w:val="auto"/>
              </w:rPr>
              <w:t>6</w:t>
            </w:r>
          </w:p>
        </w:tc>
        <w:tc>
          <w:tcPr>
            <w:tcW w:w="2300" w:type="dxa"/>
            <w:vAlign w:val="bottom"/>
          </w:tcPr>
          <w:p>
            <w:pPr>
              <w:ind w:left="80"/>
              <w:spacing w:after="0"/>
              <w:rPr>
                <w:sz w:val="20"/>
                <w:szCs w:val="20"/>
                <w:color w:val="auto"/>
              </w:rPr>
            </w:pPr>
            <w:r>
              <w:rPr>
                <w:rFonts w:ascii="Arial" w:cs="Arial" w:eastAsia="Arial" w:hAnsi="Arial"/>
                <w:sz w:val="11"/>
                <w:szCs w:val="11"/>
                <w:color w:val="auto"/>
              </w:rPr>
              <w:t>Illumina, Inc.</w:t>
            </w:r>
          </w:p>
        </w:tc>
        <w:tc>
          <w:tcPr>
            <w:tcW w:w="560" w:type="dxa"/>
            <w:vAlign w:val="bottom"/>
          </w:tcPr>
          <w:p>
            <w:pPr>
              <w:jc w:val="right"/>
              <w:ind w:right="3"/>
              <w:spacing w:after="0"/>
              <w:rPr>
                <w:sz w:val="20"/>
                <w:szCs w:val="20"/>
                <w:color w:val="auto"/>
              </w:rPr>
            </w:pPr>
            <w:r>
              <w:rPr>
                <w:rFonts w:ascii="Arial" w:cs="Arial" w:eastAsia="Arial" w:hAnsi="Arial"/>
                <w:sz w:val="11"/>
                <w:szCs w:val="11"/>
                <w:color w:val="auto"/>
              </w:rPr>
              <w:t>6.6</w:t>
            </w:r>
          </w:p>
        </w:tc>
        <w:tc>
          <w:tcPr>
            <w:tcW w:w="240" w:type="dxa"/>
            <w:vAlign w:val="bottom"/>
          </w:tcPr>
          <w:p>
            <w:pPr>
              <w:spacing w:after="0"/>
              <w:rPr>
                <w:sz w:val="15"/>
                <w:szCs w:val="15"/>
                <w:color w:val="auto"/>
              </w:rPr>
            </w:pPr>
          </w:p>
        </w:tc>
        <w:tc>
          <w:tcPr>
            <w:tcW w:w="820" w:type="dxa"/>
            <w:vAlign w:val="bottom"/>
          </w:tcPr>
          <w:p>
            <w:pPr>
              <w:jc w:val="right"/>
              <w:ind w:right="63"/>
              <w:spacing w:after="0"/>
              <w:rPr>
                <w:sz w:val="20"/>
                <w:szCs w:val="20"/>
                <w:color w:val="auto"/>
              </w:rPr>
            </w:pPr>
            <w:r>
              <w:rPr>
                <w:rFonts w:ascii="Arial" w:cs="Arial" w:eastAsia="Arial" w:hAnsi="Arial"/>
                <w:sz w:val="11"/>
                <w:szCs w:val="11"/>
                <w:color w:val="auto"/>
              </w:rPr>
              <w:t>955,669</w:t>
            </w:r>
          </w:p>
        </w:tc>
        <w:tc>
          <w:tcPr>
            <w:tcW w:w="160" w:type="dxa"/>
            <w:vAlign w:val="bottom"/>
          </w:tcPr>
          <w:p>
            <w:pPr>
              <w:spacing w:after="0"/>
              <w:rPr>
                <w:sz w:val="15"/>
                <w:szCs w:val="15"/>
                <w:color w:val="auto"/>
              </w:rPr>
            </w:pPr>
          </w:p>
        </w:tc>
        <w:tc>
          <w:tcPr>
            <w:tcW w:w="700" w:type="dxa"/>
            <w:vAlign w:val="bottom"/>
          </w:tcPr>
          <w:p>
            <w:pPr>
              <w:jc w:val="right"/>
              <w:ind w:right="63"/>
              <w:spacing w:after="0"/>
              <w:rPr>
                <w:sz w:val="20"/>
                <w:szCs w:val="20"/>
                <w:color w:val="auto"/>
              </w:rPr>
            </w:pPr>
            <w:r>
              <w:rPr>
                <w:rFonts w:ascii="Arial" w:cs="Arial" w:eastAsia="Arial" w:hAnsi="Arial"/>
                <w:sz w:val="11"/>
                <w:szCs w:val="11"/>
                <w:color w:val="auto"/>
              </w:rPr>
              <w:t>41,588</w:t>
            </w:r>
          </w:p>
        </w:tc>
        <w:tc>
          <w:tcPr>
            <w:tcW w:w="940" w:type="dxa"/>
            <w:vAlign w:val="bottom"/>
          </w:tcPr>
          <w:p>
            <w:pPr>
              <w:ind w:left="420"/>
              <w:spacing w:after="0"/>
              <w:rPr>
                <w:sz w:val="20"/>
                <w:szCs w:val="20"/>
                <w:color w:val="auto"/>
              </w:rPr>
            </w:pPr>
            <w:r>
              <w:rPr>
                <w:rFonts w:ascii="Arial" w:cs="Arial" w:eastAsia="Arial" w:hAnsi="Arial"/>
                <w:sz w:val="11"/>
                <w:szCs w:val="11"/>
                <w:color w:val="auto"/>
              </w:rPr>
              <w:t>1.9</w:t>
            </w:r>
          </w:p>
        </w:tc>
        <w:tc>
          <w:tcPr>
            <w:tcW w:w="620" w:type="dxa"/>
            <w:vAlign w:val="bottom"/>
          </w:tcPr>
          <w:p>
            <w:pPr>
              <w:jc w:val="center"/>
              <w:spacing w:after="0"/>
              <w:rPr>
                <w:sz w:val="20"/>
                <w:szCs w:val="20"/>
                <w:color w:val="auto"/>
              </w:rPr>
            </w:pPr>
            <w:r>
              <w:rPr>
                <w:rFonts w:ascii="Arial" w:cs="Arial" w:eastAsia="Arial" w:hAnsi="Arial"/>
                <w:sz w:val="11"/>
                <w:szCs w:val="11"/>
                <w:color w:val="auto"/>
              </w:rPr>
              <w:t>Baa3</w:t>
            </w:r>
          </w:p>
        </w:tc>
        <w:tc>
          <w:tcPr>
            <w:tcW w:w="500" w:type="dxa"/>
            <w:vAlign w:val="bottom"/>
          </w:tcPr>
          <w:p>
            <w:pPr>
              <w:jc w:val="center"/>
              <w:spacing w:after="0"/>
              <w:rPr>
                <w:sz w:val="20"/>
                <w:szCs w:val="20"/>
                <w:color w:val="auto"/>
              </w:rPr>
            </w:pPr>
            <w:r>
              <w:rPr>
                <w:rFonts w:ascii="Arial" w:cs="Arial" w:eastAsia="Arial" w:hAnsi="Arial"/>
                <w:sz w:val="11"/>
                <w:szCs w:val="11"/>
                <w:color w:val="auto"/>
                <w:w w:val="99"/>
              </w:rPr>
              <w:t>BBB</w:t>
            </w:r>
          </w:p>
        </w:tc>
        <w:tc>
          <w:tcPr>
            <w:tcW w:w="160" w:type="dxa"/>
            <w:vAlign w:val="bottom"/>
          </w:tcPr>
          <w:p>
            <w:pPr>
              <w:ind w:left="100"/>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21.4</w:t>
            </w:r>
          </w:p>
        </w:tc>
        <w:tc>
          <w:tcPr>
            <w:tcW w:w="0" w:type="dxa"/>
            <w:vAlign w:val="bottom"/>
          </w:tcPr>
          <w:p>
            <w:pPr>
              <w:spacing w:after="0"/>
              <w:rPr>
                <w:sz w:val="1"/>
                <w:szCs w:val="1"/>
                <w:color w:val="auto"/>
              </w:rPr>
            </w:pPr>
          </w:p>
        </w:tc>
      </w:tr>
      <w:tr>
        <w:trPr>
          <w:trHeight w:val="183"/>
        </w:trPr>
        <w:tc>
          <w:tcPr>
            <w:tcW w:w="180" w:type="dxa"/>
            <w:vAlign w:val="bottom"/>
          </w:tcPr>
          <w:p>
            <w:pPr>
              <w:jc w:val="right"/>
              <w:ind w:right="3"/>
              <w:spacing w:after="0"/>
              <w:rPr>
                <w:sz w:val="20"/>
                <w:szCs w:val="20"/>
                <w:color w:val="auto"/>
              </w:rPr>
            </w:pPr>
            <w:r>
              <w:rPr>
                <w:rFonts w:ascii="Arial" w:cs="Arial" w:eastAsia="Arial" w:hAnsi="Arial"/>
                <w:sz w:val="11"/>
                <w:szCs w:val="11"/>
                <w:color w:val="auto"/>
              </w:rPr>
              <w:t>7</w:t>
            </w:r>
          </w:p>
        </w:tc>
        <w:tc>
          <w:tcPr>
            <w:tcW w:w="2300" w:type="dxa"/>
            <w:vAlign w:val="bottom"/>
          </w:tcPr>
          <w:p>
            <w:pPr>
              <w:ind w:left="80"/>
              <w:spacing w:after="0"/>
              <w:rPr>
                <w:sz w:val="20"/>
                <w:szCs w:val="20"/>
                <w:color w:val="auto"/>
              </w:rPr>
            </w:pPr>
            <w:r>
              <w:rPr>
                <w:rFonts w:ascii="Arial" w:cs="Arial" w:eastAsia="Arial" w:hAnsi="Arial"/>
                <w:sz w:val="11"/>
                <w:szCs w:val="11"/>
                <w:color w:val="auto"/>
              </w:rPr>
              <w:t>Alphabet Inc.</w:t>
            </w:r>
          </w:p>
        </w:tc>
        <w:tc>
          <w:tcPr>
            <w:tcW w:w="560" w:type="dxa"/>
            <w:vAlign w:val="bottom"/>
          </w:tcPr>
          <w:p>
            <w:pPr>
              <w:jc w:val="right"/>
              <w:ind w:right="3"/>
              <w:spacing w:after="0"/>
              <w:rPr>
                <w:sz w:val="20"/>
                <w:szCs w:val="20"/>
                <w:color w:val="auto"/>
              </w:rPr>
            </w:pPr>
            <w:r>
              <w:rPr>
                <w:rFonts w:ascii="Arial" w:cs="Arial" w:eastAsia="Arial" w:hAnsi="Arial"/>
                <w:sz w:val="11"/>
                <w:szCs w:val="11"/>
                <w:color w:val="auto"/>
              </w:rPr>
              <w:t>3.0</w:t>
            </w:r>
          </w:p>
        </w:tc>
        <w:tc>
          <w:tcPr>
            <w:tcW w:w="240" w:type="dxa"/>
            <w:vAlign w:val="bottom"/>
          </w:tcPr>
          <w:p>
            <w:pPr>
              <w:spacing w:after="0"/>
              <w:rPr>
                <w:sz w:val="15"/>
                <w:szCs w:val="15"/>
                <w:color w:val="auto"/>
              </w:rPr>
            </w:pPr>
          </w:p>
        </w:tc>
        <w:tc>
          <w:tcPr>
            <w:tcW w:w="820" w:type="dxa"/>
            <w:vAlign w:val="bottom"/>
          </w:tcPr>
          <w:p>
            <w:pPr>
              <w:jc w:val="right"/>
              <w:ind w:right="63"/>
              <w:spacing w:after="0"/>
              <w:rPr>
                <w:sz w:val="20"/>
                <w:szCs w:val="20"/>
                <w:color w:val="auto"/>
              </w:rPr>
            </w:pPr>
            <w:r>
              <w:rPr>
                <w:rFonts w:ascii="Arial" w:cs="Arial" w:eastAsia="Arial" w:hAnsi="Arial"/>
                <w:sz w:val="11"/>
                <w:szCs w:val="11"/>
                <w:color w:val="auto"/>
              </w:rPr>
              <w:t>724,223</w:t>
            </w:r>
          </w:p>
        </w:tc>
        <w:tc>
          <w:tcPr>
            <w:tcW w:w="160" w:type="dxa"/>
            <w:vAlign w:val="bottom"/>
          </w:tcPr>
          <w:p>
            <w:pPr>
              <w:spacing w:after="0"/>
              <w:rPr>
                <w:sz w:val="15"/>
                <w:szCs w:val="15"/>
                <w:color w:val="auto"/>
              </w:rPr>
            </w:pPr>
          </w:p>
        </w:tc>
        <w:tc>
          <w:tcPr>
            <w:tcW w:w="700" w:type="dxa"/>
            <w:vAlign w:val="bottom"/>
          </w:tcPr>
          <w:p>
            <w:pPr>
              <w:jc w:val="right"/>
              <w:ind w:right="63"/>
              <w:spacing w:after="0"/>
              <w:rPr>
                <w:sz w:val="20"/>
                <w:szCs w:val="20"/>
                <w:color w:val="auto"/>
              </w:rPr>
            </w:pPr>
            <w:r>
              <w:rPr>
                <w:rFonts w:ascii="Arial" w:cs="Arial" w:eastAsia="Arial" w:hAnsi="Arial"/>
                <w:sz w:val="11"/>
                <w:szCs w:val="11"/>
                <w:color w:val="auto"/>
              </w:rPr>
              <w:t>39,155</w:t>
            </w:r>
          </w:p>
        </w:tc>
        <w:tc>
          <w:tcPr>
            <w:tcW w:w="940" w:type="dxa"/>
            <w:vAlign w:val="bottom"/>
          </w:tcPr>
          <w:p>
            <w:pPr>
              <w:ind w:left="420"/>
              <w:spacing w:after="0"/>
              <w:rPr>
                <w:sz w:val="20"/>
                <w:szCs w:val="20"/>
                <w:color w:val="auto"/>
              </w:rPr>
            </w:pPr>
            <w:r>
              <w:rPr>
                <w:rFonts w:ascii="Arial" w:cs="Arial" w:eastAsia="Arial" w:hAnsi="Arial"/>
                <w:sz w:val="11"/>
                <w:szCs w:val="11"/>
                <w:color w:val="auto"/>
              </w:rPr>
              <w:t>1.8</w:t>
            </w:r>
          </w:p>
        </w:tc>
        <w:tc>
          <w:tcPr>
            <w:tcW w:w="620" w:type="dxa"/>
            <w:vAlign w:val="bottom"/>
          </w:tcPr>
          <w:p>
            <w:pPr>
              <w:jc w:val="center"/>
              <w:spacing w:after="0"/>
              <w:rPr>
                <w:sz w:val="20"/>
                <w:szCs w:val="20"/>
                <w:color w:val="auto"/>
              </w:rPr>
            </w:pPr>
            <w:r>
              <w:rPr>
                <w:rFonts w:ascii="Arial" w:cs="Arial" w:eastAsia="Arial" w:hAnsi="Arial"/>
                <w:sz w:val="11"/>
                <w:szCs w:val="11"/>
                <w:color w:val="auto"/>
              </w:rPr>
              <w:t>Aa2</w:t>
            </w:r>
          </w:p>
        </w:tc>
        <w:tc>
          <w:tcPr>
            <w:tcW w:w="500" w:type="dxa"/>
            <w:vAlign w:val="bottom"/>
          </w:tcPr>
          <w:p>
            <w:pPr>
              <w:jc w:val="center"/>
              <w:spacing w:after="0"/>
              <w:rPr>
                <w:sz w:val="20"/>
                <w:szCs w:val="20"/>
                <w:color w:val="auto"/>
              </w:rPr>
            </w:pPr>
            <w:r>
              <w:rPr>
                <w:rFonts w:ascii="Arial" w:cs="Arial" w:eastAsia="Arial" w:hAnsi="Arial"/>
                <w:sz w:val="11"/>
                <w:szCs w:val="11"/>
                <w:color w:val="auto"/>
              </w:rPr>
              <w:t>AA+</w:t>
            </w:r>
          </w:p>
        </w:tc>
        <w:tc>
          <w:tcPr>
            <w:tcW w:w="160" w:type="dxa"/>
            <w:vAlign w:val="bottom"/>
          </w:tcPr>
          <w:p>
            <w:pPr>
              <w:ind w:left="100"/>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1,805.5</w:t>
            </w:r>
          </w:p>
        </w:tc>
        <w:tc>
          <w:tcPr>
            <w:tcW w:w="0" w:type="dxa"/>
            <w:vAlign w:val="bottom"/>
          </w:tcPr>
          <w:p>
            <w:pPr>
              <w:spacing w:after="0"/>
              <w:rPr>
                <w:sz w:val="1"/>
                <w:szCs w:val="1"/>
                <w:color w:val="auto"/>
              </w:rPr>
            </w:pPr>
          </w:p>
        </w:tc>
      </w:tr>
      <w:tr>
        <w:trPr>
          <w:trHeight w:val="216"/>
        </w:trPr>
        <w:tc>
          <w:tcPr>
            <w:tcW w:w="180" w:type="dxa"/>
            <w:vAlign w:val="bottom"/>
          </w:tcPr>
          <w:p>
            <w:pPr>
              <w:jc w:val="right"/>
              <w:ind w:right="3"/>
              <w:spacing w:after="0"/>
              <w:rPr>
                <w:sz w:val="20"/>
                <w:szCs w:val="20"/>
                <w:color w:val="auto"/>
              </w:rPr>
            </w:pPr>
            <w:r>
              <w:rPr>
                <w:rFonts w:ascii="Arial" w:cs="Arial" w:eastAsia="Arial" w:hAnsi="Arial"/>
                <w:sz w:val="11"/>
                <w:szCs w:val="11"/>
                <w:color w:val="auto"/>
              </w:rPr>
              <w:t>8</w:t>
            </w:r>
          </w:p>
        </w:tc>
        <w:tc>
          <w:tcPr>
            <w:tcW w:w="2300" w:type="dxa"/>
            <w:vAlign w:val="bottom"/>
          </w:tcPr>
          <w:p>
            <w:pPr>
              <w:ind w:left="80"/>
              <w:spacing w:after="0"/>
              <w:rPr>
                <w:sz w:val="20"/>
                <w:szCs w:val="20"/>
                <w:color w:val="auto"/>
              </w:rPr>
            </w:pPr>
            <w:r>
              <w:rPr>
                <w:rFonts w:ascii="Arial" w:cs="Arial" w:eastAsia="Arial" w:hAnsi="Arial"/>
                <w:sz w:val="11"/>
                <w:szCs w:val="11"/>
                <w:color w:val="auto"/>
              </w:rPr>
              <w:t>2seventy bio, Inc.</w:t>
            </w:r>
            <w:r>
              <w:rPr>
                <w:rFonts w:ascii="Arial" w:cs="Arial" w:eastAsia="Arial" w:hAnsi="Arial"/>
                <w:sz w:val="14"/>
                <w:szCs w:val="14"/>
                <w:color w:val="auto"/>
                <w:vertAlign w:val="superscript"/>
              </w:rPr>
              <w:t>(2)</w:t>
            </w:r>
          </w:p>
        </w:tc>
        <w:tc>
          <w:tcPr>
            <w:tcW w:w="560" w:type="dxa"/>
            <w:vAlign w:val="bottom"/>
          </w:tcPr>
          <w:p>
            <w:pPr>
              <w:jc w:val="right"/>
              <w:ind w:right="3"/>
              <w:spacing w:after="0"/>
              <w:rPr>
                <w:sz w:val="20"/>
                <w:szCs w:val="20"/>
                <w:color w:val="auto"/>
              </w:rPr>
            </w:pPr>
            <w:r>
              <w:rPr>
                <w:rFonts w:ascii="Arial" w:cs="Arial" w:eastAsia="Arial" w:hAnsi="Arial"/>
                <w:sz w:val="11"/>
                <w:szCs w:val="11"/>
                <w:color w:val="auto"/>
              </w:rPr>
              <w:t>9.2</w:t>
            </w:r>
          </w:p>
        </w:tc>
        <w:tc>
          <w:tcPr>
            <w:tcW w:w="240" w:type="dxa"/>
            <w:vAlign w:val="bottom"/>
          </w:tcPr>
          <w:p>
            <w:pPr>
              <w:spacing w:after="0"/>
              <w:rPr>
                <w:sz w:val="18"/>
                <w:szCs w:val="18"/>
                <w:color w:val="auto"/>
              </w:rPr>
            </w:pPr>
          </w:p>
        </w:tc>
        <w:tc>
          <w:tcPr>
            <w:tcW w:w="820" w:type="dxa"/>
            <w:vAlign w:val="bottom"/>
          </w:tcPr>
          <w:p>
            <w:pPr>
              <w:jc w:val="right"/>
              <w:ind w:right="63"/>
              <w:spacing w:after="0"/>
              <w:rPr>
                <w:sz w:val="20"/>
                <w:szCs w:val="20"/>
                <w:color w:val="auto"/>
              </w:rPr>
            </w:pPr>
            <w:r>
              <w:rPr>
                <w:rFonts w:ascii="Arial" w:cs="Arial" w:eastAsia="Arial" w:hAnsi="Arial"/>
                <w:sz w:val="11"/>
                <w:szCs w:val="11"/>
                <w:color w:val="auto"/>
              </w:rPr>
              <w:t>312,805</w:t>
            </w:r>
          </w:p>
        </w:tc>
        <w:tc>
          <w:tcPr>
            <w:tcW w:w="160" w:type="dxa"/>
            <w:vAlign w:val="bottom"/>
          </w:tcPr>
          <w:p>
            <w:pPr>
              <w:spacing w:after="0"/>
              <w:rPr>
                <w:sz w:val="18"/>
                <w:szCs w:val="18"/>
                <w:color w:val="auto"/>
              </w:rPr>
            </w:pPr>
          </w:p>
        </w:tc>
        <w:tc>
          <w:tcPr>
            <w:tcW w:w="700" w:type="dxa"/>
            <w:vAlign w:val="bottom"/>
          </w:tcPr>
          <w:p>
            <w:pPr>
              <w:jc w:val="right"/>
              <w:ind w:right="63"/>
              <w:spacing w:after="0"/>
              <w:rPr>
                <w:sz w:val="20"/>
                <w:szCs w:val="20"/>
                <w:color w:val="auto"/>
              </w:rPr>
            </w:pPr>
            <w:r>
              <w:rPr>
                <w:rFonts w:ascii="Arial" w:cs="Arial" w:eastAsia="Arial" w:hAnsi="Arial"/>
                <w:sz w:val="11"/>
                <w:szCs w:val="11"/>
                <w:color w:val="auto"/>
              </w:rPr>
              <w:t>33,543</w:t>
            </w:r>
          </w:p>
        </w:tc>
        <w:tc>
          <w:tcPr>
            <w:tcW w:w="940" w:type="dxa"/>
            <w:vAlign w:val="bottom"/>
          </w:tcPr>
          <w:p>
            <w:pPr>
              <w:ind w:left="420"/>
              <w:spacing w:after="0"/>
              <w:rPr>
                <w:sz w:val="20"/>
                <w:szCs w:val="20"/>
                <w:color w:val="auto"/>
              </w:rPr>
            </w:pPr>
            <w:r>
              <w:rPr>
                <w:rFonts w:ascii="Arial" w:cs="Arial" w:eastAsia="Arial" w:hAnsi="Arial"/>
                <w:sz w:val="11"/>
                <w:szCs w:val="11"/>
                <w:color w:val="auto"/>
              </w:rPr>
              <w:t>1.5</w:t>
            </w:r>
          </w:p>
        </w:tc>
        <w:tc>
          <w:tcPr>
            <w:tcW w:w="62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500" w:type="dxa"/>
            <w:vAlign w:val="bottom"/>
          </w:tcPr>
          <w:p>
            <w:pPr>
              <w:jc w:val="center"/>
              <w:spacing w:after="0"/>
              <w:rPr>
                <w:sz w:val="20"/>
                <w:szCs w:val="20"/>
                <w:color w:val="auto"/>
              </w:rPr>
            </w:pPr>
            <w:r>
              <w:rPr>
                <w:rFonts w:ascii="Arial" w:cs="Arial" w:eastAsia="Arial" w:hAnsi="Arial"/>
                <w:sz w:val="11"/>
                <w:szCs w:val="11"/>
                <w:color w:val="auto"/>
              </w:rPr>
              <w:t>—</w:t>
            </w:r>
          </w:p>
        </w:tc>
        <w:tc>
          <w:tcPr>
            <w:tcW w:w="160" w:type="dxa"/>
            <w:vAlign w:val="bottom"/>
          </w:tcPr>
          <w:p>
            <w:pPr>
              <w:ind w:left="100"/>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0.2</w:t>
            </w:r>
          </w:p>
        </w:tc>
        <w:tc>
          <w:tcPr>
            <w:tcW w:w="0" w:type="dxa"/>
            <w:vAlign w:val="bottom"/>
          </w:tcPr>
          <w:p>
            <w:pPr>
              <w:spacing w:after="0"/>
              <w:rPr>
                <w:sz w:val="1"/>
                <w:szCs w:val="1"/>
                <w:color w:val="auto"/>
              </w:rPr>
            </w:pPr>
          </w:p>
        </w:tc>
      </w:tr>
      <w:tr>
        <w:trPr>
          <w:trHeight w:val="150"/>
        </w:trPr>
        <w:tc>
          <w:tcPr>
            <w:tcW w:w="180" w:type="dxa"/>
            <w:vAlign w:val="bottom"/>
          </w:tcPr>
          <w:p>
            <w:pPr>
              <w:jc w:val="right"/>
              <w:ind w:right="3"/>
              <w:spacing w:after="0"/>
              <w:rPr>
                <w:sz w:val="20"/>
                <w:szCs w:val="20"/>
                <w:color w:val="auto"/>
              </w:rPr>
            </w:pPr>
            <w:r>
              <w:rPr>
                <w:rFonts w:ascii="Arial" w:cs="Arial" w:eastAsia="Arial" w:hAnsi="Arial"/>
                <w:sz w:val="11"/>
                <w:szCs w:val="11"/>
                <w:color w:val="auto"/>
              </w:rPr>
              <w:t>9</w:t>
            </w:r>
          </w:p>
        </w:tc>
        <w:tc>
          <w:tcPr>
            <w:tcW w:w="2300" w:type="dxa"/>
            <w:vAlign w:val="bottom"/>
          </w:tcPr>
          <w:p>
            <w:pPr>
              <w:ind w:left="80"/>
              <w:spacing w:after="0"/>
              <w:rPr>
                <w:sz w:val="20"/>
                <w:szCs w:val="20"/>
                <w:color w:val="auto"/>
              </w:rPr>
            </w:pPr>
            <w:r>
              <w:rPr>
                <w:rFonts w:ascii="Arial" w:cs="Arial" w:eastAsia="Arial" w:hAnsi="Arial"/>
                <w:sz w:val="11"/>
                <w:szCs w:val="11"/>
                <w:color w:val="auto"/>
              </w:rPr>
              <w:t>Novartis AG</w:t>
            </w:r>
          </w:p>
        </w:tc>
        <w:tc>
          <w:tcPr>
            <w:tcW w:w="560" w:type="dxa"/>
            <w:vAlign w:val="bottom"/>
          </w:tcPr>
          <w:p>
            <w:pPr>
              <w:jc w:val="right"/>
              <w:ind w:right="3"/>
              <w:spacing w:after="0"/>
              <w:rPr>
                <w:sz w:val="20"/>
                <w:szCs w:val="20"/>
                <w:color w:val="auto"/>
              </w:rPr>
            </w:pPr>
            <w:r>
              <w:rPr>
                <w:rFonts w:ascii="Arial" w:cs="Arial" w:eastAsia="Arial" w:hAnsi="Arial"/>
                <w:sz w:val="11"/>
                <w:szCs w:val="11"/>
                <w:color w:val="auto"/>
              </w:rPr>
              <w:t>4.1</w:t>
            </w:r>
          </w:p>
        </w:tc>
        <w:tc>
          <w:tcPr>
            <w:tcW w:w="240" w:type="dxa"/>
            <w:vAlign w:val="bottom"/>
          </w:tcPr>
          <w:p>
            <w:pPr>
              <w:spacing w:after="0"/>
              <w:rPr>
                <w:sz w:val="13"/>
                <w:szCs w:val="13"/>
                <w:color w:val="auto"/>
              </w:rPr>
            </w:pPr>
          </w:p>
        </w:tc>
        <w:tc>
          <w:tcPr>
            <w:tcW w:w="820" w:type="dxa"/>
            <w:vAlign w:val="bottom"/>
          </w:tcPr>
          <w:p>
            <w:pPr>
              <w:jc w:val="right"/>
              <w:ind w:right="63"/>
              <w:spacing w:after="0"/>
              <w:rPr>
                <w:sz w:val="20"/>
                <w:szCs w:val="20"/>
                <w:color w:val="auto"/>
              </w:rPr>
            </w:pPr>
            <w:r>
              <w:rPr>
                <w:rFonts w:ascii="Arial" w:cs="Arial" w:eastAsia="Arial" w:hAnsi="Arial"/>
                <w:sz w:val="11"/>
                <w:szCs w:val="11"/>
                <w:color w:val="auto"/>
              </w:rPr>
              <w:t>450,563</w:t>
            </w:r>
          </w:p>
        </w:tc>
        <w:tc>
          <w:tcPr>
            <w:tcW w:w="160" w:type="dxa"/>
            <w:vAlign w:val="bottom"/>
          </w:tcPr>
          <w:p>
            <w:pPr>
              <w:spacing w:after="0"/>
              <w:rPr>
                <w:sz w:val="13"/>
                <w:szCs w:val="13"/>
                <w:color w:val="auto"/>
              </w:rPr>
            </w:pPr>
          </w:p>
        </w:tc>
        <w:tc>
          <w:tcPr>
            <w:tcW w:w="700" w:type="dxa"/>
            <w:vAlign w:val="bottom"/>
          </w:tcPr>
          <w:p>
            <w:pPr>
              <w:jc w:val="right"/>
              <w:ind w:right="63"/>
              <w:spacing w:after="0"/>
              <w:rPr>
                <w:sz w:val="20"/>
                <w:szCs w:val="20"/>
                <w:color w:val="auto"/>
              </w:rPr>
            </w:pPr>
            <w:r>
              <w:rPr>
                <w:rFonts w:ascii="Arial" w:cs="Arial" w:eastAsia="Arial" w:hAnsi="Arial"/>
                <w:sz w:val="11"/>
                <w:szCs w:val="11"/>
                <w:color w:val="auto"/>
              </w:rPr>
              <w:t>30,969</w:t>
            </w:r>
          </w:p>
        </w:tc>
        <w:tc>
          <w:tcPr>
            <w:tcW w:w="940" w:type="dxa"/>
            <w:vAlign w:val="bottom"/>
          </w:tcPr>
          <w:p>
            <w:pPr>
              <w:ind w:left="420"/>
              <w:spacing w:after="0"/>
              <w:rPr>
                <w:sz w:val="20"/>
                <w:szCs w:val="20"/>
                <w:color w:val="auto"/>
              </w:rPr>
            </w:pPr>
            <w:r>
              <w:rPr>
                <w:rFonts w:ascii="Arial" w:cs="Arial" w:eastAsia="Arial" w:hAnsi="Arial"/>
                <w:sz w:val="11"/>
                <w:szCs w:val="11"/>
                <w:color w:val="auto"/>
              </w:rPr>
              <w:t>1.4</w:t>
            </w:r>
          </w:p>
        </w:tc>
        <w:tc>
          <w:tcPr>
            <w:tcW w:w="620" w:type="dxa"/>
            <w:vAlign w:val="bottom"/>
          </w:tcPr>
          <w:p>
            <w:pPr>
              <w:jc w:val="center"/>
              <w:spacing w:after="0"/>
              <w:rPr>
                <w:sz w:val="20"/>
                <w:szCs w:val="20"/>
                <w:color w:val="auto"/>
              </w:rPr>
            </w:pPr>
            <w:r>
              <w:rPr>
                <w:rFonts w:ascii="Arial" w:cs="Arial" w:eastAsia="Arial" w:hAnsi="Arial"/>
                <w:sz w:val="11"/>
                <w:szCs w:val="11"/>
                <w:color w:val="auto"/>
              </w:rPr>
              <w:t>A1</w:t>
            </w:r>
          </w:p>
        </w:tc>
        <w:tc>
          <w:tcPr>
            <w:tcW w:w="500" w:type="dxa"/>
            <w:vAlign w:val="bottom"/>
          </w:tcPr>
          <w:p>
            <w:pPr>
              <w:jc w:val="center"/>
              <w:spacing w:after="0"/>
              <w:rPr>
                <w:sz w:val="20"/>
                <w:szCs w:val="20"/>
                <w:color w:val="auto"/>
              </w:rPr>
            </w:pPr>
            <w:r>
              <w:rPr>
                <w:rFonts w:ascii="Arial" w:cs="Arial" w:eastAsia="Arial" w:hAnsi="Arial"/>
                <w:sz w:val="11"/>
                <w:szCs w:val="11"/>
                <w:color w:val="auto"/>
              </w:rPr>
              <w:t>AA-</w:t>
            </w:r>
          </w:p>
        </w:tc>
        <w:tc>
          <w:tcPr>
            <w:tcW w:w="160" w:type="dxa"/>
            <w:vAlign w:val="bottom"/>
          </w:tcPr>
          <w:p>
            <w:pPr>
              <w:ind w:left="100"/>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227.3</w:t>
            </w:r>
          </w:p>
        </w:tc>
        <w:tc>
          <w:tcPr>
            <w:tcW w:w="0" w:type="dxa"/>
            <w:vAlign w:val="bottom"/>
          </w:tcPr>
          <w:p>
            <w:pPr>
              <w:spacing w:after="0"/>
              <w:rPr>
                <w:sz w:val="1"/>
                <w:szCs w:val="1"/>
                <w:color w:val="auto"/>
              </w:rPr>
            </w:pPr>
          </w:p>
        </w:tc>
      </w:tr>
      <w:tr>
        <w:trPr>
          <w:trHeight w:val="183"/>
        </w:trPr>
        <w:tc>
          <w:tcPr>
            <w:tcW w:w="180" w:type="dxa"/>
            <w:vAlign w:val="bottom"/>
          </w:tcPr>
          <w:p>
            <w:pPr>
              <w:jc w:val="right"/>
              <w:ind w:right="3"/>
              <w:spacing w:after="0"/>
              <w:rPr>
                <w:sz w:val="20"/>
                <w:szCs w:val="20"/>
                <w:color w:val="auto"/>
              </w:rPr>
            </w:pPr>
            <w:r>
              <w:rPr>
                <w:rFonts w:ascii="Arial" w:cs="Arial" w:eastAsia="Arial" w:hAnsi="Arial"/>
                <w:sz w:val="11"/>
                <w:szCs w:val="11"/>
                <w:color w:val="auto"/>
                <w:w w:val="81"/>
              </w:rPr>
              <w:t>10</w:t>
            </w:r>
          </w:p>
        </w:tc>
        <w:tc>
          <w:tcPr>
            <w:tcW w:w="2300" w:type="dxa"/>
            <w:vAlign w:val="bottom"/>
          </w:tcPr>
          <w:p>
            <w:pPr>
              <w:ind w:left="80"/>
              <w:spacing w:after="0"/>
              <w:rPr>
                <w:sz w:val="20"/>
                <w:szCs w:val="20"/>
                <w:color w:val="auto"/>
              </w:rPr>
            </w:pPr>
            <w:r>
              <w:rPr>
                <w:rFonts w:ascii="Arial" w:cs="Arial" w:eastAsia="Arial" w:hAnsi="Arial"/>
                <w:sz w:val="11"/>
                <w:szCs w:val="11"/>
                <w:color w:val="auto"/>
              </w:rPr>
              <w:t>Harvard University</w:t>
            </w:r>
          </w:p>
        </w:tc>
        <w:tc>
          <w:tcPr>
            <w:tcW w:w="560" w:type="dxa"/>
            <w:vAlign w:val="bottom"/>
          </w:tcPr>
          <w:p>
            <w:pPr>
              <w:jc w:val="right"/>
              <w:ind w:right="3"/>
              <w:spacing w:after="0"/>
              <w:rPr>
                <w:sz w:val="20"/>
                <w:szCs w:val="20"/>
                <w:color w:val="auto"/>
              </w:rPr>
            </w:pPr>
            <w:r>
              <w:rPr>
                <w:rFonts w:ascii="Arial" w:cs="Arial" w:eastAsia="Arial" w:hAnsi="Arial"/>
                <w:sz w:val="11"/>
                <w:szCs w:val="11"/>
                <w:color w:val="auto"/>
              </w:rPr>
              <w:t>6.3</w:t>
            </w:r>
          </w:p>
        </w:tc>
        <w:tc>
          <w:tcPr>
            <w:tcW w:w="240" w:type="dxa"/>
            <w:vAlign w:val="bottom"/>
          </w:tcPr>
          <w:p>
            <w:pPr>
              <w:spacing w:after="0"/>
              <w:rPr>
                <w:sz w:val="15"/>
                <w:szCs w:val="15"/>
                <w:color w:val="auto"/>
              </w:rPr>
            </w:pPr>
          </w:p>
        </w:tc>
        <w:tc>
          <w:tcPr>
            <w:tcW w:w="820" w:type="dxa"/>
            <w:vAlign w:val="bottom"/>
          </w:tcPr>
          <w:p>
            <w:pPr>
              <w:jc w:val="right"/>
              <w:ind w:right="63"/>
              <w:spacing w:after="0"/>
              <w:rPr>
                <w:sz w:val="20"/>
                <w:szCs w:val="20"/>
                <w:color w:val="auto"/>
              </w:rPr>
            </w:pPr>
            <w:r>
              <w:rPr>
                <w:rFonts w:ascii="Arial" w:cs="Arial" w:eastAsia="Arial" w:hAnsi="Arial"/>
                <w:sz w:val="11"/>
                <w:szCs w:val="11"/>
                <w:color w:val="auto"/>
              </w:rPr>
              <w:t>343,858</w:t>
            </w:r>
          </w:p>
        </w:tc>
        <w:tc>
          <w:tcPr>
            <w:tcW w:w="160" w:type="dxa"/>
            <w:vAlign w:val="bottom"/>
          </w:tcPr>
          <w:p>
            <w:pPr>
              <w:spacing w:after="0"/>
              <w:rPr>
                <w:sz w:val="15"/>
                <w:szCs w:val="15"/>
                <w:color w:val="auto"/>
              </w:rPr>
            </w:pPr>
          </w:p>
        </w:tc>
        <w:tc>
          <w:tcPr>
            <w:tcW w:w="700" w:type="dxa"/>
            <w:vAlign w:val="bottom"/>
          </w:tcPr>
          <w:p>
            <w:pPr>
              <w:jc w:val="right"/>
              <w:ind w:right="63"/>
              <w:spacing w:after="0"/>
              <w:rPr>
                <w:sz w:val="20"/>
                <w:szCs w:val="20"/>
                <w:color w:val="auto"/>
              </w:rPr>
            </w:pPr>
            <w:r>
              <w:rPr>
                <w:rFonts w:ascii="Arial" w:cs="Arial" w:eastAsia="Arial" w:hAnsi="Arial"/>
                <w:sz w:val="11"/>
                <w:szCs w:val="11"/>
                <w:color w:val="auto"/>
              </w:rPr>
              <w:t>28,872</w:t>
            </w:r>
          </w:p>
        </w:tc>
        <w:tc>
          <w:tcPr>
            <w:tcW w:w="940" w:type="dxa"/>
            <w:vAlign w:val="bottom"/>
          </w:tcPr>
          <w:p>
            <w:pPr>
              <w:ind w:left="420"/>
              <w:spacing w:after="0"/>
              <w:rPr>
                <w:sz w:val="20"/>
                <w:szCs w:val="20"/>
                <w:color w:val="auto"/>
              </w:rPr>
            </w:pPr>
            <w:r>
              <w:rPr>
                <w:rFonts w:ascii="Arial" w:cs="Arial" w:eastAsia="Arial" w:hAnsi="Arial"/>
                <w:sz w:val="11"/>
                <w:szCs w:val="11"/>
                <w:color w:val="auto"/>
              </w:rPr>
              <w:t>1.3</w:t>
            </w:r>
          </w:p>
        </w:tc>
        <w:tc>
          <w:tcPr>
            <w:tcW w:w="620" w:type="dxa"/>
            <w:vAlign w:val="bottom"/>
          </w:tcPr>
          <w:p>
            <w:pPr>
              <w:ind w:left="200"/>
              <w:spacing w:after="0"/>
              <w:rPr>
                <w:sz w:val="20"/>
                <w:szCs w:val="20"/>
                <w:color w:val="auto"/>
              </w:rPr>
            </w:pPr>
            <w:r>
              <w:rPr>
                <w:rFonts w:ascii="Arial" w:cs="Arial" w:eastAsia="Arial" w:hAnsi="Arial"/>
                <w:sz w:val="11"/>
                <w:szCs w:val="11"/>
                <w:color w:val="auto"/>
              </w:rPr>
              <w:t>Aaa</w:t>
            </w:r>
          </w:p>
        </w:tc>
        <w:tc>
          <w:tcPr>
            <w:tcW w:w="500" w:type="dxa"/>
            <w:vAlign w:val="bottom"/>
          </w:tcPr>
          <w:p>
            <w:pPr>
              <w:jc w:val="center"/>
              <w:spacing w:after="0"/>
              <w:rPr>
                <w:sz w:val="20"/>
                <w:szCs w:val="20"/>
                <w:color w:val="auto"/>
              </w:rPr>
            </w:pPr>
            <w:r>
              <w:rPr>
                <w:rFonts w:ascii="Arial" w:cs="Arial" w:eastAsia="Arial" w:hAnsi="Arial"/>
                <w:sz w:val="11"/>
                <w:szCs w:val="11"/>
                <w:color w:val="auto"/>
                <w:w w:val="99"/>
              </w:rPr>
              <w:t>AAA</w:t>
            </w:r>
          </w:p>
        </w:tc>
        <w:tc>
          <w:tcPr>
            <w:tcW w:w="160" w:type="dxa"/>
            <w:vAlign w:val="bottom"/>
          </w:tcPr>
          <w:p>
            <w:pPr>
              <w:ind w:left="100"/>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83"/>
        </w:trPr>
        <w:tc>
          <w:tcPr>
            <w:tcW w:w="180" w:type="dxa"/>
            <w:vAlign w:val="bottom"/>
          </w:tcPr>
          <w:p>
            <w:pPr>
              <w:jc w:val="right"/>
              <w:ind w:right="23"/>
              <w:spacing w:after="0"/>
              <w:rPr>
                <w:sz w:val="20"/>
                <w:szCs w:val="20"/>
                <w:color w:val="auto"/>
              </w:rPr>
            </w:pPr>
            <w:r>
              <w:rPr>
                <w:rFonts w:ascii="Arial" w:cs="Arial" w:eastAsia="Arial" w:hAnsi="Arial"/>
                <w:sz w:val="10"/>
                <w:szCs w:val="10"/>
                <w:color w:val="auto"/>
                <w:w w:val="71"/>
              </w:rPr>
              <w:t>11</w:t>
            </w:r>
          </w:p>
        </w:tc>
        <w:tc>
          <w:tcPr>
            <w:tcW w:w="2300" w:type="dxa"/>
            <w:vAlign w:val="bottom"/>
          </w:tcPr>
          <w:p>
            <w:pPr>
              <w:ind w:left="80"/>
              <w:spacing w:after="0"/>
              <w:rPr>
                <w:sz w:val="20"/>
                <w:szCs w:val="20"/>
                <w:color w:val="auto"/>
              </w:rPr>
            </w:pPr>
            <w:r>
              <w:rPr>
                <w:rFonts w:ascii="Arial" w:cs="Arial" w:eastAsia="Arial" w:hAnsi="Arial"/>
                <w:sz w:val="11"/>
                <w:szCs w:val="11"/>
                <w:color w:val="auto"/>
              </w:rPr>
              <w:t>Cloud Software Group, Inc.</w:t>
            </w:r>
          </w:p>
        </w:tc>
        <w:tc>
          <w:tcPr>
            <w:tcW w:w="560" w:type="dxa"/>
            <w:vAlign w:val="bottom"/>
          </w:tcPr>
          <w:p>
            <w:pPr>
              <w:jc w:val="right"/>
              <w:ind w:right="3"/>
              <w:spacing w:after="0"/>
              <w:rPr>
                <w:sz w:val="20"/>
                <w:szCs w:val="20"/>
                <w:color w:val="auto"/>
              </w:rPr>
            </w:pPr>
            <w:r>
              <w:rPr>
                <w:rFonts w:ascii="Arial" w:cs="Arial" w:eastAsia="Arial" w:hAnsi="Arial"/>
                <w:sz w:val="11"/>
                <w:szCs w:val="11"/>
                <w:color w:val="auto"/>
              </w:rPr>
              <w:t>2.7</w:t>
            </w:r>
          </w:p>
        </w:tc>
        <w:tc>
          <w:tcPr>
            <w:tcW w:w="240" w:type="dxa"/>
            <w:vAlign w:val="bottom"/>
          </w:tcPr>
          <w:p>
            <w:pPr>
              <w:jc w:val="right"/>
              <w:ind w:right="83"/>
              <w:spacing w:after="0"/>
              <w:rPr>
                <w:sz w:val="20"/>
                <w:szCs w:val="20"/>
                <w:color w:val="auto"/>
              </w:rPr>
            </w:pPr>
            <w:r>
              <w:rPr>
                <w:rFonts w:ascii="Arial" w:cs="Arial" w:eastAsia="Arial" w:hAnsi="Arial"/>
                <w:sz w:val="7"/>
                <w:szCs w:val="7"/>
                <w:color w:val="auto"/>
              </w:rPr>
              <w:t>(3)</w:t>
            </w:r>
          </w:p>
        </w:tc>
        <w:tc>
          <w:tcPr>
            <w:tcW w:w="820" w:type="dxa"/>
            <w:vAlign w:val="bottom"/>
          </w:tcPr>
          <w:p>
            <w:pPr>
              <w:jc w:val="right"/>
              <w:ind w:right="63"/>
              <w:spacing w:after="0"/>
              <w:rPr>
                <w:sz w:val="20"/>
                <w:szCs w:val="20"/>
                <w:color w:val="auto"/>
              </w:rPr>
            </w:pPr>
            <w:r>
              <w:rPr>
                <w:rFonts w:ascii="Arial" w:cs="Arial" w:eastAsia="Arial" w:hAnsi="Arial"/>
                <w:sz w:val="11"/>
                <w:szCs w:val="11"/>
                <w:color w:val="auto"/>
              </w:rPr>
              <w:t>292,013</w:t>
            </w:r>
          </w:p>
        </w:tc>
        <w:tc>
          <w:tcPr>
            <w:tcW w:w="160" w:type="dxa"/>
            <w:vAlign w:val="bottom"/>
          </w:tcPr>
          <w:p>
            <w:pPr>
              <w:spacing w:after="0"/>
              <w:rPr>
                <w:sz w:val="15"/>
                <w:szCs w:val="15"/>
                <w:color w:val="auto"/>
              </w:rPr>
            </w:pPr>
          </w:p>
        </w:tc>
        <w:tc>
          <w:tcPr>
            <w:tcW w:w="700" w:type="dxa"/>
            <w:vAlign w:val="bottom"/>
          </w:tcPr>
          <w:p>
            <w:pPr>
              <w:jc w:val="right"/>
              <w:ind w:right="63"/>
              <w:spacing w:after="0"/>
              <w:rPr>
                <w:sz w:val="20"/>
                <w:szCs w:val="20"/>
                <w:color w:val="auto"/>
              </w:rPr>
            </w:pPr>
            <w:r>
              <w:rPr>
                <w:rFonts w:ascii="Arial" w:cs="Arial" w:eastAsia="Arial" w:hAnsi="Arial"/>
                <w:sz w:val="11"/>
                <w:szCs w:val="11"/>
                <w:color w:val="auto"/>
              </w:rPr>
              <w:t>28,537</w:t>
            </w:r>
          </w:p>
        </w:tc>
        <w:tc>
          <w:tcPr>
            <w:tcW w:w="940" w:type="dxa"/>
            <w:vAlign w:val="bottom"/>
          </w:tcPr>
          <w:p>
            <w:pPr>
              <w:ind w:left="420"/>
              <w:spacing w:after="0"/>
              <w:rPr>
                <w:sz w:val="20"/>
                <w:szCs w:val="20"/>
                <w:color w:val="auto"/>
              </w:rPr>
            </w:pPr>
            <w:r>
              <w:rPr>
                <w:rFonts w:ascii="Arial" w:cs="Arial" w:eastAsia="Arial" w:hAnsi="Arial"/>
                <w:sz w:val="11"/>
                <w:szCs w:val="11"/>
                <w:color w:val="auto"/>
              </w:rPr>
              <w:t>1.3</w:t>
            </w:r>
          </w:p>
        </w:tc>
        <w:tc>
          <w:tcPr>
            <w:tcW w:w="62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500" w:type="dxa"/>
            <w:vAlign w:val="bottom"/>
          </w:tcPr>
          <w:p>
            <w:pPr>
              <w:jc w:val="center"/>
              <w:spacing w:after="0"/>
              <w:rPr>
                <w:sz w:val="20"/>
                <w:szCs w:val="20"/>
                <w:color w:val="auto"/>
              </w:rPr>
            </w:pPr>
            <w:r>
              <w:rPr>
                <w:rFonts w:ascii="Arial" w:cs="Arial" w:eastAsia="Arial" w:hAnsi="Arial"/>
                <w:sz w:val="11"/>
                <w:szCs w:val="11"/>
                <w:color w:val="auto"/>
              </w:rPr>
              <w:t>—</w:t>
            </w:r>
          </w:p>
        </w:tc>
        <w:tc>
          <w:tcPr>
            <w:tcW w:w="160" w:type="dxa"/>
            <w:vAlign w:val="bottom"/>
          </w:tcPr>
          <w:p>
            <w:pPr>
              <w:ind w:left="100"/>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83"/>
        </w:trPr>
        <w:tc>
          <w:tcPr>
            <w:tcW w:w="180" w:type="dxa"/>
            <w:vAlign w:val="bottom"/>
          </w:tcPr>
          <w:p>
            <w:pPr>
              <w:jc w:val="right"/>
              <w:ind w:right="3"/>
              <w:spacing w:after="0"/>
              <w:rPr>
                <w:sz w:val="20"/>
                <w:szCs w:val="20"/>
                <w:color w:val="auto"/>
              </w:rPr>
            </w:pPr>
            <w:r>
              <w:rPr>
                <w:rFonts w:ascii="Arial" w:cs="Arial" w:eastAsia="Arial" w:hAnsi="Arial"/>
                <w:sz w:val="11"/>
                <w:szCs w:val="11"/>
                <w:color w:val="auto"/>
                <w:w w:val="81"/>
              </w:rPr>
              <w:t>12</w:t>
            </w:r>
          </w:p>
        </w:tc>
        <w:tc>
          <w:tcPr>
            <w:tcW w:w="2300" w:type="dxa"/>
            <w:vAlign w:val="bottom"/>
          </w:tcPr>
          <w:p>
            <w:pPr>
              <w:ind w:left="80"/>
              <w:spacing w:after="0"/>
              <w:rPr>
                <w:sz w:val="20"/>
                <w:szCs w:val="20"/>
                <w:color w:val="auto"/>
              </w:rPr>
            </w:pPr>
            <w:r>
              <w:rPr>
                <w:rFonts w:ascii="Arial" w:cs="Arial" w:eastAsia="Arial" w:hAnsi="Arial"/>
                <w:sz w:val="11"/>
                <w:szCs w:val="11"/>
                <w:color w:val="auto"/>
              </w:rPr>
              <w:t>United States Government</w:t>
            </w:r>
          </w:p>
        </w:tc>
        <w:tc>
          <w:tcPr>
            <w:tcW w:w="560" w:type="dxa"/>
            <w:vAlign w:val="bottom"/>
          </w:tcPr>
          <w:p>
            <w:pPr>
              <w:jc w:val="right"/>
              <w:ind w:right="3"/>
              <w:spacing w:after="0"/>
              <w:rPr>
                <w:sz w:val="20"/>
                <w:szCs w:val="20"/>
                <w:color w:val="auto"/>
              </w:rPr>
            </w:pPr>
            <w:r>
              <w:rPr>
                <w:rFonts w:ascii="Arial" w:cs="Arial" w:eastAsia="Arial" w:hAnsi="Arial"/>
                <w:sz w:val="11"/>
                <w:szCs w:val="11"/>
                <w:color w:val="auto"/>
              </w:rPr>
              <w:t>6.1</w:t>
            </w:r>
          </w:p>
        </w:tc>
        <w:tc>
          <w:tcPr>
            <w:tcW w:w="240" w:type="dxa"/>
            <w:vAlign w:val="bottom"/>
          </w:tcPr>
          <w:p>
            <w:pPr>
              <w:spacing w:after="0"/>
              <w:rPr>
                <w:sz w:val="15"/>
                <w:szCs w:val="15"/>
                <w:color w:val="auto"/>
              </w:rPr>
            </w:pPr>
          </w:p>
        </w:tc>
        <w:tc>
          <w:tcPr>
            <w:tcW w:w="820" w:type="dxa"/>
            <w:vAlign w:val="bottom"/>
          </w:tcPr>
          <w:p>
            <w:pPr>
              <w:jc w:val="right"/>
              <w:ind w:right="63"/>
              <w:spacing w:after="0"/>
              <w:rPr>
                <w:sz w:val="20"/>
                <w:szCs w:val="20"/>
                <w:color w:val="auto"/>
              </w:rPr>
            </w:pPr>
            <w:r>
              <w:rPr>
                <w:rFonts w:ascii="Arial" w:cs="Arial" w:eastAsia="Arial" w:hAnsi="Arial"/>
                <w:sz w:val="11"/>
                <w:szCs w:val="11"/>
                <w:color w:val="auto"/>
              </w:rPr>
              <w:t>429,359</w:t>
            </w:r>
          </w:p>
        </w:tc>
        <w:tc>
          <w:tcPr>
            <w:tcW w:w="160" w:type="dxa"/>
            <w:vAlign w:val="bottom"/>
          </w:tcPr>
          <w:p>
            <w:pPr>
              <w:spacing w:after="0"/>
              <w:rPr>
                <w:sz w:val="15"/>
                <w:szCs w:val="15"/>
                <w:color w:val="auto"/>
              </w:rPr>
            </w:pPr>
          </w:p>
        </w:tc>
        <w:tc>
          <w:tcPr>
            <w:tcW w:w="700" w:type="dxa"/>
            <w:vAlign w:val="bottom"/>
          </w:tcPr>
          <w:p>
            <w:pPr>
              <w:jc w:val="right"/>
              <w:ind w:right="63"/>
              <w:spacing w:after="0"/>
              <w:rPr>
                <w:sz w:val="20"/>
                <w:szCs w:val="20"/>
                <w:color w:val="auto"/>
              </w:rPr>
            </w:pPr>
            <w:r>
              <w:rPr>
                <w:rFonts w:ascii="Arial" w:cs="Arial" w:eastAsia="Arial" w:hAnsi="Arial"/>
                <w:sz w:val="11"/>
                <w:szCs w:val="11"/>
                <w:color w:val="auto"/>
              </w:rPr>
              <w:t>28,491</w:t>
            </w:r>
          </w:p>
        </w:tc>
        <w:tc>
          <w:tcPr>
            <w:tcW w:w="940" w:type="dxa"/>
            <w:vAlign w:val="bottom"/>
          </w:tcPr>
          <w:p>
            <w:pPr>
              <w:ind w:left="420"/>
              <w:spacing w:after="0"/>
              <w:rPr>
                <w:sz w:val="20"/>
                <w:szCs w:val="20"/>
                <w:color w:val="auto"/>
              </w:rPr>
            </w:pPr>
            <w:r>
              <w:rPr>
                <w:rFonts w:ascii="Arial" w:cs="Arial" w:eastAsia="Arial" w:hAnsi="Arial"/>
                <w:sz w:val="11"/>
                <w:szCs w:val="11"/>
                <w:color w:val="auto"/>
              </w:rPr>
              <w:t>1.3</w:t>
            </w:r>
          </w:p>
        </w:tc>
        <w:tc>
          <w:tcPr>
            <w:tcW w:w="620" w:type="dxa"/>
            <w:vAlign w:val="bottom"/>
          </w:tcPr>
          <w:p>
            <w:pPr>
              <w:ind w:left="200"/>
              <w:spacing w:after="0"/>
              <w:rPr>
                <w:sz w:val="20"/>
                <w:szCs w:val="20"/>
                <w:color w:val="auto"/>
              </w:rPr>
            </w:pPr>
            <w:r>
              <w:rPr>
                <w:rFonts w:ascii="Arial" w:cs="Arial" w:eastAsia="Arial" w:hAnsi="Arial"/>
                <w:sz w:val="11"/>
                <w:szCs w:val="11"/>
                <w:color w:val="auto"/>
              </w:rPr>
              <w:t>Aaa</w:t>
            </w:r>
          </w:p>
        </w:tc>
        <w:tc>
          <w:tcPr>
            <w:tcW w:w="500" w:type="dxa"/>
            <w:vAlign w:val="bottom"/>
          </w:tcPr>
          <w:p>
            <w:pPr>
              <w:jc w:val="center"/>
              <w:spacing w:after="0"/>
              <w:rPr>
                <w:sz w:val="20"/>
                <w:szCs w:val="20"/>
                <w:color w:val="auto"/>
              </w:rPr>
            </w:pPr>
            <w:r>
              <w:rPr>
                <w:rFonts w:ascii="Arial" w:cs="Arial" w:eastAsia="Arial" w:hAnsi="Arial"/>
                <w:sz w:val="11"/>
                <w:szCs w:val="11"/>
                <w:color w:val="auto"/>
              </w:rPr>
              <w:t>AA+</w:t>
            </w:r>
          </w:p>
        </w:tc>
        <w:tc>
          <w:tcPr>
            <w:tcW w:w="160" w:type="dxa"/>
            <w:vAlign w:val="bottom"/>
          </w:tcPr>
          <w:p>
            <w:pPr>
              <w:ind w:left="100"/>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04"/>
        </w:trPr>
        <w:tc>
          <w:tcPr>
            <w:tcW w:w="180" w:type="dxa"/>
            <w:vAlign w:val="bottom"/>
          </w:tcPr>
          <w:p>
            <w:pPr>
              <w:jc w:val="right"/>
              <w:ind w:right="3"/>
              <w:spacing w:after="0"/>
              <w:rPr>
                <w:sz w:val="20"/>
                <w:szCs w:val="20"/>
                <w:color w:val="auto"/>
              </w:rPr>
            </w:pPr>
            <w:r>
              <w:rPr>
                <w:rFonts w:ascii="Arial" w:cs="Arial" w:eastAsia="Arial" w:hAnsi="Arial"/>
                <w:sz w:val="11"/>
                <w:szCs w:val="11"/>
                <w:color w:val="auto"/>
                <w:w w:val="81"/>
              </w:rPr>
              <w:t>13</w:t>
            </w:r>
          </w:p>
        </w:tc>
        <w:tc>
          <w:tcPr>
            <w:tcW w:w="2300" w:type="dxa"/>
            <w:vAlign w:val="bottom"/>
          </w:tcPr>
          <w:p>
            <w:pPr>
              <w:ind w:left="80"/>
              <w:spacing w:after="0"/>
              <w:rPr>
                <w:sz w:val="20"/>
                <w:szCs w:val="20"/>
                <w:color w:val="auto"/>
              </w:rPr>
            </w:pPr>
            <w:r>
              <w:rPr>
                <w:rFonts w:ascii="Arial" w:cs="Arial" w:eastAsia="Arial" w:hAnsi="Arial"/>
                <w:sz w:val="11"/>
                <w:szCs w:val="11"/>
                <w:color w:val="auto"/>
              </w:rPr>
              <w:t>Uber Technologies, Inc.</w:t>
            </w:r>
          </w:p>
        </w:tc>
        <w:tc>
          <w:tcPr>
            <w:tcW w:w="560" w:type="dxa"/>
            <w:vAlign w:val="bottom"/>
          </w:tcPr>
          <w:p>
            <w:pPr>
              <w:jc w:val="right"/>
              <w:ind w:right="3"/>
              <w:spacing w:after="0"/>
              <w:rPr>
                <w:sz w:val="20"/>
                <w:szCs w:val="20"/>
                <w:color w:val="auto"/>
              </w:rPr>
            </w:pPr>
            <w:r>
              <w:rPr>
                <w:rFonts w:ascii="Arial" w:cs="Arial" w:eastAsia="Arial" w:hAnsi="Arial"/>
                <w:sz w:val="11"/>
                <w:szCs w:val="11"/>
                <w:color w:val="auto"/>
              </w:rPr>
              <w:t>58.3</w:t>
            </w:r>
          </w:p>
        </w:tc>
        <w:tc>
          <w:tcPr>
            <w:tcW w:w="240" w:type="dxa"/>
            <w:vAlign w:val="bottom"/>
          </w:tcPr>
          <w:p>
            <w:pPr>
              <w:jc w:val="right"/>
              <w:ind w:right="83"/>
              <w:spacing w:after="0"/>
              <w:rPr>
                <w:sz w:val="20"/>
                <w:szCs w:val="20"/>
                <w:color w:val="auto"/>
              </w:rPr>
            </w:pPr>
            <w:r>
              <w:rPr>
                <w:rFonts w:ascii="Arial" w:cs="Arial" w:eastAsia="Arial" w:hAnsi="Arial"/>
                <w:sz w:val="7"/>
                <w:szCs w:val="7"/>
                <w:color w:val="auto"/>
              </w:rPr>
              <w:t>(4)</w:t>
            </w:r>
          </w:p>
        </w:tc>
        <w:tc>
          <w:tcPr>
            <w:tcW w:w="820" w:type="dxa"/>
            <w:vAlign w:val="bottom"/>
          </w:tcPr>
          <w:p>
            <w:pPr>
              <w:jc w:val="right"/>
              <w:ind w:right="63"/>
              <w:spacing w:after="0"/>
              <w:rPr>
                <w:sz w:val="20"/>
                <w:szCs w:val="20"/>
                <w:color w:val="auto"/>
              </w:rPr>
            </w:pPr>
            <w:r>
              <w:rPr>
                <w:rFonts w:ascii="Arial" w:cs="Arial" w:eastAsia="Arial" w:hAnsi="Arial"/>
                <w:sz w:val="11"/>
                <w:szCs w:val="11"/>
                <w:color w:val="auto"/>
              </w:rPr>
              <w:t>1,009,188</w:t>
            </w:r>
          </w:p>
        </w:tc>
        <w:tc>
          <w:tcPr>
            <w:tcW w:w="160" w:type="dxa"/>
            <w:vAlign w:val="bottom"/>
          </w:tcPr>
          <w:p>
            <w:pPr>
              <w:spacing w:after="0"/>
              <w:rPr>
                <w:sz w:val="17"/>
                <w:szCs w:val="17"/>
                <w:color w:val="auto"/>
              </w:rPr>
            </w:pPr>
          </w:p>
        </w:tc>
        <w:tc>
          <w:tcPr>
            <w:tcW w:w="700" w:type="dxa"/>
            <w:vAlign w:val="bottom"/>
          </w:tcPr>
          <w:p>
            <w:pPr>
              <w:jc w:val="right"/>
              <w:ind w:right="63"/>
              <w:spacing w:after="0"/>
              <w:rPr>
                <w:sz w:val="20"/>
                <w:szCs w:val="20"/>
                <w:color w:val="auto"/>
              </w:rPr>
            </w:pPr>
            <w:r>
              <w:rPr>
                <w:rFonts w:ascii="Arial" w:cs="Arial" w:eastAsia="Arial" w:hAnsi="Arial"/>
                <w:sz w:val="11"/>
                <w:szCs w:val="11"/>
                <w:color w:val="auto"/>
              </w:rPr>
              <w:t>27,765</w:t>
            </w:r>
          </w:p>
        </w:tc>
        <w:tc>
          <w:tcPr>
            <w:tcW w:w="940" w:type="dxa"/>
            <w:vAlign w:val="bottom"/>
          </w:tcPr>
          <w:p>
            <w:pPr>
              <w:ind w:left="420"/>
              <w:spacing w:after="0"/>
              <w:rPr>
                <w:sz w:val="20"/>
                <w:szCs w:val="20"/>
                <w:color w:val="auto"/>
              </w:rPr>
            </w:pPr>
            <w:r>
              <w:rPr>
                <w:rFonts w:ascii="Arial" w:cs="Arial" w:eastAsia="Arial" w:hAnsi="Arial"/>
                <w:sz w:val="11"/>
                <w:szCs w:val="11"/>
                <w:color w:val="auto"/>
              </w:rPr>
              <w:t>1.3</w:t>
            </w:r>
          </w:p>
        </w:tc>
        <w:tc>
          <w:tcPr>
            <w:tcW w:w="62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500" w:type="dxa"/>
            <w:vAlign w:val="bottom"/>
          </w:tcPr>
          <w:p>
            <w:pPr>
              <w:jc w:val="center"/>
              <w:spacing w:after="0"/>
              <w:rPr>
                <w:sz w:val="20"/>
                <w:szCs w:val="20"/>
                <w:color w:val="auto"/>
              </w:rPr>
            </w:pPr>
            <w:r>
              <w:rPr>
                <w:rFonts w:ascii="Arial" w:cs="Arial" w:eastAsia="Arial" w:hAnsi="Arial"/>
                <w:sz w:val="11"/>
                <w:szCs w:val="11"/>
                <w:color w:val="auto"/>
              </w:rPr>
              <w:t>—</w:t>
            </w:r>
          </w:p>
        </w:tc>
        <w:tc>
          <w:tcPr>
            <w:tcW w:w="160" w:type="dxa"/>
            <w:vAlign w:val="bottom"/>
          </w:tcPr>
          <w:p>
            <w:pPr>
              <w:ind w:left="100"/>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123.5</w:t>
            </w:r>
          </w:p>
        </w:tc>
        <w:tc>
          <w:tcPr>
            <w:tcW w:w="0" w:type="dxa"/>
            <w:vAlign w:val="bottom"/>
          </w:tcPr>
          <w:p>
            <w:pPr>
              <w:spacing w:after="0"/>
              <w:rPr>
                <w:sz w:val="1"/>
                <w:szCs w:val="1"/>
                <w:color w:val="auto"/>
              </w:rPr>
            </w:pPr>
          </w:p>
        </w:tc>
      </w:tr>
    </w:tbl>
    <w:p>
      <w:pPr>
        <w:sectPr>
          <w:pgSz w:w="11900" w:h="16838" w:orient="portrait"/>
          <w:cols w:equalWidth="0" w:num="1">
            <w:col w:w="9019"/>
          </w:cols>
          <w:pgMar w:left="1440" w:top="548" w:right="1440" w:bottom="0" w:gutter="0" w:footer="0" w:header="0"/>
        </w:sectPr>
      </w:pPr>
    </w:p>
    <w:bookmarkStart w:id="38" w:name="page39"/>
    <w:bookmarkEnd w:id="38"/>
    <w:p>
      <w:pPr>
        <w:spacing w:after="0" w:line="1" w:lineRule="exact"/>
        <w:rPr>
          <w:sz w:val="20"/>
          <w:szCs w:val="20"/>
          <w:color w:val="auto"/>
        </w:rPr>
      </w:pPr>
    </w:p>
    <w:tbl>
      <w:tblPr>
        <w:tblLayout w:type="fixed"/>
        <w:tblInd w:w="500" w:type="dxa"/>
        <w:tblCellMar>
          <w:top w:w="0" w:type="dxa"/>
          <w:left w:w="0" w:type="dxa"/>
          <w:bottom w:w="0" w:type="dxa"/>
          <w:right w:w="0" w:type="dxa"/>
        </w:tblCellMar>
      </w:tblPr>
      <w:tr>
        <w:trPr>
          <w:trHeight w:val="126"/>
        </w:trPr>
        <w:tc>
          <w:tcPr>
            <w:tcW w:w="320" w:type="dxa"/>
            <w:vAlign w:val="bottom"/>
          </w:tcPr>
          <w:p>
            <w:pPr>
              <w:jc w:val="right"/>
              <w:ind w:right="43"/>
              <w:spacing w:after="0"/>
              <w:rPr>
                <w:sz w:val="20"/>
                <w:szCs w:val="20"/>
                <w:color w:val="auto"/>
              </w:rPr>
            </w:pPr>
            <w:r>
              <w:rPr>
                <w:rFonts w:ascii="Arial" w:cs="Arial" w:eastAsia="Arial" w:hAnsi="Arial"/>
                <w:sz w:val="11"/>
                <w:szCs w:val="11"/>
                <w:color w:val="auto"/>
              </w:rPr>
              <w:t>14</w:t>
            </w:r>
          </w:p>
        </w:tc>
        <w:tc>
          <w:tcPr>
            <w:tcW w:w="2220" w:type="dxa"/>
            <w:vAlign w:val="bottom"/>
          </w:tcPr>
          <w:p>
            <w:pPr>
              <w:ind w:left="40"/>
              <w:spacing w:after="0"/>
              <w:rPr>
                <w:sz w:val="20"/>
                <w:szCs w:val="20"/>
                <w:color w:val="auto"/>
              </w:rPr>
            </w:pPr>
            <w:r>
              <w:rPr>
                <w:rFonts w:ascii="Arial" w:cs="Arial" w:eastAsia="Arial" w:hAnsi="Arial"/>
                <w:sz w:val="11"/>
                <w:szCs w:val="11"/>
                <w:color w:val="auto"/>
              </w:rPr>
              <w:t>AstraZeneca PLC</w:t>
            </w:r>
          </w:p>
        </w:tc>
        <w:tc>
          <w:tcPr>
            <w:tcW w:w="580" w:type="dxa"/>
            <w:vAlign w:val="bottom"/>
            <w:gridSpan w:val="2"/>
          </w:tcPr>
          <w:p>
            <w:pPr>
              <w:jc w:val="right"/>
              <w:spacing w:after="0"/>
              <w:rPr>
                <w:sz w:val="20"/>
                <w:szCs w:val="20"/>
                <w:color w:val="auto"/>
              </w:rPr>
            </w:pPr>
            <w:r>
              <w:rPr>
                <w:rFonts w:ascii="Arial" w:cs="Arial" w:eastAsia="Arial" w:hAnsi="Arial"/>
                <w:sz w:val="11"/>
                <w:szCs w:val="11"/>
                <w:color w:val="auto"/>
              </w:rPr>
              <w:t>5.3</w:t>
            </w:r>
          </w:p>
        </w:tc>
        <w:tc>
          <w:tcPr>
            <w:tcW w:w="180" w:type="dxa"/>
            <w:vAlign w:val="bottom"/>
            <w:vMerge w:val="restart"/>
          </w:tcPr>
          <w:p>
            <w:pPr>
              <w:jc w:val="right"/>
              <w:ind w:right="3"/>
              <w:spacing w:after="0"/>
              <w:rPr>
                <w:sz w:val="20"/>
                <w:szCs w:val="20"/>
                <w:color w:val="auto"/>
              </w:rPr>
            </w:pPr>
            <w:r>
              <w:rPr>
                <w:rFonts w:ascii="Arial" w:cs="Arial" w:eastAsia="Arial" w:hAnsi="Arial"/>
                <w:sz w:val="7"/>
                <w:szCs w:val="7"/>
                <w:color w:val="auto"/>
              </w:rPr>
              <w:t>(5)</w:t>
            </w:r>
          </w:p>
        </w:tc>
        <w:tc>
          <w:tcPr>
            <w:tcW w:w="80" w:type="dxa"/>
            <w:vAlign w:val="bottom"/>
          </w:tcPr>
          <w:p>
            <w:pPr>
              <w:spacing w:after="0"/>
              <w:rPr>
                <w:sz w:val="10"/>
                <w:szCs w:val="10"/>
                <w:color w:val="auto"/>
              </w:rPr>
            </w:pPr>
          </w:p>
        </w:tc>
        <w:tc>
          <w:tcPr>
            <w:tcW w:w="800" w:type="dxa"/>
            <w:vAlign w:val="bottom"/>
          </w:tcPr>
          <w:p>
            <w:pPr>
              <w:jc w:val="right"/>
              <w:ind w:right="43"/>
              <w:spacing w:after="0"/>
              <w:rPr>
                <w:sz w:val="20"/>
                <w:szCs w:val="20"/>
                <w:color w:val="auto"/>
              </w:rPr>
            </w:pPr>
            <w:r>
              <w:rPr>
                <w:rFonts w:ascii="Arial" w:cs="Arial" w:eastAsia="Arial" w:hAnsi="Arial"/>
                <w:sz w:val="11"/>
                <w:szCs w:val="11"/>
                <w:color w:val="auto"/>
              </w:rPr>
              <w:t>450,848</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jc w:val="right"/>
              <w:ind w:right="43"/>
              <w:spacing w:after="0"/>
              <w:rPr>
                <w:sz w:val="20"/>
                <w:szCs w:val="20"/>
                <w:color w:val="auto"/>
              </w:rPr>
            </w:pPr>
            <w:r>
              <w:rPr>
                <w:rFonts w:ascii="Arial" w:cs="Arial" w:eastAsia="Arial" w:hAnsi="Arial"/>
                <w:sz w:val="11"/>
                <w:szCs w:val="11"/>
                <w:color w:val="auto"/>
              </w:rPr>
              <w:t>27,156</w:t>
            </w:r>
          </w:p>
        </w:tc>
        <w:tc>
          <w:tcPr>
            <w:tcW w:w="80" w:type="dxa"/>
            <w:vAlign w:val="bottom"/>
          </w:tcPr>
          <w:p>
            <w:pPr>
              <w:spacing w:after="0"/>
              <w:rPr>
                <w:sz w:val="10"/>
                <w:szCs w:val="10"/>
                <w:color w:val="auto"/>
              </w:rPr>
            </w:pPr>
          </w:p>
        </w:tc>
        <w:tc>
          <w:tcPr>
            <w:tcW w:w="860" w:type="dxa"/>
            <w:vAlign w:val="bottom"/>
          </w:tcPr>
          <w:p>
            <w:pPr>
              <w:jc w:val="right"/>
              <w:ind w:right="283"/>
              <w:spacing w:after="0"/>
              <w:rPr>
                <w:sz w:val="20"/>
                <w:szCs w:val="20"/>
                <w:color w:val="auto"/>
              </w:rPr>
            </w:pPr>
            <w:r>
              <w:rPr>
                <w:rFonts w:ascii="Arial" w:cs="Arial" w:eastAsia="Arial" w:hAnsi="Arial"/>
                <w:sz w:val="11"/>
                <w:szCs w:val="11"/>
                <w:color w:val="auto"/>
              </w:rPr>
              <w:t>1.2</w:t>
            </w:r>
          </w:p>
        </w:tc>
        <w:tc>
          <w:tcPr>
            <w:tcW w:w="60" w:type="dxa"/>
            <w:vAlign w:val="bottom"/>
          </w:tcPr>
          <w:p>
            <w:pPr>
              <w:spacing w:after="0"/>
              <w:rPr>
                <w:sz w:val="10"/>
                <w:szCs w:val="10"/>
                <w:color w:val="auto"/>
              </w:rPr>
            </w:pPr>
          </w:p>
        </w:tc>
        <w:tc>
          <w:tcPr>
            <w:tcW w:w="600" w:type="dxa"/>
            <w:vAlign w:val="bottom"/>
            <w:gridSpan w:val="2"/>
          </w:tcPr>
          <w:p>
            <w:pPr>
              <w:jc w:val="center"/>
              <w:ind w:right="60"/>
              <w:spacing w:after="0"/>
              <w:rPr>
                <w:sz w:val="20"/>
                <w:szCs w:val="20"/>
                <w:color w:val="auto"/>
              </w:rPr>
            </w:pPr>
            <w:r>
              <w:rPr>
                <w:rFonts w:ascii="Arial" w:cs="Arial" w:eastAsia="Arial" w:hAnsi="Arial"/>
                <w:sz w:val="11"/>
                <w:szCs w:val="11"/>
                <w:color w:val="auto"/>
              </w:rPr>
              <w:t>A3</w:t>
            </w:r>
          </w:p>
        </w:tc>
        <w:tc>
          <w:tcPr>
            <w:tcW w:w="460" w:type="dxa"/>
            <w:vAlign w:val="bottom"/>
          </w:tcPr>
          <w:p>
            <w:pPr>
              <w:jc w:val="center"/>
              <w:spacing w:after="0"/>
              <w:rPr>
                <w:sz w:val="20"/>
                <w:szCs w:val="20"/>
                <w:color w:val="auto"/>
              </w:rPr>
            </w:pPr>
            <w:r>
              <w:rPr>
                <w:rFonts w:ascii="Arial" w:cs="Arial" w:eastAsia="Arial" w:hAnsi="Arial"/>
                <w:sz w:val="11"/>
                <w:szCs w:val="11"/>
                <w:color w:val="auto"/>
              </w:rPr>
              <w:t>A</w:t>
            </w:r>
          </w:p>
        </w:tc>
        <w:tc>
          <w:tcPr>
            <w:tcW w:w="280" w:type="dxa"/>
            <w:vAlign w:val="bottom"/>
            <w:gridSpan w:val="2"/>
          </w:tcPr>
          <w:p>
            <w:pPr>
              <w:jc w:val="right"/>
              <w:ind w:right="43"/>
              <w:spacing w:after="0"/>
              <w:rPr>
                <w:sz w:val="20"/>
                <w:szCs w:val="20"/>
                <w:color w:val="auto"/>
              </w:rPr>
            </w:pPr>
            <w:r>
              <w:rPr>
                <w:rFonts w:ascii="Arial" w:cs="Arial" w:eastAsia="Arial" w:hAnsi="Arial"/>
                <w:sz w:val="11"/>
                <w:szCs w:val="11"/>
                <w:color w:val="auto"/>
              </w:rPr>
              <w:t>$</w:t>
            </w:r>
          </w:p>
        </w:tc>
        <w:tc>
          <w:tcPr>
            <w:tcW w:w="440" w:type="dxa"/>
            <w:vAlign w:val="bottom"/>
          </w:tcPr>
          <w:p>
            <w:pPr>
              <w:jc w:val="right"/>
              <w:spacing w:after="0"/>
              <w:rPr>
                <w:sz w:val="20"/>
                <w:szCs w:val="20"/>
                <w:color w:val="auto"/>
              </w:rPr>
            </w:pPr>
            <w:r>
              <w:rPr>
                <w:rFonts w:ascii="Arial" w:cs="Arial" w:eastAsia="Arial" w:hAnsi="Arial"/>
                <w:sz w:val="11"/>
                <w:szCs w:val="11"/>
                <w:color w:val="auto"/>
              </w:rPr>
              <w:t>213.0</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320" w:type="dxa"/>
            <w:vAlign w:val="bottom"/>
          </w:tcPr>
          <w:p>
            <w:pPr>
              <w:jc w:val="right"/>
              <w:ind w:right="43"/>
              <w:spacing w:after="0"/>
              <w:rPr>
                <w:sz w:val="20"/>
                <w:szCs w:val="20"/>
                <w:color w:val="auto"/>
              </w:rPr>
            </w:pPr>
            <w:r>
              <w:rPr>
                <w:rFonts w:ascii="Arial" w:cs="Arial" w:eastAsia="Arial" w:hAnsi="Arial"/>
                <w:sz w:val="11"/>
                <w:szCs w:val="11"/>
                <w:color w:val="auto"/>
              </w:rPr>
              <w:t>15</w:t>
            </w:r>
          </w:p>
        </w:tc>
        <w:tc>
          <w:tcPr>
            <w:tcW w:w="2220" w:type="dxa"/>
            <w:vAlign w:val="bottom"/>
          </w:tcPr>
          <w:p>
            <w:pPr>
              <w:ind w:left="40"/>
              <w:spacing w:after="0"/>
              <w:rPr>
                <w:sz w:val="20"/>
                <w:szCs w:val="20"/>
                <w:color w:val="auto"/>
              </w:rPr>
            </w:pPr>
            <w:r>
              <w:rPr>
                <w:rFonts w:ascii="Arial" w:cs="Arial" w:eastAsia="Arial" w:hAnsi="Arial"/>
                <w:sz w:val="11"/>
                <w:szCs w:val="11"/>
                <w:color w:val="auto"/>
              </w:rPr>
              <w:t>Pfizer Inc.</w:t>
            </w:r>
          </w:p>
        </w:tc>
        <w:tc>
          <w:tcPr>
            <w:tcW w:w="580" w:type="dxa"/>
            <w:vAlign w:val="bottom"/>
            <w:gridSpan w:val="2"/>
          </w:tcPr>
          <w:p>
            <w:pPr>
              <w:jc w:val="right"/>
              <w:spacing w:after="0"/>
              <w:rPr>
                <w:sz w:val="20"/>
                <w:szCs w:val="20"/>
                <w:color w:val="auto"/>
              </w:rPr>
            </w:pPr>
            <w:r>
              <w:rPr>
                <w:rFonts w:ascii="Arial" w:cs="Arial" w:eastAsia="Arial" w:hAnsi="Arial"/>
                <w:sz w:val="11"/>
                <w:szCs w:val="11"/>
                <w:color w:val="auto"/>
              </w:rPr>
              <w:t>0.7</w:t>
            </w:r>
          </w:p>
        </w:tc>
        <w:tc>
          <w:tcPr>
            <w:tcW w:w="1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right"/>
              <w:ind w:right="43"/>
              <w:spacing w:after="0"/>
              <w:rPr>
                <w:sz w:val="20"/>
                <w:szCs w:val="20"/>
                <w:color w:val="auto"/>
              </w:rPr>
            </w:pPr>
            <w:r>
              <w:rPr>
                <w:rFonts w:ascii="Arial" w:cs="Arial" w:eastAsia="Arial" w:hAnsi="Arial"/>
                <w:sz w:val="11"/>
                <w:szCs w:val="11"/>
                <w:color w:val="auto"/>
              </w:rPr>
              <w:t>504,716</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ind w:right="43"/>
              <w:spacing w:after="0"/>
              <w:rPr>
                <w:sz w:val="20"/>
                <w:szCs w:val="20"/>
                <w:color w:val="auto"/>
              </w:rPr>
            </w:pPr>
            <w:r>
              <w:rPr>
                <w:rFonts w:ascii="Arial" w:cs="Arial" w:eastAsia="Arial" w:hAnsi="Arial"/>
                <w:sz w:val="11"/>
                <w:szCs w:val="11"/>
                <w:color w:val="auto"/>
              </w:rPr>
              <w:t>23,730</w:t>
            </w:r>
          </w:p>
        </w:tc>
        <w:tc>
          <w:tcPr>
            <w:tcW w:w="80" w:type="dxa"/>
            <w:vAlign w:val="bottom"/>
          </w:tcPr>
          <w:p>
            <w:pPr>
              <w:spacing w:after="0"/>
              <w:rPr>
                <w:sz w:val="13"/>
                <w:szCs w:val="13"/>
                <w:color w:val="auto"/>
              </w:rPr>
            </w:pPr>
          </w:p>
        </w:tc>
        <w:tc>
          <w:tcPr>
            <w:tcW w:w="860" w:type="dxa"/>
            <w:vAlign w:val="bottom"/>
          </w:tcPr>
          <w:p>
            <w:pPr>
              <w:jc w:val="right"/>
              <w:ind w:right="283"/>
              <w:spacing w:after="0"/>
              <w:rPr>
                <w:sz w:val="20"/>
                <w:szCs w:val="20"/>
                <w:color w:val="auto"/>
              </w:rPr>
            </w:pPr>
            <w:r>
              <w:rPr>
                <w:rFonts w:ascii="Arial" w:cs="Arial" w:eastAsia="Arial" w:hAnsi="Arial"/>
                <w:sz w:val="11"/>
                <w:szCs w:val="11"/>
                <w:color w:val="auto"/>
              </w:rPr>
              <w:t>1.1</w:t>
            </w:r>
          </w:p>
        </w:tc>
        <w:tc>
          <w:tcPr>
            <w:tcW w:w="60" w:type="dxa"/>
            <w:vAlign w:val="bottom"/>
          </w:tcPr>
          <w:p>
            <w:pPr>
              <w:spacing w:after="0"/>
              <w:rPr>
                <w:sz w:val="13"/>
                <w:szCs w:val="13"/>
                <w:color w:val="auto"/>
              </w:rPr>
            </w:pPr>
          </w:p>
        </w:tc>
        <w:tc>
          <w:tcPr>
            <w:tcW w:w="600" w:type="dxa"/>
            <w:vAlign w:val="bottom"/>
            <w:gridSpan w:val="2"/>
          </w:tcPr>
          <w:p>
            <w:pPr>
              <w:jc w:val="center"/>
              <w:ind w:right="60"/>
              <w:spacing w:after="0"/>
              <w:rPr>
                <w:sz w:val="20"/>
                <w:szCs w:val="20"/>
                <w:color w:val="auto"/>
              </w:rPr>
            </w:pPr>
            <w:r>
              <w:rPr>
                <w:rFonts w:ascii="Arial" w:cs="Arial" w:eastAsia="Arial" w:hAnsi="Arial"/>
                <w:sz w:val="11"/>
                <w:szCs w:val="11"/>
                <w:color w:val="auto"/>
              </w:rPr>
              <w:t>A1</w:t>
            </w:r>
          </w:p>
        </w:tc>
        <w:tc>
          <w:tcPr>
            <w:tcW w:w="460" w:type="dxa"/>
            <w:vAlign w:val="bottom"/>
          </w:tcPr>
          <w:p>
            <w:pPr>
              <w:jc w:val="center"/>
              <w:spacing w:after="0"/>
              <w:rPr>
                <w:sz w:val="20"/>
                <w:szCs w:val="20"/>
                <w:color w:val="auto"/>
              </w:rPr>
            </w:pPr>
            <w:r>
              <w:rPr>
                <w:rFonts w:ascii="Arial" w:cs="Arial" w:eastAsia="Arial" w:hAnsi="Arial"/>
                <w:sz w:val="11"/>
                <w:szCs w:val="11"/>
                <w:color w:val="auto"/>
              </w:rPr>
              <w:t>A+</w:t>
            </w:r>
          </w:p>
        </w:tc>
        <w:tc>
          <w:tcPr>
            <w:tcW w:w="280" w:type="dxa"/>
            <w:vAlign w:val="bottom"/>
            <w:gridSpan w:val="2"/>
          </w:tcPr>
          <w:p>
            <w:pPr>
              <w:jc w:val="right"/>
              <w:ind w:right="43"/>
              <w:spacing w:after="0"/>
              <w:rPr>
                <w:sz w:val="20"/>
                <w:szCs w:val="20"/>
                <w:color w:val="auto"/>
              </w:rPr>
            </w:pPr>
            <w:r>
              <w:rPr>
                <w:rFonts w:ascii="Arial" w:cs="Arial" w:eastAsia="Arial" w:hAnsi="Arial"/>
                <w:sz w:val="11"/>
                <w:szCs w:val="11"/>
                <w:color w:val="auto"/>
              </w:rPr>
              <w:t>$</w:t>
            </w:r>
          </w:p>
        </w:tc>
        <w:tc>
          <w:tcPr>
            <w:tcW w:w="440" w:type="dxa"/>
            <w:vAlign w:val="bottom"/>
          </w:tcPr>
          <w:p>
            <w:pPr>
              <w:jc w:val="right"/>
              <w:spacing w:after="0"/>
              <w:rPr>
                <w:sz w:val="20"/>
                <w:szCs w:val="20"/>
                <w:color w:val="auto"/>
              </w:rPr>
            </w:pPr>
            <w:r>
              <w:rPr>
                <w:rFonts w:ascii="Arial" w:cs="Arial" w:eastAsia="Arial" w:hAnsi="Arial"/>
                <w:sz w:val="11"/>
                <w:szCs w:val="11"/>
                <w:color w:val="auto"/>
              </w:rPr>
              <w:t>171.0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20" w:type="dxa"/>
            <w:vAlign w:val="bottom"/>
          </w:tcPr>
          <w:p>
            <w:pPr>
              <w:jc w:val="right"/>
              <w:ind w:right="43"/>
              <w:spacing w:after="0"/>
              <w:rPr>
                <w:sz w:val="20"/>
                <w:szCs w:val="20"/>
                <w:color w:val="auto"/>
              </w:rPr>
            </w:pPr>
            <w:r>
              <w:rPr>
                <w:rFonts w:ascii="Arial" w:cs="Arial" w:eastAsia="Arial" w:hAnsi="Arial"/>
                <w:sz w:val="11"/>
                <w:szCs w:val="11"/>
                <w:color w:val="auto"/>
              </w:rPr>
              <w:t>16</w:t>
            </w:r>
          </w:p>
        </w:tc>
        <w:tc>
          <w:tcPr>
            <w:tcW w:w="2220" w:type="dxa"/>
            <w:vAlign w:val="bottom"/>
          </w:tcPr>
          <w:p>
            <w:pPr>
              <w:ind w:left="40"/>
              <w:spacing w:after="0"/>
              <w:rPr>
                <w:sz w:val="20"/>
                <w:szCs w:val="20"/>
                <w:color w:val="auto"/>
              </w:rPr>
            </w:pPr>
            <w:r>
              <w:rPr>
                <w:rFonts w:ascii="Arial" w:cs="Arial" w:eastAsia="Arial" w:hAnsi="Arial"/>
                <w:sz w:val="11"/>
                <w:szCs w:val="11"/>
                <w:color w:val="auto"/>
              </w:rPr>
              <w:t>Sanofi</w:t>
            </w:r>
          </w:p>
        </w:tc>
        <w:tc>
          <w:tcPr>
            <w:tcW w:w="580" w:type="dxa"/>
            <w:vAlign w:val="bottom"/>
            <w:gridSpan w:val="2"/>
          </w:tcPr>
          <w:p>
            <w:pPr>
              <w:jc w:val="right"/>
              <w:spacing w:after="0"/>
              <w:rPr>
                <w:sz w:val="20"/>
                <w:szCs w:val="20"/>
                <w:color w:val="auto"/>
              </w:rPr>
            </w:pPr>
            <w:r>
              <w:rPr>
                <w:rFonts w:ascii="Arial" w:cs="Arial" w:eastAsia="Arial" w:hAnsi="Arial"/>
                <w:sz w:val="11"/>
                <w:szCs w:val="11"/>
                <w:color w:val="auto"/>
              </w:rPr>
              <w:t>6.5</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right"/>
              <w:ind w:right="43"/>
              <w:spacing w:after="0"/>
              <w:rPr>
                <w:sz w:val="20"/>
                <w:szCs w:val="20"/>
                <w:color w:val="auto"/>
              </w:rPr>
            </w:pPr>
            <w:r>
              <w:rPr>
                <w:rFonts w:ascii="Arial" w:cs="Arial" w:eastAsia="Arial" w:hAnsi="Arial"/>
                <w:sz w:val="11"/>
                <w:szCs w:val="11"/>
                <w:color w:val="auto"/>
              </w:rPr>
              <w:t>267,278</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ind w:right="43"/>
              <w:spacing w:after="0"/>
              <w:rPr>
                <w:sz w:val="20"/>
                <w:szCs w:val="20"/>
                <w:color w:val="auto"/>
              </w:rPr>
            </w:pPr>
            <w:r>
              <w:rPr>
                <w:rFonts w:ascii="Arial" w:cs="Arial" w:eastAsia="Arial" w:hAnsi="Arial"/>
                <w:sz w:val="11"/>
                <w:szCs w:val="11"/>
                <w:color w:val="auto"/>
              </w:rPr>
              <w:t>21,444</w:t>
            </w:r>
          </w:p>
        </w:tc>
        <w:tc>
          <w:tcPr>
            <w:tcW w:w="80" w:type="dxa"/>
            <w:vAlign w:val="bottom"/>
          </w:tcPr>
          <w:p>
            <w:pPr>
              <w:spacing w:after="0"/>
              <w:rPr>
                <w:sz w:val="13"/>
                <w:szCs w:val="13"/>
                <w:color w:val="auto"/>
              </w:rPr>
            </w:pPr>
          </w:p>
        </w:tc>
        <w:tc>
          <w:tcPr>
            <w:tcW w:w="860" w:type="dxa"/>
            <w:vAlign w:val="bottom"/>
          </w:tcPr>
          <w:p>
            <w:pPr>
              <w:jc w:val="right"/>
              <w:ind w:right="283"/>
              <w:spacing w:after="0"/>
              <w:rPr>
                <w:sz w:val="20"/>
                <w:szCs w:val="20"/>
                <w:color w:val="auto"/>
              </w:rPr>
            </w:pPr>
            <w:r>
              <w:rPr>
                <w:rFonts w:ascii="Arial" w:cs="Arial" w:eastAsia="Arial" w:hAnsi="Arial"/>
                <w:sz w:val="11"/>
                <w:szCs w:val="11"/>
                <w:color w:val="auto"/>
              </w:rPr>
              <w:t>1.0</w:t>
            </w:r>
          </w:p>
        </w:tc>
        <w:tc>
          <w:tcPr>
            <w:tcW w:w="60" w:type="dxa"/>
            <w:vAlign w:val="bottom"/>
          </w:tcPr>
          <w:p>
            <w:pPr>
              <w:spacing w:after="0"/>
              <w:rPr>
                <w:sz w:val="13"/>
                <w:szCs w:val="13"/>
                <w:color w:val="auto"/>
              </w:rPr>
            </w:pPr>
          </w:p>
        </w:tc>
        <w:tc>
          <w:tcPr>
            <w:tcW w:w="60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1"/>
                <w:szCs w:val="11"/>
                <w:color w:val="auto"/>
              </w:rPr>
              <w:t>A1</w:t>
            </w: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rPr>
              <w:t>AA</w:t>
            </w:r>
          </w:p>
        </w:tc>
        <w:tc>
          <w:tcPr>
            <w:tcW w:w="280" w:type="dxa"/>
            <w:vAlign w:val="bottom"/>
            <w:gridSpan w:val="2"/>
          </w:tcPr>
          <w:p>
            <w:pPr>
              <w:jc w:val="right"/>
              <w:ind w:right="43"/>
              <w:spacing w:after="0"/>
              <w:rPr>
                <w:sz w:val="20"/>
                <w:szCs w:val="20"/>
                <w:color w:val="auto"/>
              </w:rPr>
            </w:pPr>
            <w:r>
              <w:rPr>
                <w:rFonts w:ascii="Arial" w:cs="Arial" w:eastAsia="Arial" w:hAnsi="Arial"/>
                <w:sz w:val="11"/>
                <w:szCs w:val="11"/>
                <w:color w:val="auto"/>
              </w:rPr>
              <w:t>$</w:t>
            </w:r>
          </w:p>
        </w:tc>
        <w:tc>
          <w:tcPr>
            <w:tcW w:w="440" w:type="dxa"/>
            <w:vAlign w:val="bottom"/>
          </w:tcPr>
          <w:p>
            <w:pPr>
              <w:jc w:val="right"/>
              <w:spacing w:after="0"/>
              <w:rPr>
                <w:sz w:val="20"/>
                <w:szCs w:val="20"/>
                <w:color w:val="auto"/>
              </w:rPr>
            </w:pPr>
            <w:r>
              <w:rPr>
                <w:rFonts w:ascii="Arial" w:cs="Arial" w:eastAsia="Arial" w:hAnsi="Arial"/>
                <w:sz w:val="11"/>
                <w:szCs w:val="11"/>
                <w:color w:val="auto"/>
              </w:rPr>
              <w:t>126.0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320" w:type="dxa"/>
            <w:vAlign w:val="bottom"/>
            <w:tcBorders>
              <w:bottom w:val="single" w:sz="8" w:color="CCEEFF"/>
            </w:tcBorders>
          </w:tcPr>
          <w:p>
            <w:pPr>
              <w:jc w:val="right"/>
              <w:ind w:right="43"/>
              <w:spacing w:after="0"/>
              <w:rPr>
                <w:sz w:val="20"/>
                <w:szCs w:val="20"/>
                <w:color w:val="auto"/>
              </w:rPr>
            </w:pPr>
            <w:r>
              <w:rPr>
                <w:rFonts w:ascii="Arial" w:cs="Arial" w:eastAsia="Arial" w:hAnsi="Arial"/>
                <w:sz w:val="11"/>
                <w:szCs w:val="11"/>
                <w:color w:val="auto"/>
              </w:rPr>
              <w:t>17</w:t>
            </w:r>
          </w:p>
        </w:tc>
        <w:tc>
          <w:tcPr>
            <w:tcW w:w="2220" w:type="dxa"/>
            <w:vAlign w:val="bottom"/>
            <w:tcBorders>
              <w:bottom w:val="single" w:sz="8" w:color="auto"/>
            </w:tcBorders>
          </w:tcPr>
          <w:p>
            <w:pPr>
              <w:ind w:left="40"/>
              <w:spacing w:after="0"/>
              <w:rPr>
                <w:sz w:val="20"/>
                <w:szCs w:val="20"/>
                <w:color w:val="auto"/>
              </w:rPr>
            </w:pPr>
            <w:r>
              <w:rPr>
                <w:rFonts w:ascii="Arial" w:cs="Arial" w:eastAsia="Arial" w:hAnsi="Arial"/>
                <w:sz w:val="11"/>
                <w:szCs w:val="11"/>
                <w:color w:val="auto"/>
              </w:rPr>
              <w:t>Merck &amp; Co., Inc.</w:t>
            </w:r>
          </w:p>
        </w:tc>
        <w:tc>
          <w:tcPr>
            <w:tcW w:w="6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9.0</w:t>
            </w: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337,703</w:t>
            </w: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21,401</w:t>
            </w:r>
          </w:p>
        </w:tc>
        <w:tc>
          <w:tcPr>
            <w:tcW w:w="8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right"/>
              <w:ind w:right="283"/>
              <w:spacing w:after="0"/>
              <w:rPr>
                <w:sz w:val="20"/>
                <w:szCs w:val="20"/>
                <w:color w:val="auto"/>
              </w:rPr>
            </w:pPr>
            <w:r>
              <w:rPr>
                <w:rFonts w:ascii="Arial" w:cs="Arial" w:eastAsia="Arial" w:hAnsi="Arial"/>
                <w:sz w:val="11"/>
                <w:szCs w:val="11"/>
                <w:color w:val="auto"/>
              </w:rPr>
              <w:t>1.0</w:t>
            </w:r>
          </w:p>
        </w:tc>
        <w:tc>
          <w:tcPr>
            <w:tcW w:w="6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rPr>
              <w:t>A1</w:t>
            </w:r>
          </w:p>
        </w:tc>
        <w:tc>
          <w:tcPr>
            <w:tcW w:w="8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rPr>
              <w:t>A+</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293.8</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2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18</w:t>
            </w:r>
          </w:p>
        </w:tc>
        <w:tc>
          <w:tcPr>
            <w:tcW w:w="2220" w:type="dxa"/>
            <w:vAlign w:val="bottom"/>
            <w:shd w:val="clear" w:color="auto" w:fill="CCEEFF"/>
          </w:tcPr>
          <w:p>
            <w:pPr>
              <w:ind w:left="40"/>
              <w:spacing w:after="0"/>
              <w:rPr>
                <w:sz w:val="20"/>
                <w:szCs w:val="20"/>
                <w:color w:val="auto"/>
              </w:rPr>
            </w:pPr>
            <w:r>
              <w:rPr>
                <w:rFonts w:ascii="Arial" w:cs="Arial" w:eastAsia="Arial" w:hAnsi="Arial"/>
                <w:sz w:val="11"/>
                <w:szCs w:val="11"/>
                <w:color w:val="auto"/>
              </w:rPr>
              <w:t>Amgen Inc.</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8.5</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428,227</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21,314</w:t>
            </w: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283"/>
              <w:spacing w:after="0"/>
              <w:rPr>
                <w:sz w:val="20"/>
                <w:szCs w:val="20"/>
                <w:color w:val="auto"/>
              </w:rPr>
            </w:pPr>
            <w:r>
              <w:rPr>
                <w:rFonts w:ascii="Arial" w:cs="Arial" w:eastAsia="Arial" w:hAnsi="Arial"/>
                <w:sz w:val="11"/>
                <w:szCs w:val="11"/>
                <w:color w:val="auto"/>
              </w:rPr>
              <w:t>1.0</w:t>
            </w:r>
          </w:p>
        </w:tc>
        <w:tc>
          <w:tcPr>
            <w:tcW w:w="6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center"/>
              <w:ind w:right="60"/>
              <w:spacing w:after="0"/>
              <w:rPr>
                <w:sz w:val="20"/>
                <w:szCs w:val="20"/>
                <w:color w:val="auto"/>
              </w:rPr>
            </w:pPr>
            <w:r>
              <w:rPr>
                <w:rFonts w:ascii="Arial" w:cs="Arial" w:eastAsia="Arial" w:hAnsi="Arial"/>
                <w:sz w:val="11"/>
                <w:szCs w:val="11"/>
                <w:color w:val="auto"/>
              </w:rPr>
              <w:t>Baa1</w:t>
            </w:r>
          </w:p>
        </w:tc>
        <w:tc>
          <w:tcPr>
            <w:tcW w:w="46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w:t>
            </w:r>
          </w:p>
        </w:tc>
        <w:tc>
          <w:tcPr>
            <w:tcW w:w="280" w:type="dxa"/>
            <w:vAlign w:val="bottom"/>
            <w:gridSpan w:val="2"/>
            <w:shd w:val="clear" w:color="auto" w:fill="CCEEFF"/>
          </w:tcPr>
          <w:p>
            <w:pPr>
              <w:jc w:val="right"/>
              <w:ind w:right="43"/>
              <w:spacing w:after="0"/>
              <w:rPr>
                <w:sz w:val="20"/>
                <w:szCs w:val="20"/>
                <w:color w:val="auto"/>
              </w:rPr>
            </w:pPr>
            <w:r>
              <w:rPr>
                <w:rFonts w:ascii="Arial" w:cs="Arial" w:eastAsia="Arial" w:hAnsi="Arial"/>
                <w:sz w:val="11"/>
                <w:szCs w:val="11"/>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148.0</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20" w:type="dxa"/>
            <w:vAlign w:val="bottom"/>
          </w:tcPr>
          <w:p>
            <w:pPr>
              <w:jc w:val="right"/>
              <w:ind w:right="43"/>
              <w:spacing w:after="0"/>
              <w:rPr>
                <w:sz w:val="20"/>
                <w:szCs w:val="20"/>
                <w:color w:val="auto"/>
              </w:rPr>
            </w:pPr>
            <w:r>
              <w:rPr>
                <w:rFonts w:ascii="Arial" w:cs="Arial" w:eastAsia="Arial" w:hAnsi="Arial"/>
                <w:sz w:val="11"/>
                <w:szCs w:val="11"/>
                <w:color w:val="auto"/>
              </w:rPr>
              <w:t>19</w:t>
            </w:r>
          </w:p>
        </w:tc>
        <w:tc>
          <w:tcPr>
            <w:tcW w:w="2220" w:type="dxa"/>
            <w:vAlign w:val="bottom"/>
          </w:tcPr>
          <w:p>
            <w:pPr>
              <w:ind w:left="40"/>
              <w:spacing w:after="0"/>
              <w:rPr>
                <w:sz w:val="20"/>
                <w:szCs w:val="20"/>
                <w:color w:val="auto"/>
              </w:rPr>
            </w:pPr>
            <w:r>
              <w:rPr>
                <w:rFonts w:ascii="Arial" w:cs="Arial" w:eastAsia="Arial" w:hAnsi="Arial"/>
                <w:sz w:val="11"/>
                <w:szCs w:val="11"/>
                <w:color w:val="auto"/>
              </w:rPr>
              <w:t>New York University</w:t>
            </w:r>
          </w:p>
        </w:tc>
        <w:tc>
          <w:tcPr>
            <w:tcW w:w="580" w:type="dxa"/>
            <w:vAlign w:val="bottom"/>
            <w:gridSpan w:val="2"/>
          </w:tcPr>
          <w:p>
            <w:pPr>
              <w:jc w:val="right"/>
              <w:spacing w:after="0"/>
              <w:rPr>
                <w:sz w:val="20"/>
                <w:szCs w:val="20"/>
                <w:color w:val="auto"/>
              </w:rPr>
            </w:pPr>
            <w:r>
              <w:rPr>
                <w:rFonts w:ascii="Arial" w:cs="Arial" w:eastAsia="Arial" w:hAnsi="Arial"/>
                <w:sz w:val="11"/>
                <w:szCs w:val="11"/>
                <w:color w:val="auto"/>
              </w:rPr>
              <w:t>7.6</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right"/>
              <w:ind w:right="43"/>
              <w:spacing w:after="0"/>
              <w:rPr>
                <w:sz w:val="20"/>
                <w:szCs w:val="20"/>
                <w:color w:val="auto"/>
              </w:rPr>
            </w:pPr>
            <w:r>
              <w:rPr>
                <w:rFonts w:ascii="Arial" w:cs="Arial" w:eastAsia="Arial" w:hAnsi="Arial"/>
                <w:sz w:val="11"/>
                <w:szCs w:val="11"/>
                <w:color w:val="auto"/>
              </w:rPr>
              <w:t>218,983</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jc w:val="right"/>
              <w:ind w:right="43"/>
              <w:spacing w:after="0"/>
              <w:rPr>
                <w:sz w:val="20"/>
                <w:szCs w:val="20"/>
                <w:color w:val="auto"/>
              </w:rPr>
            </w:pPr>
            <w:r>
              <w:rPr>
                <w:rFonts w:ascii="Arial" w:cs="Arial" w:eastAsia="Arial" w:hAnsi="Arial"/>
                <w:sz w:val="11"/>
                <w:szCs w:val="11"/>
                <w:color w:val="auto"/>
              </w:rPr>
              <w:t>21,056</w:t>
            </w:r>
          </w:p>
        </w:tc>
        <w:tc>
          <w:tcPr>
            <w:tcW w:w="80" w:type="dxa"/>
            <w:vAlign w:val="bottom"/>
          </w:tcPr>
          <w:p>
            <w:pPr>
              <w:spacing w:after="0"/>
              <w:rPr>
                <w:sz w:val="15"/>
                <w:szCs w:val="15"/>
                <w:color w:val="auto"/>
              </w:rPr>
            </w:pPr>
          </w:p>
        </w:tc>
        <w:tc>
          <w:tcPr>
            <w:tcW w:w="860" w:type="dxa"/>
            <w:vAlign w:val="bottom"/>
          </w:tcPr>
          <w:p>
            <w:pPr>
              <w:jc w:val="right"/>
              <w:ind w:right="283"/>
              <w:spacing w:after="0"/>
              <w:rPr>
                <w:sz w:val="20"/>
                <w:szCs w:val="20"/>
                <w:color w:val="auto"/>
              </w:rPr>
            </w:pPr>
            <w:r>
              <w:rPr>
                <w:rFonts w:ascii="Arial" w:cs="Arial" w:eastAsia="Arial" w:hAnsi="Arial"/>
                <w:sz w:val="11"/>
                <w:szCs w:val="11"/>
                <w:color w:val="auto"/>
              </w:rPr>
              <w:t>0.9</w:t>
            </w:r>
          </w:p>
        </w:tc>
        <w:tc>
          <w:tcPr>
            <w:tcW w:w="60" w:type="dxa"/>
            <w:vAlign w:val="bottom"/>
          </w:tcPr>
          <w:p>
            <w:pPr>
              <w:spacing w:after="0"/>
              <w:rPr>
                <w:sz w:val="15"/>
                <w:szCs w:val="15"/>
                <w:color w:val="auto"/>
              </w:rPr>
            </w:pPr>
          </w:p>
        </w:tc>
        <w:tc>
          <w:tcPr>
            <w:tcW w:w="600" w:type="dxa"/>
            <w:vAlign w:val="bottom"/>
            <w:gridSpan w:val="2"/>
          </w:tcPr>
          <w:p>
            <w:pPr>
              <w:jc w:val="center"/>
              <w:ind w:right="60"/>
              <w:spacing w:after="0"/>
              <w:rPr>
                <w:sz w:val="20"/>
                <w:szCs w:val="20"/>
                <w:color w:val="auto"/>
              </w:rPr>
            </w:pPr>
            <w:r>
              <w:rPr>
                <w:rFonts w:ascii="Arial" w:cs="Arial" w:eastAsia="Arial" w:hAnsi="Arial"/>
                <w:sz w:val="11"/>
                <w:szCs w:val="11"/>
                <w:color w:val="auto"/>
              </w:rPr>
              <w:t>Aa2</w:t>
            </w:r>
          </w:p>
        </w:tc>
        <w:tc>
          <w:tcPr>
            <w:tcW w:w="460" w:type="dxa"/>
            <w:vAlign w:val="bottom"/>
          </w:tcPr>
          <w:p>
            <w:pPr>
              <w:jc w:val="center"/>
              <w:spacing w:after="0"/>
              <w:rPr>
                <w:sz w:val="20"/>
                <w:szCs w:val="20"/>
                <w:color w:val="auto"/>
              </w:rPr>
            </w:pPr>
            <w:r>
              <w:rPr>
                <w:rFonts w:ascii="Arial" w:cs="Arial" w:eastAsia="Arial" w:hAnsi="Arial"/>
                <w:sz w:val="11"/>
                <w:szCs w:val="11"/>
                <w:color w:val="auto"/>
              </w:rPr>
              <w:t>AA-</w:t>
            </w:r>
          </w:p>
        </w:tc>
        <w:tc>
          <w:tcPr>
            <w:tcW w:w="280" w:type="dxa"/>
            <w:vAlign w:val="bottom"/>
            <w:gridSpan w:val="2"/>
          </w:tcPr>
          <w:p>
            <w:pPr>
              <w:jc w:val="right"/>
              <w:ind w:right="43"/>
              <w:spacing w:after="0"/>
              <w:rPr>
                <w:sz w:val="20"/>
                <w:szCs w:val="20"/>
                <w:color w:val="auto"/>
              </w:rPr>
            </w:pPr>
            <w:r>
              <w:rPr>
                <w:rFonts w:ascii="Arial" w:cs="Arial" w:eastAsia="Arial" w:hAnsi="Arial"/>
                <w:sz w:val="11"/>
                <w:szCs w:val="11"/>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83"/>
        </w:trPr>
        <w:tc>
          <w:tcPr>
            <w:tcW w:w="32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20</w:t>
            </w:r>
          </w:p>
        </w:tc>
        <w:tc>
          <w:tcPr>
            <w:tcW w:w="2220" w:type="dxa"/>
            <w:vAlign w:val="bottom"/>
            <w:shd w:val="clear" w:color="auto" w:fill="CCEEFF"/>
          </w:tcPr>
          <w:p>
            <w:pPr>
              <w:ind w:left="40"/>
              <w:spacing w:after="0"/>
              <w:rPr>
                <w:sz w:val="20"/>
                <w:szCs w:val="20"/>
                <w:color w:val="auto"/>
              </w:rPr>
            </w:pPr>
            <w:r>
              <w:rPr>
                <w:rFonts w:ascii="Arial" w:cs="Arial" w:eastAsia="Arial" w:hAnsi="Arial"/>
                <w:sz w:val="11"/>
                <w:szCs w:val="11"/>
                <w:color w:val="auto"/>
              </w:rPr>
              <w:t>Massachusetts Institute of Technology</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5.0</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246,725</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20,527</w:t>
            </w: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283"/>
              <w:spacing w:after="0"/>
              <w:rPr>
                <w:sz w:val="20"/>
                <w:szCs w:val="20"/>
                <w:color w:val="auto"/>
              </w:rPr>
            </w:pPr>
            <w:r>
              <w:rPr>
                <w:rFonts w:ascii="Arial" w:cs="Arial" w:eastAsia="Arial" w:hAnsi="Arial"/>
                <w:sz w:val="11"/>
                <w:szCs w:val="11"/>
                <w:color w:val="auto"/>
              </w:rPr>
              <w:t>0.9</w:t>
            </w:r>
          </w:p>
        </w:tc>
        <w:tc>
          <w:tcPr>
            <w:tcW w:w="60" w:type="dxa"/>
            <w:vAlign w:val="bottom"/>
            <w:shd w:val="clear" w:color="auto" w:fill="CCEEFF"/>
          </w:tcPr>
          <w:p>
            <w:pPr>
              <w:spacing w:after="0"/>
              <w:rPr>
                <w:sz w:val="15"/>
                <w:szCs w:val="15"/>
                <w:color w:val="auto"/>
              </w:rPr>
            </w:pPr>
          </w:p>
        </w:tc>
        <w:tc>
          <w:tcPr>
            <w:tcW w:w="600" w:type="dxa"/>
            <w:vAlign w:val="bottom"/>
            <w:gridSpan w:val="2"/>
            <w:shd w:val="clear" w:color="auto" w:fill="CCEEFF"/>
          </w:tcPr>
          <w:p>
            <w:pPr>
              <w:ind w:left="160"/>
              <w:spacing w:after="0"/>
              <w:rPr>
                <w:sz w:val="20"/>
                <w:szCs w:val="20"/>
                <w:color w:val="auto"/>
              </w:rPr>
            </w:pPr>
            <w:r>
              <w:rPr>
                <w:rFonts w:ascii="Arial" w:cs="Arial" w:eastAsia="Arial" w:hAnsi="Arial"/>
                <w:sz w:val="11"/>
                <w:szCs w:val="11"/>
                <w:color w:val="auto"/>
              </w:rPr>
              <w:t>Aaa</w:t>
            </w:r>
          </w:p>
        </w:tc>
        <w:tc>
          <w:tcPr>
            <w:tcW w:w="46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9"/>
              </w:rPr>
              <w:t>AAA</w:t>
            </w:r>
          </w:p>
        </w:tc>
        <w:tc>
          <w:tcPr>
            <w:tcW w:w="280" w:type="dxa"/>
            <w:vAlign w:val="bottom"/>
            <w:gridSpan w:val="2"/>
            <w:shd w:val="clear" w:color="auto" w:fill="CCEEFF"/>
          </w:tcPr>
          <w:p>
            <w:pPr>
              <w:jc w:val="right"/>
              <w:ind w:right="43"/>
              <w:spacing w:after="0"/>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2220" w:type="dxa"/>
            <w:vAlign w:val="bottom"/>
          </w:tcPr>
          <w:p>
            <w:pPr>
              <w:ind w:left="40"/>
              <w:spacing w:after="0"/>
              <w:rPr>
                <w:sz w:val="20"/>
                <w:szCs w:val="20"/>
                <w:color w:val="auto"/>
              </w:rPr>
            </w:pPr>
            <w:r>
              <w:rPr>
                <w:rFonts w:ascii="Arial" w:cs="Arial" w:eastAsia="Arial" w:hAnsi="Arial"/>
                <w:sz w:val="11"/>
                <w:szCs w:val="11"/>
                <w:color w:val="auto"/>
              </w:rPr>
              <w:t>Total/weighted-average</w:t>
            </w:r>
          </w:p>
        </w:tc>
        <w:tc>
          <w:tcPr>
            <w:tcW w:w="580" w:type="dxa"/>
            <w:vAlign w:val="bottom"/>
            <w:gridSpan w:val="2"/>
          </w:tcPr>
          <w:p>
            <w:pPr>
              <w:jc w:val="right"/>
              <w:spacing w:after="0"/>
              <w:rPr>
                <w:sz w:val="20"/>
                <w:szCs w:val="20"/>
                <w:color w:val="auto"/>
              </w:rPr>
            </w:pPr>
            <w:r>
              <w:rPr>
                <w:rFonts w:ascii="Arial" w:cs="Arial" w:eastAsia="Arial" w:hAnsi="Arial"/>
                <w:sz w:val="11"/>
                <w:szCs w:val="11"/>
                <w:color w:val="auto"/>
              </w:rPr>
              <w:t>9.4</w:t>
            </w:r>
          </w:p>
        </w:tc>
        <w:tc>
          <w:tcPr>
            <w:tcW w:w="180" w:type="dxa"/>
            <w:vAlign w:val="bottom"/>
          </w:tcPr>
          <w:p>
            <w:pPr>
              <w:jc w:val="right"/>
              <w:ind w:right="3"/>
              <w:spacing w:after="0"/>
              <w:rPr>
                <w:sz w:val="20"/>
                <w:szCs w:val="20"/>
                <w:color w:val="auto"/>
              </w:rPr>
            </w:pPr>
            <w:r>
              <w:rPr>
                <w:rFonts w:ascii="Arial" w:cs="Arial" w:eastAsia="Arial" w:hAnsi="Arial"/>
                <w:sz w:val="7"/>
                <w:szCs w:val="7"/>
                <w:color w:val="auto"/>
              </w:rPr>
              <w:t>(4)</w:t>
            </w:r>
          </w:p>
        </w:tc>
        <w:tc>
          <w:tcPr>
            <w:tcW w:w="80" w:type="dxa"/>
            <w:vAlign w:val="bottom"/>
          </w:tcPr>
          <w:p>
            <w:pPr>
              <w:spacing w:after="0"/>
              <w:rPr>
                <w:sz w:val="15"/>
                <w:szCs w:val="15"/>
                <w:color w:val="auto"/>
              </w:rPr>
            </w:pPr>
          </w:p>
        </w:tc>
        <w:tc>
          <w:tcPr>
            <w:tcW w:w="800" w:type="dxa"/>
            <w:vAlign w:val="bottom"/>
          </w:tcPr>
          <w:p>
            <w:pPr>
              <w:jc w:val="right"/>
              <w:ind w:right="63"/>
              <w:spacing w:after="0"/>
              <w:rPr>
                <w:sz w:val="20"/>
                <w:szCs w:val="20"/>
                <w:color w:val="auto"/>
              </w:rPr>
            </w:pPr>
            <w:r>
              <w:rPr>
                <w:rFonts w:ascii="Arial" w:cs="Arial" w:eastAsia="Arial" w:hAnsi="Arial"/>
                <w:sz w:val="11"/>
                <w:szCs w:val="11"/>
                <w:color w:val="auto"/>
              </w:rPr>
              <w:t>11,811,460</w:t>
            </w:r>
          </w:p>
        </w:tc>
        <w:tc>
          <w:tcPr>
            <w:tcW w:w="80" w:type="dxa"/>
            <w:vAlign w:val="bottom"/>
          </w:tcPr>
          <w:p>
            <w:pPr>
              <w:spacing w:after="0"/>
              <w:rPr>
                <w:sz w:val="15"/>
                <w:szCs w:val="15"/>
                <w:color w:val="auto"/>
              </w:rPr>
            </w:pPr>
          </w:p>
        </w:tc>
        <w:tc>
          <w:tcPr>
            <w:tcW w:w="18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600" w:type="dxa"/>
            <w:vAlign w:val="bottom"/>
          </w:tcPr>
          <w:p>
            <w:pPr>
              <w:jc w:val="right"/>
              <w:ind w:right="43"/>
              <w:spacing w:after="0"/>
              <w:rPr>
                <w:sz w:val="20"/>
                <w:szCs w:val="20"/>
                <w:color w:val="auto"/>
              </w:rPr>
            </w:pPr>
            <w:r>
              <w:rPr>
                <w:rFonts w:ascii="Arial" w:cs="Arial" w:eastAsia="Arial" w:hAnsi="Arial"/>
                <w:sz w:val="11"/>
                <w:szCs w:val="11"/>
                <w:color w:val="auto"/>
              </w:rPr>
              <w:t>805,751</w:t>
            </w:r>
          </w:p>
        </w:tc>
        <w:tc>
          <w:tcPr>
            <w:tcW w:w="80" w:type="dxa"/>
            <w:vAlign w:val="bottom"/>
          </w:tcPr>
          <w:p>
            <w:pPr>
              <w:spacing w:after="0"/>
              <w:rPr>
                <w:sz w:val="15"/>
                <w:szCs w:val="15"/>
                <w:color w:val="auto"/>
              </w:rPr>
            </w:pPr>
          </w:p>
        </w:tc>
        <w:tc>
          <w:tcPr>
            <w:tcW w:w="860" w:type="dxa"/>
            <w:vAlign w:val="bottom"/>
          </w:tcPr>
          <w:p>
            <w:pPr>
              <w:jc w:val="right"/>
              <w:ind w:right="183"/>
              <w:spacing w:after="0"/>
              <w:rPr>
                <w:sz w:val="20"/>
                <w:szCs w:val="20"/>
                <w:color w:val="auto"/>
              </w:rPr>
            </w:pPr>
            <w:r>
              <w:rPr>
                <w:rFonts w:ascii="Arial" w:cs="Arial" w:eastAsia="Arial" w:hAnsi="Arial"/>
                <w:sz w:val="11"/>
                <w:szCs w:val="11"/>
                <w:color w:val="auto"/>
              </w:rPr>
              <w:t>36.5%</w:t>
            </w: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20" w:type="dxa"/>
            <w:vAlign w:val="bottom"/>
            <w:shd w:val="clear" w:color="auto" w:fill="CCEEFF"/>
          </w:tcPr>
          <w:p>
            <w:pPr>
              <w:spacing w:after="0"/>
              <w:rPr>
                <w:sz w:val="15"/>
                <w:szCs w:val="15"/>
                <w:color w:val="auto"/>
              </w:rPr>
            </w:pPr>
          </w:p>
        </w:tc>
        <w:tc>
          <w:tcPr>
            <w:tcW w:w="22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-947420</wp:posOffset>
            </wp:positionV>
            <wp:extent cx="5584190" cy="383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584190" cy="3835400"/>
                    </a:xfrm>
                    <a:prstGeom prst="rect">
                      <a:avLst/>
                    </a:prstGeom>
                    <a:noFill/>
                  </pic:spPr>
                </pic:pic>
              </a:graphicData>
            </a:graphic>
          </wp:anchor>
        </w:drawing>
      </w:r>
    </w:p>
    <w:p>
      <w:pPr>
        <w:spacing w:after="0" w:line="30" w:lineRule="exact"/>
        <w:rPr>
          <w:sz w:val="20"/>
          <w:szCs w:val="20"/>
          <w:color w:val="auto"/>
        </w:rPr>
      </w:pPr>
    </w:p>
    <w:p>
      <w:pPr>
        <w:ind w:left="500" w:right="679"/>
        <w:spacing w:after="0" w:line="245" w:lineRule="auto"/>
        <w:rPr>
          <w:sz w:val="20"/>
          <w:szCs w:val="20"/>
          <w:color w:val="auto"/>
        </w:rPr>
      </w:pPr>
      <w:r>
        <w:rPr>
          <w:rFonts w:ascii="Arial" w:cs="Arial" w:eastAsia="Arial" w:hAnsi="Arial"/>
          <w:sz w:val="10"/>
          <w:szCs w:val="10"/>
          <w:color w:val="auto"/>
          <w:highlight w:val="white"/>
        </w:rPr>
        <w:t xml:space="preserve">Annual rental revenue and RSF include 100% of each property managed by us in North America. Refer to “Annual rental revenue” and “Investment-grade or publicly traded large </w:t>
      </w:r>
      <w:r>
        <w:rPr>
          <w:rFonts w:ascii="Arial" w:cs="Arial" w:eastAsia="Arial" w:hAnsi="Arial"/>
          <w:sz w:val="10"/>
          <w:szCs w:val="10"/>
          <w:color w:val="auto"/>
        </w:rPr>
        <w:t>cap tenants” under “Definitions and reconciliations” in Item 2 for additional details, including our methodologies of calculating annual rental revenue from unconsolidated real</w:t>
      </w:r>
    </w:p>
    <w:p>
      <w:pPr>
        <w:spacing w:after="0" w:line="1" w:lineRule="exact"/>
        <w:rPr>
          <w:sz w:val="20"/>
          <w:szCs w:val="20"/>
          <w:color w:val="auto"/>
        </w:rPr>
      </w:pPr>
    </w:p>
    <w:p>
      <w:pPr>
        <w:ind w:left="500"/>
        <w:spacing w:after="0"/>
        <w:rPr>
          <w:sz w:val="20"/>
          <w:szCs w:val="20"/>
          <w:color w:val="auto"/>
        </w:rPr>
      </w:pPr>
      <w:r>
        <w:rPr>
          <w:rFonts w:ascii="Arial" w:cs="Arial" w:eastAsia="Arial" w:hAnsi="Arial"/>
          <w:sz w:val="10"/>
          <w:szCs w:val="10"/>
          <w:color w:val="auto"/>
        </w:rPr>
        <w:t>estate joint ventures and average market capitalization, respectively.</w:t>
      </w:r>
    </w:p>
    <w:p>
      <w:pPr>
        <w:spacing w:after="0" w:line="122" w:lineRule="exact"/>
        <w:rPr>
          <w:sz w:val="20"/>
          <w:szCs w:val="20"/>
          <w:color w:val="auto"/>
        </w:rPr>
      </w:pPr>
    </w:p>
    <w:p>
      <w:pPr>
        <w:ind w:left="760" w:hanging="251"/>
        <w:spacing w:after="0"/>
        <w:tabs>
          <w:tab w:leader="none" w:pos="760" w:val="left"/>
        </w:tabs>
        <w:numPr>
          <w:ilvl w:val="0"/>
          <w:numId w:val="78"/>
        </w:numPr>
        <w:rPr>
          <w:rFonts w:ascii="Arial" w:cs="Arial" w:eastAsia="Arial" w:hAnsi="Arial"/>
          <w:sz w:val="10"/>
          <w:szCs w:val="10"/>
          <w:color w:val="auto"/>
        </w:rPr>
      </w:pPr>
      <w:r>
        <w:rPr>
          <w:rFonts w:ascii="Arial" w:cs="Arial" w:eastAsia="Arial" w:hAnsi="Arial"/>
          <w:sz w:val="10"/>
          <w:szCs w:val="10"/>
          <w:color w:val="auto"/>
        </w:rPr>
        <w:t>Based on annual rental revenue in effect as of June 30, 2024.</w:t>
      </w:r>
    </w:p>
    <w:p>
      <w:pPr>
        <w:spacing w:after="0" w:line="13" w:lineRule="exact"/>
        <w:rPr>
          <w:rFonts w:ascii="Arial" w:cs="Arial" w:eastAsia="Arial" w:hAnsi="Arial"/>
          <w:sz w:val="10"/>
          <w:szCs w:val="10"/>
          <w:color w:val="auto"/>
        </w:rPr>
      </w:pPr>
    </w:p>
    <w:p>
      <w:pPr>
        <w:ind w:left="760" w:right="879" w:hanging="251"/>
        <w:spacing w:after="0" w:line="252" w:lineRule="auto"/>
        <w:tabs>
          <w:tab w:leader="none" w:pos="760" w:val="left"/>
        </w:tabs>
        <w:numPr>
          <w:ilvl w:val="0"/>
          <w:numId w:val="78"/>
        </w:numPr>
        <w:rPr>
          <w:rFonts w:ascii="Arial" w:cs="Arial" w:eastAsia="Arial" w:hAnsi="Arial"/>
          <w:sz w:val="10"/>
          <w:szCs w:val="10"/>
          <w:color w:val="auto"/>
        </w:rPr>
      </w:pPr>
      <w:r>
        <w:rPr>
          <w:rFonts w:ascii="Arial" w:cs="Arial" w:eastAsia="Arial" w:hAnsi="Arial"/>
          <w:sz w:val="10"/>
          <w:szCs w:val="10"/>
          <w:color w:val="auto"/>
        </w:rPr>
        <w:t>As of March 31, 2024, 2seventy bio, Inc. held $181.4 million of cash, cash equivalents, and marketable securities. In March 2024, Regeneron Pharmaceuticals, Inc., a publicly traded biotechnology company with investment-grade credit ratings of Baa1 and BBB+ assigned by Moody’s and S&amp;P, respectively, entered into a sublease for approximately 195,000 RSF, or 69.6% of our annual rental revenue generated from 2seventy bio as of June 30, 2024. Additionally, 90.2% of the annual rental revenue generated by 2seventy bio is guaranteed by another related public biotechnology company.</w:t>
      </w:r>
    </w:p>
    <w:p>
      <w:pPr>
        <w:ind w:left="760" w:right="659" w:hanging="251"/>
        <w:spacing w:after="0" w:line="246" w:lineRule="auto"/>
        <w:tabs>
          <w:tab w:leader="none" w:pos="760" w:val="left"/>
        </w:tabs>
        <w:numPr>
          <w:ilvl w:val="0"/>
          <w:numId w:val="78"/>
        </w:numPr>
        <w:rPr>
          <w:rFonts w:ascii="Arial" w:cs="Arial" w:eastAsia="Arial" w:hAnsi="Arial"/>
          <w:sz w:val="10"/>
          <w:szCs w:val="10"/>
          <w:color w:val="auto"/>
          <w:highlight w:val="white"/>
        </w:rPr>
      </w:pPr>
      <w:r>
        <w:rPr>
          <w:rFonts w:ascii="Arial" w:cs="Arial" w:eastAsia="Arial" w:hAnsi="Arial"/>
          <w:sz w:val="10"/>
          <w:szCs w:val="10"/>
          <w:color w:val="auto"/>
          <w:highlight w:val="white"/>
        </w:rPr>
        <w:t xml:space="preserve">Consists of one lease at a property acquired in 2022 with future development and redevelopment opportunities. This lease with Cloud Software Group, Inc. (formerly known </w:t>
      </w:r>
      <w:r>
        <w:rPr>
          <w:rFonts w:ascii="Arial" w:cs="Arial" w:eastAsia="Arial" w:hAnsi="Arial"/>
          <w:sz w:val="10"/>
          <w:szCs w:val="10"/>
          <w:color w:val="auto"/>
        </w:rPr>
        <w:t>as TIBCO Software, Inc.) was in place when we acquired the property.</w:t>
      </w:r>
    </w:p>
    <w:p>
      <w:pPr>
        <w:ind w:left="760" w:right="699" w:hanging="251"/>
        <w:spacing w:after="0" w:line="251" w:lineRule="auto"/>
        <w:tabs>
          <w:tab w:leader="none" w:pos="760" w:val="left"/>
        </w:tabs>
        <w:numPr>
          <w:ilvl w:val="0"/>
          <w:numId w:val="78"/>
        </w:numPr>
        <w:rPr>
          <w:rFonts w:ascii="Arial" w:cs="Arial" w:eastAsia="Arial" w:hAnsi="Arial"/>
          <w:sz w:val="10"/>
          <w:szCs w:val="10"/>
          <w:color w:val="auto"/>
        </w:rPr>
      </w:pPr>
      <w:r>
        <w:rPr>
          <w:rFonts w:ascii="Arial" w:cs="Arial" w:eastAsia="Arial" w:hAnsi="Arial"/>
          <w:sz w:val="10"/>
          <w:szCs w:val="10"/>
          <w:color w:val="auto"/>
        </w:rPr>
        <w:t>Includes (i) ground leases for land at 1455 and 1515 Third Street (two buildings aggregating 422,980 RSF) and (ii) leases at 1655 and 1725 Third Street (two buildings aggregating 586,208 RSF) in our Mission Bay submarket owned by our unconsolidated real estate joint venture in which we have an ownership interest of 10%. Annual rental revenue is presented using 100% of the annual rental revenue from our consolidated properties and our share of annual rental revenue from our unconsolidated real estate joint ventures. Refer to footnote 1 for additional details. Excluding these ground leases, the weighted-average remaining lease term for our top 20 tenants was 8.0 years as of June 30, 2024.</w:t>
      </w:r>
    </w:p>
    <w:p>
      <w:pPr>
        <w:ind w:left="760" w:right="799" w:hanging="251"/>
        <w:spacing w:after="0" w:line="284" w:lineRule="auto"/>
        <w:tabs>
          <w:tab w:leader="none" w:pos="760" w:val="left"/>
        </w:tabs>
        <w:numPr>
          <w:ilvl w:val="0"/>
          <w:numId w:val="78"/>
        </w:numPr>
        <w:rPr>
          <w:rFonts w:ascii="Arial" w:cs="Arial" w:eastAsia="Arial" w:hAnsi="Arial"/>
          <w:sz w:val="10"/>
          <w:szCs w:val="10"/>
          <w:color w:val="auto"/>
        </w:rPr>
      </w:pPr>
      <w:r>
        <w:rPr>
          <w:rFonts w:ascii="Arial" w:cs="Arial" w:eastAsia="Arial" w:hAnsi="Arial"/>
          <w:sz w:val="10"/>
          <w:szCs w:val="10"/>
          <w:color w:val="auto"/>
        </w:rPr>
        <w:t>Primarily relates to one office building in our New York City submarket aggregating 349,947 RSF with a contractual lease expiration in July 2024, which was classified as held for sale as of June 30, 2024 and sold in July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188595</wp:posOffset>
            </wp:positionV>
            <wp:extent cx="5584190" cy="661797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584190" cy="6617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640"/>
        <w:spacing w:after="0"/>
        <w:rPr>
          <w:sz w:val="20"/>
          <w:szCs w:val="20"/>
          <w:color w:val="auto"/>
        </w:rPr>
      </w:pPr>
      <w:r>
        <w:rPr>
          <w:rFonts w:ascii="Arial" w:cs="Arial" w:eastAsia="Arial" w:hAnsi="Arial"/>
          <w:sz w:val="13"/>
          <w:szCs w:val="13"/>
          <w:u w:val="single" w:color="auto"/>
          <w:color w:val="auto"/>
        </w:rPr>
        <w:t>Locations of properties</w:t>
      </w:r>
    </w:p>
    <w:p>
      <w:pPr>
        <w:spacing w:after="0" w:line="108" w:lineRule="exact"/>
        <w:rPr>
          <w:sz w:val="20"/>
          <w:szCs w:val="20"/>
          <w:color w:val="auto"/>
        </w:rPr>
      </w:pPr>
    </w:p>
    <w:p>
      <w:pPr>
        <w:ind w:left="640" w:right="659" w:firstLine="516"/>
        <w:spacing w:after="0" w:line="265" w:lineRule="auto"/>
        <w:rPr>
          <w:sz w:val="20"/>
          <w:szCs w:val="20"/>
          <w:color w:val="auto"/>
        </w:rPr>
      </w:pPr>
      <w:r>
        <w:rPr>
          <w:rFonts w:ascii="Arial" w:cs="Arial" w:eastAsia="Arial" w:hAnsi="Arial"/>
          <w:sz w:val="13"/>
          <w:szCs w:val="13"/>
          <w:color w:val="auto"/>
        </w:rPr>
        <w:t>The locations of our properties are diversified among a number of Class A/A+ assets strategically clustered in life science mega campuses in AAA innovation cluster markets. The following table sets forth the total RSF, number of properties, and annual rental revenue in effect as of June 30, 2024 in each of our markets in North America (dollars in thousands, except per RSF amounts):</w:t>
      </w:r>
    </w:p>
    <w:p>
      <w:pPr>
        <w:spacing w:after="0" w:line="95" w:lineRule="exact"/>
        <w:rPr>
          <w:sz w:val="20"/>
          <w:szCs w:val="20"/>
          <w:color w:val="auto"/>
        </w:rPr>
      </w:pPr>
    </w:p>
    <w:tbl>
      <w:tblPr>
        <w:tblLayout w:type="fixed"/>
        <w:tblInd w:w="640" w:type="dxa"/>
        <w:tblCellMar>
          <w:top w:w="0" w:type="dxa"/>
          <w:left w:w="0" w:type="dxa"/>
          <w:bottom w:w="0" w:type="dxa"/>
          <w:right w:w="0" w:type="dxa"/>
        </w:tblCellMar>
      </w:tblPr>
      <w:tr>
        <w:trPr>
          <w:trHeight w:val="139"/>
        </w:trPr>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86"/>
              <w:spacing w:after="0"/>
              <w:rPr>
                <w:sz w:val="20"/>
                <w:szCs w:val="20"/>
                <w:color w:val="auto"/>
              </w:rPr>
            </w:pPr>
            <w:r>
              <w:rPr>
                <w:rFonts w:ascii="Arial" w:cs="Arial" w:eastAsia="Arial" w:hAnsi="Arial"/>
                <w:sz w:val="11"/>
                <w:szCs w:val="11"/>
                <w:color w:val="auto"/>
              </w:rPr>
              <w:t>RSF</w:t>
            </w: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ind w:left="60"/>
              <w:spacing w:after="0"/>
              <w:rPr>
                <w:sz w:val="20"/>
                <w:szCs w:val="20"/>
                <w:color w:val="auto"/>
              </w:rPr>
            </w:pPr>
            <w:r>
              <w:rPr>
                <w:rFonts w:ascii="Arial" w:cs="Arial" w:eastAsia="Arial" w:hAnsi="Arial"/>
                <w:sz w:val="11"/>
                <w:szCs w:val="11"/>
                <w:color w:val="auto"/>
              </w:rPr>
              <w:t>Number of</w:t>
            </w:r>
          </w:p>
        </w:tc>
        <w:tc>
          <w:tcPr>
            <w:tcW w:w="10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gridSpan w:val="5"/>
          </w:tcPr>
          <w:p>
            <w:pPr>
              <w:jc w:val="right"/>
              <w:spacing w:after="0"/>
              <w:rPr>
                <w:sz w:val="20"/>
                <w:szCs w:val="20"/>
                <w:color w:val="auto"/>
              </w:rPr>
            </w:pPr>
            <w:r>
              <w:rPr>
                <w:rFonts w:ascii="Arial" w:cs="Arial" w:eastAsia="Arial" w:hAnsi="Arial"/>
                <w:sz w:val="11"/>
                <w:szCs w:val="11"/>
                <w:color w:val="auto"/>
              </w:rPr>
              <w:t>Annual Rental Revenue</w:t>
            </w:r>
          </w:p>
        </w:tc>
        <w:tc>
          <w:tcPr>
            <w:tcW w:w="340" w:type="dxa"/>
            <w:vAlign w:val="bottom"/>
            <w:tcBorders>
              <w:bottom w:val="single" w:sz="8" w:color="auto"/>
            </w:tcBorders>
          </w:tcPr>
          <w:p>
            <w:pPr>
              <w:spacing w:after="0"/>
              <w:rPr>
                <w:sz w:val="12"/>
                <w:szCs w:val="12"/>
                <w:color w:val="auto"/>
              </w:rPr>
            </w:pPr>
          </w:p>
        </w:tc>
      </w:tr>
      <w:tr>
        <w:trPr>
          <w:trHeight w:val="141"/>
        </w:trPr>
        <w:tc>
          <w:tcPr>
            <w:tcW w:w="1320" w:type="dxa"/>
            <w:vAlign w:val="bottom"/>
            <w:tcBorders>
              <w:bottom w:val="single" w:sz="8" w:color="auto"/>
            </w:tcBorders>
          </w:tcPr>
          <w:p>
            <w:pPr>
              <w:ind w:left="180"/>
              <w:spacing w:after="0"/>
              <w:rPr>
                <w:sz w:val="20"/>
                <w:szCs w:val="20"/>
                <w:color w:val="auto"/>
              </w:rPr>
            </w:pPr>
            <w:r>
              <w:rPr>
                <w:rFonts w:ascii="Arial" w:cs="Arial" w:eastAsia="Arial" w:hAnsi="Arial"/>
                <w:sz w:val="11"/>
                <w:szCs w:val="11"/>
                <w:color w:val="auto"/>
              </w:rPr>
              <w:t>Market</w:t>
            </w:r>
          </w:p>
        </w:tc>
        <w:tc>
          <w:tcPr>
            <w:tcW w:w="6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Operating</w:t>
            </w:r>
          </w:p>
        </w:tc>
        <w:tc>
          <w:tcPr>
            <w:tcW w:w="6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8"/>
              </w:rPr>
              <w:t>Development</w:t>
            </w:r>
          </w:p>
        </w:tc>
        <w:tc>
          <w:tcPr>
            <w:tcW w:w="6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Redevelopment</w:t>
            </w:r>
          </w:p>
        </w:tc>
        <w:tc>
          <w:tcPr>
            <w:tcW w:w="18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color w:val="auto"/>
              </w:rPr>
              <w:t>Total</w:t>
            </w:r>
          </w:p>
        </w:tc>
        <w:tc>
          <w:tcPr>
            <w:tcW w:w="6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 of Total</w:t>
            </w:r>
          </w:p>
        </w:tc>
        <w:tc>
          <w:tcPr>
            <w:tcW w:w="6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Properties</w:t>
            </w: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46"/>
              <w:spacing w:after="0"/>
              <w:rPr>
                <w:sz w:val="20"/>
                <w:szCs w:val="20"/>
                <w:color w:val="auto"/>
              </w:rPr>
            </w:pPr>
            <w:r>
              <w:rPr>
                <w:rFonts w:ascii="Arial" w:cs="Arial" w:eastAsia="Arial" w:hAnsi="Arial"/>
                <w:sz w:val="11"/>
                <w:szCs w:val="11"/>
                <w:color w:val="auto"/>
              </w:rPr>
              <w:t>Total</w:t>
            </w:r>
          </w:p>
        </w:tc>
        <w:tc>
          <w:tcPr>
            <w:tcW w:w="6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6"/>
              </w:rPr>
              <w:t>% of Total</w:t>
            </w:r>
          </w:p>
        </w:tc>
        <w:tc>
          <w:tcPr>
            <w:tcW w:w="6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gridSpan w:val="2"/>
          </w:tcPr>
          <w:p>
            <w:pPr>
              <w:jc w:val="right"/>
              <w:ind w:right="46"/>
              <w:spacing w:after="0"/>
              <w:rPr>
                <w:sz w:val="20"/>
                <w:szCs w:val="20"/>
                <w:color w:val="auto"/>
              </w:rPr>
            </w:pPr>
            <w:r>
              <w:rPr>
                <w:rFonts w:ascii="Arial" w:cs="Arial" w:eastAsia="Arial" w:hAnsi="Arial"/>
                <w:sz w:val="11"/>
                <w:szCs w:val="11"/>
                <w:color w:val="auto"/>
              </w:rPr>
              <w:t>Per RSF</w:t>
            </w:r>
          </w:p>
        </w:tc>
      </w:tr>
      <w:tr>
        <w:trPr>
          <w:trHeight w:val="141"/>
        </w:trPr>
        <w:tc>
          <w:tcPr>
            <w:tcW w:w="1380" w:type="dxa"/>
            <w:vAlign w:val="bottom"/>
            <w:gridSpan w:val="2"/>
            <w:shd w:val="clear" w:color="auto" w:fill="CCEEFF"/>
          </w:tcPr>
          <w:p>
            <w:pPr>
              <w:ind w:left="60"/>
              <w:spacing w:after="0"/>
              <w:rPr>
                <w:sz w:val="20"/>
                <w:szCs w:val="20"/>
                <w:color w:val="auto"/>
              </w:rPr>
            </w:pPr>
            <w:r>
              <w:rPr>
                <w:rFonts w:ascii="Arial" w:cs="Arial" w:eastAsia="Arial" w:hAnsi="Arial"/>
                <w:sz w:val="11"/>
                <w:szCs w:val="11"/>
                <w:color w:val="auto"/>
              </w:rPr>
              <w:t>Greater Boston</w:t>
            </w: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10,751,016</w:t>
            </w: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764,036</w:t>
            </w: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1,638,878</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7"/>
                <w:szCs w:val="7"/>
                <w:color w:val="auto"/>
              </w:rPr>
              <w:t>(1)</w:t>
            </w: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13,153,930</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73</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848,799</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38%</w:t>
            </w: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83.84</w:t>
            </w:r>
          </w:p>
        </w:tc>
      </w:tr>
      <w:tr>
        <w:trPr>
          <w:trHeight w:val="161"/>
        </w:trPr>
        <w:tc>
          <w:tcPr>
            <w:tcW w:w="1380" w:type="dxa"/>
            <w:vAlign w:val="bottom"/>
            <w:gridSpan w:val="2"/>
          </w:tcPr>
          <w:p>
            <w:pPr>
              <w:ind w:left="60"/>
              <w:spacing w:after="0"/>
              <w:rPr>
                <w:sz w:val="20"/>
                <w:szCs w:val="20"/>
                <w:color w:val="auto"/>
              </w:rPr>
            </w:pPr>
            <w:r>
              <w:rPr>
                <w:rFonts w:ascii="Arial" w:cs="Arial" w:eastAsia="Arial" w:hAnsi="Arial"/>
                <w:sz w:val="11"/>
                <w:szCs w:val="11"/>
                <w:color w:val="auto"/>
              </w:rPr>
              <w:t>San Francisco Bay Area</w:t>
            </w:r>
          </w:p>
        </w:tc>
        <w:tc>
          <w:tcPr>
            <w:tcW w:w="640" w:type="dxa"/>
            <w:vAlign w:val="bottom"/>
          </w:tcPr>
          <w:p>
            <w:pPr>
              <w:jc w:val="right"/>
              <w:spacing w:after="0"/>
              <w:rPr>
                <w:sz w:val="20"/>
                <w:szCs w:val="20"/>
                <w:color w:val="auto"/>
              </w:rPr>
            </w:pPr>
            <w:r>
              <w:rPr>
                <w:rFonts w:ascii="Arial" w:cs="Arial" w:eastAsia="Arial" w:hAnsi="Arial"/>
                <w:sz w:val="11"/>
                <w:szCs w:val="11"/>
                <w:color w:val="auto"/>
              </w:rPr>
              <w:t>7,863,964</w:t>
            </w:r>
          </w:p>
        </w:tc>
        <w:tc>
          <w:tcPr>
            <w:tcW w:w="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498,142</w:t>
            </w:r>
          </w:p>
        </w:tc>
        <w:tc>
          <w:tcPr>
            <w:tcW w:w="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282,054</w:t>
            </w: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8,644,160</w:t>
            </w:r>
          </w:p>
        </w:tc>
        <w:tc>
          <w:tcPr>
            <w:tcW w:w="60" w:type="dxa"/>
            <w:vAlign w:val="bottom"/>
          </w:tcPr>
          <w:p>
            <w:pPr>
              <w:spacing w:after="0"/>
              <w:rPr>
                <w:sz w:val="14"/>
                <w:szCs w:val="14"/>
                <w:color w:val="auto"/>
              </w:rPr>
            </w:pP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18</w:t>
            </w:r>
          </w:p>
        </w:tc>
        <w:tc>
          <w:tcPr>
            <w:tcW w:w="60" w:type="dxa"/>
            <w:vAlign w:val="bottom"/>
          </w:tcPr>
          <w:p>
            <w:pPr>
              <w:spacing w:after="0"/>
              <w:rPr>
                <w:sz w:val="14"/>
                <w:szCs w:val="14"/>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66</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449,633</w:t>
            </w:r>
          </w:p>
        </w:tc>
        <w:tc>
          <w:tcPr>
            <w:tcW w:w="6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20</w:t>
            </w: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65.52</w:t>
            </w:r>
          </w:p>
        </w:tc>
      </w:tr>
      <w:tr>
        <w:trPr>
          <w:trHeight w:val="161"/>
        </w:trPr>
        <w:tc>
          <w:tcPr>
            <w:tcW w:w="1380" w:type="dxa"/>
            <w:vAlign w:val="bottom"/>
            <w:gridSpan w:val="2"/>
            <w:shd w:val="clear" w:color="auto" w:fill="CCEEFF"/>
          </w:tcPr>
          <w:p>
            <w:pPr>
              <w:ind w:left="60"/>
              <w:spacing w:after="0"/>
              <w:rPr>
                <w:sz w:val="20"/>
                <w:szCs w:val="20"/>
                <w:color w:val="auto"/>
              </w:rPr>
            </w:pPr>
            <w:r>
              <w:rPr>
                <w:rFonts w:ascii="Arial" w:cs="Arial" w:eastAsia="Arial" w:hAnsi="Arial"/>
                <w:sz w:val="11"/>
                <w:szCs w:val="11"/>
                <w:color w:val="auto"/>
              </w:rPr>
              <w:t>San Diego</w:t>
            </w: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7,757,132</w:t>
            </w:r>
          </w:p>
        </w:tc>
        <w:tc>
          <w:tcPr>
            <w:tcW w:w="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1,186,104</w:t>
            </w:r>
          </w:p>
        </w:tc>
        <w:tc>
          <w:tcPr>
            <w:tcW w:w="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8,943,236</w:t>
            </w: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19</w:t>
            </w: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88</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328,872</w:t>
            </w: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15</w:t>
            </w:r>
          </w:p>
        </w:tc>
        <w:tc>
          <w:tcPr>
            <w:tcW w:w="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44.60</w:t>
            </w:r>
          </w:p>
        </w:tc>
      </w:tr>
      <w:tr>
        <w:trPr>
          <w:trHeight w:val="161"/>
        </w:trPr>
        <w:tc>
          <w:tcPr>
            <w:tcW w:w="1380" w:type="dxa"/>
            <w:vAlign w:val="bottom"/>
            <w:gridSpan w:val="2"/>
          </w:tcPr>
          <w:p>
            <w:pPr>
              <w:ind w:left="60"/>
              <w:spacing w:after="0"/>
              <w:rPr>
                <w:sz w:val="20"/>
                <w:szCs w:val="20"/>
                <w:color w:val="auto"/>
              </w:rPr>
            </w:pPr>
            <w:r>
              <w:rPr>
                <w:rFonts w:ascii="Arial" w:cs="Arial" w:eastAsia="Arial" w:hAnsi="Arial"/>
                <w:sz w:val="11"/>
                <w:szCs w:val="11"/>
                <w:color w:val="auto"/>
              </w:rPr>
              <w:t>Seattle</w:t>
            </w:r>
          </w:p>
        </w:tc>
        <w:tc>
          <w:tcPr>
            <w:tcW w:w="640" w:type="dxa"/>
            <w:vAlign w:val="bottom"/>
          </w:tcPr>
          <w:p>
            <w:pPr>
              <w:jc w:val="right"/>
              <w:spacing w:after="0"/>
              <w:rPr>
                <w:sz w:val="20"/>
                <w:szCs w:val="20"/>
                <w:color w:val="auto"/>
              </w:rPr>
            </w:pPr>
            <w:r>
              <w:rPr>
                <w:rFonts w:ascii="Arial" w:cs="Arial" w:eastAsia="Arial" w:hAnsi="Arial"/>
                <w:sz w:val="11"/>
                <w:szCs w:val="11"/>
                <w:color w:val="auto"/>
              </w:rPr>
              <w:t>3,188,135</w:t>
            </w:r>
          </w:p>
        </w:tc>
        <w:tc>
          <w:tcPr>
            <w:tcW w:w="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31,270</w:t>
            </w:r>
          </w:p>
        </w:tc>
        <w:tc>
          <w:tcPr>
            <w:tcW w:w="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34,306</w:t>
            </w: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3,253,711</w:t>
            </w:r>
          </w:p>
        </w:tc>
        <w:tc>
          <w:tcPr>
            <w:tcW w:w="60" w:type="dxa"/>
            <w:vAlign w:val="bottom"/>
          </w:tcPr>
          <w:p>
            <w:pPr>
              <w:spacing w:after="0"/>
              <w:rPr>
                <w:sz w:val="14"/>
                <w:szCs w:val="14"/>
                <w:color w:val="auto"/>
              </w:rPr>
            </w:pP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7</w:t>
            </w:r>
          </w:p>
        </w:tc>
        <w:tc>
          <w:tcPr>
            <w:tcW w:w="60" w:type="dxa"/>
            <w:vAlign w:val="bottom"/>
          </w:tcPr>
          <w:p>
            <w:pPr>
              <w:spacing w:after="0"/>
              <w:rPr>
                <w:sz w:val="14"/>
                <w:szCs w:val="14"/>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44</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138,136</w:t>
            </w:r>
          </w:p>
        </w:tc>
        <w:tc>
          <w:tcPr>
            <w:tcW w:w="6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6</w:t>
            </w: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45.73</w:t>
            </w:r>
          </w:p>
        </w:tc>
      </w:tr>
      <w:tr>
        <w:trPr>
          <w:trHeight w:val="161"/>
        </w:trPr>
        <w:tc>
          <w:tcPr>
            <w:tcW w:w="1380" w:type="dxa"/>
            <w:vAlign w:val="bottom"/>
            <w:gridSpan w:val="2"/>
            <w:shd w:val="clear" w:color="auto" w:fill="CCEEFF"/>
          </w:tcPr>
          <w:p>
            <w:pPr>
              <w:ind w:left="60"/>
              <w:spacing w:after="0"/>
              <w:rPr>
                <w:sz w:val="20"/>
                <w:szCs w:val="20"/>
                <w:color w:val="auto"/>
              </w:rPr>
            </w:pPr>
            <w:r>
              <w:rPr>
                <w:rFonts w:ascii="Arial" w:cs="Arial" w:eastAsia="Arial" w:hAnsi="Arial"/>
                <w:sz w:val="11"/>
                <w:szCs w:val="11"/>
                <w:color w:val="auto"/>
              </w:rPr>
              <w:t>Maryland</w:t>
            </w: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3,804,438</w:t>
            </w:r>
          </w:p>
        </w:tc>
        <w:tc>
          <w:tcPr>
            <w:tcW w:w="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292,946</w:t>
            </w:r>
          </w:p>
        </w:tc>
        <w:tc>
          <w:tcPr>
            <w:tcW w:w="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4,097,384</w:t>
            </w: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9</w:t>
            </w: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51</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135,978</w:t>
            </w: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6</w:t>
            </w:r>
          </w:p>
        </w:tc>
        <w:tc>
          <w:tcPr>
            <w:tcW w:w="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37.45</w:t>
            </w:r>
          </w:p>
        </w:tc>
      </w:tr>
      <w:tr>
        <w:trPr>
          <w:trHeight w:val="161"/>
        </w:trPr>
        <w:tc>
          <w:tcPr>
            <w:tcW w:w="1380" w:type="dxa"/>
            <w:vAlign w:val="bottom"/>
            <w:gridSpan w:val="2"/>
          </w:tcPr>
          <w:p>
            <w:pPr>
              <w:ind w:left="60"/>
              <w:spacing w:after="0"/>
              <w:rPr>
                <w:sz w:val="20"/>
                <w:szCs w:val="20"/>
                <w:color w:val="auto"/>
              </w:rPr>
            </w:pPr>
            <w:r>
              <w:rPr>
                <w:rFonts w:ascii="Arial" w:cs="Arial" w:eastAsia="Arial" w:hAnsi="Arial"/>
                <w:sz w:val="11"/>
                <w:szCs w:val="11"/>
                <w:color w:val="auto"/>
              </w:rPr>
              <w:t>Research Triangle</w:t>
            </w:r>
          </w:p>
        </w:tc>
        <w:tc>
          <w:tcPr>
            <w:tcW w:w="640" w:type="dxa"/>
            <w:vAlign w:val="bottom"/>
          </w:tcPr>
          <w:p>
            <w:pPr>
              <w:jc w:val="right"/>
              <w:spacing w:after="0"/>
              <w:rPr>
                <w:sz w:val="20"/>
                <w:szCs w:val="20"/>
                <w:color w:val="auto"/>
              </w:rPr>
            </w:pPr>
            <w:r>
              <w:rPr>
                <w:rFonts w:ascii="Arial" w:cs="Arial" w:eastAsia="Arial" w:hAnsi="Arial"/>
                <w:sz w:val="11"/>
                <w:szCs w:val="11"/>
                <w:color w:val="auto"/>
              </w:rPr>
              <w:t>3,923,169</w:t>
            </w:r>
          </w:p>
        </w:tc>
        <w:tc>
          <w:tcPr>
            <w:tcW w:w="6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3,923,169</w:t>
            </w:r>
          </w:p>
        </w:tc>
        <w:tc>
          <w:tcPr>
            <w:tcW w:w="60" w:type="dxa"/>
            <w:vAlign w:val="bottom"/>
          </w:tcPr>
          <w:p>
            <w:pPr>
              <w:spacing w:after="0"/>
              <w:rPr>
                <w:sz w:val="14"/>
                <w:szCs w:val="14"/>
                <w:color w:val="auto"/>
              </w:rPr>
            </w:pP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8</w:t>
            </w:r>
          </w:p>
        </w:tc>
        <w:tc>
          <w:tcPr>
            <w:tcW w:w="60" w:type="dxa"/>
            <w:vAlign w:val="bottom"/>
          </w:tcPr>
          <w:p>
            <w:pPr>
              <w:spacing w:after="0"/>
              <w:rPr>
                <w:sz w:val="14"/>
                <w:szCs w:val="14"/>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40</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123,315</w:t>
            </w:r>
          </w:p>
        </w:tc>
        <w:tc>
          <w:tcPr>
            <w:tcW w:w="6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6</w:t>
            </w: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32.27</w:t>
            </w:r>
          </w:p>
        </w:tc>
      </w:tr>
      <w:tr>
        <w:trPr>
          <w:trHeight w:val="161"/>
        </w:trPr>
        <w:tc>
          <w:tcPr>
            <w:tcW w:w="1380" w:type="dxa"/>
            <w:vAlign w:val="bottom"/>
            <w:gridSpan w:val="2"/>
            <w:shd w:val="clear" w:color="auto" w:fill="CCEEFF"/>
          </w:tcPr>
          <w:p>
            <w:pPr>
              <w:ind w:left="60"/>
              <w:spacing w:after="0"/>
              <w:rPr>
                <w:sz w:val="20"/>
                <w:szCs w:val="20"/>
                <w:color w:val="auto"/>
              </w:rPr>
            </w:pPr>
            <w:r>
              <w:rPr>
                <w:rFonts w:ascii="Arial" w:cs="Arial" w:eastAsia="Arial" w:hAnsi="Arial"/>
                <w:sz w:val="11"/>
                <w:szCs w:val="11"/>
                <w:color w:val="auto"/>
              </w:rPr>
              <w:t>New York City</w:t>
            </w: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922,477</w:t>
            </w:r>
          </w:p>
        </w:tc>
        <w:tc>
          <w:tcPr>
            <w:tcW w:w="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922,477</w:t>
            </w: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2</w:t>
            </w: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4</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72,885</w:t>
            </w: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3</w:t>
            </w:r>
          </w:p>
        </w:tc>
        <w:tc>
          <w:tcPr>
            <w:tcW w:w="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92.89</w:t>
            </w:r>
          </w:p>
        </w:tc>
      </w:tr>
      <w:tr>
        <w:trPr>
          <w:trHeight w:val="161"/>
        </w:trPr>
        <w:tc>
          <w:tcPr>
            <w:tcW w:w="1380" w:type="dxa"/>
            <w:vAlign w:val="bottom"/>
            <w:gridSpan w:val="2"/>
          </w:tcPr>
          <w:p>
            <w:pPr>
              <w:ind w:left="60"/>
              <w:spacing w:after="0"/>
              <w:rPr>
                <w:sz w:val="20"/>
                <w:szCs w:val="20"/>
                <w:color w:val="auto"/>
              </w:rPr>
            </w:pPr>
            <w:r>
              <w:rPr>
                <w:rFonts w:ascii="Arial" w:cs="Arial" w:eastAsia="Arial" w:hAnsi="Arial"/>
                <w:sz w:val="11"/>
                <w:szCs w:val="11"/>
                <w:color w:val="auto"/>
              </w:rPr>
              <w:t>Texas</w:t>
            </w:r>
          </w:p>
        </w:tc>
        <w:tc>
          <w:tcPr>
            <w:tcW w:w="640" w:type="dxa"/>
            <w:vAlign w:val="bottom"/>
          </w:tcPr>
          <w:p>
            <w:pPr>
              <w:jc w:val="right"/>
              <w:spacing w:after="0"/>
              <w:rPr>
                <w:sz w:val="20"/>
                <w:szCs w:val="20"/>
                <w:color w:val="auto"/>
              </w:rPr>
            </w:pPr>
            <w:r>
              <w:rPr>
                <w:rFonts w:ascii="Arial" w:cs="Arial" w:eastAsia="Arial" w:hAnsi="Arial"/>
                <w:sz w:val="11"/>
                <w:szCs w:val="11"/>
                <w:color w:val="auto"/>
              </w:rPr>
              <w:t>1,845,159</w:t>
            </w:r>
          </w:p>
        </w:tc>
        <w:tc>
          <w:tcPr>
            <w:tcW w:w="6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73,298</w:t>
            </w: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1,918,457</w:t>
            </w:r>
          </w:p>
        </w:tc>
        <w:tc>
          <w:tcPr>
            <w:tcW w:w="60" w:type="dxa"/>
            <w:vAlign w:val="bottom"/>
          </w:tcPr>
          <w:p>
            <w:pPr>
              <w:spacing w:after="0"/>
              <w:rPr>
                <w:sz w:val="14"/>
                <w:szCs w:val="14"/>
                <w:color w:val="auto"/>
              </w:rPr>
            </w:pP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4</w:t>
            </w:r>
          </w:p>
        </w:tc>
        <w:tc>
          <w:tcPr>
            <w:tcW w:w="60" w:type="dxa"/>
            <w:vAlign w:val="bottom"/>
          </w:tcPr>
          <w:p>
            <w:pPr>
              <w:spacing w:after="0"/>
              <w:rPr>
                <w:sz w:val="14"/>
                <w:szCs w:val="14"/>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15</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57,830</w:t>
            </w:r>
          </w:p>
        </w:tc>
        <w:tc>
          <w:tcPr>
            <w:tcW w:w="6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3</w:t>
            </w: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32.83</w:t>
            </w:r>
          </w:p>
        </w:tc>
      </w:tr>
      <w:tr>
        <w:trPr>
          <w:trHeight w:val="161"/>
        </w:trPr>
        <w:tc>
          <w:tcPr>
            <w:tcW w:w="1380" w:type="dxa"/>
            <w:vAlign w:val="bottom"/>
            <w:gridSpan w:val="2"/>
            <w:shd w:val="clear" w:color="auto" w:fill="CCEEFF"/>
          </w:tcPr>
          <w:p>
            <w:pPr>
              <w:ind w:left="60"/>
              <w:spacing w:after="0"/>
              <w:rPr>
                <w:sz w:val="20"/>
                <w:szCs w:val="20"/>
                <w:color w:val="auto"/>
              </w:rPr>
            </w:pPr>
            <w:r>
              <w:rPr>
                <w:rFonts w:ascii="Arial" w:cs="Arial" w:eastAsia="Arial" w:hAnsi="Arial"/>
                <w:sz w:val="11"/>
                <w:szCs w:val="11"/>
                <w:color w:val="auto"/>
              </w:rPr>
              <w:t>Canada</w:t>
            </w: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933,660</w:t>
            </w:r>
          </w:p>
        </w:tc>
        <w:tc>
          <w:tcPr>
            <w:tcW w:w="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139,311</w:t>
            </w: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1,072,971</w:t>
            </w: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2</w:t>
            </w: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12</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20,353</w:t>
            </w: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1</w:t>
            </w:r>
          </w:p>
        </w:tc>
        <w:tc>
          <w:tcPr>
            <w:tcW w:w="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22.98</w:t>
            </w:r>
          </w:p>
        </w:tc>
      </w:tr>
      <w:tr>
        <w:trPr>
          <w:trHeight w:val="161"/>
        </w:trPr>
        <w:tc>
          <w:tcPr>
            <w:tcW w:w="1380" w:type="dxa"/>
            <w:vAlign w:val="bottom"/>
            <w:gridSpan w:val="2"/>
          </w:tcPr>
          <w:p>
            <w:pPr>
              <w:ind w:left="60"/>
              <w:spacing w:after="0"/>
              <w:rPr>
                <w:sz w:val="20"/>
                <w:szCs w:val="20"/>
                <w:color w:val="auto"/>
              </w:rPr>
            </w:pPr>
            <w:r>
              <w:rPr>
                <w:rFonts w:ascii="Arial" w:cs="Arial" w:eastAsia="Arial" w:hAnsi="Arial"/>
                <w:sz w:val="11"/>
                <w:szCs w:val="11"/>
                <w:color w:val="auto"/>
              </w:rPr>
              <w:t>Non-cluster/other markets</w:t>
            </w:r>
          </w:p>
        </w:tc>
        <w:tc>
          <w:tcPr>
            <w:tcW w:w="640" w:type="dxa"/>
            <w:vAlign w:val="bottom"/>
          </w:tcPr>
          <w:p>
            <w:pPr>
              <w:jc w:val="right"/>
              <w:spacing w:after="0"/>
              <w:rPr>
                <w:sz w:val="20"/>
                <w:szCs w:val="20"/>
                <w:color w:val="auto"/>
              </w:rPr>
            </w:pPr>
            <w:r>
              <w:rPr>
                <w:rFonts w:ascii="Arial" w:cs="Arial" w:eastAsia="Arial" w:hAnsi="Arial"/>
                <w:sz w:val="11"/>
                <w:szCs w:val="11"/>
                <w:color w:val="auto"/>
              </w:rPr>
              <w:t>347,806</w:t>
            </w:r>
          </w:p>
        </w:tc>
        <w:tc>
          <w:tcPr>
            <w:tcW w:w="6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347,806</w:t>
            </w:r>
          </w:p>
        </w:tc>
        <w:tc>
          <w:tcPr>
            <w:tcW w:w="60" w:type="dxa"/>
            <w:vAlign w:val="bottom"/>
          </w:tcPr>
          <w:p>
            <w:pPr>
              <w:spacing w:after="0"/>
              <w:rPr>
                <w:sz w:val="14"/>
                <w:szCs w:val="14"/>
                <w:color w:val="auto"/>
              </w:rPr>
            </w:pP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60" w:type="dxa"/>
            <w:vAlign w:val="bottom"/>
          </w:tcPr>
          <w:p>
            <w:pPr>
              <w:spacing w:after="0"/>
              <w:rPr>
                <w:sz w:val="14"/>
                <w:szCs w:val="14"/>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10</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15,180</w:t>
            </w:r>
          </w:p>
        </w:tc>
        <w:tc>
          <w:tcPr>
            <w:tcW w:w="6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1</w:t>
            </w: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57.70</w:t>
            </w:r>
          </w:p>
        </w:tc>
      </w:tr>
      <w:tr>
        <w:trPr>
          <w:trHeight w:val="161"/>
        </w:trPr>
        <w:tc>
          <w:tcPr>
            <w:tcW w:w="1380" w:type="dxa"/>
            <w:vAlign w:val="bottom"/>
            <w:gridSpan w:val="2"/>
            <w:shd w:val="clear" w:color="auto" w:fill="CCEEFF"/>
          </w:tcPr>
          <w:p>
            <w:pPr>
              <w:ind w:left="60"/>
              <w:spacing w:after="0"/>
              <w:rPr>
                <w:sz w:val="20"/>
                <w:szCs w:val="20"/>
                <w:color w:val="auto"/>
              </w:rPr>
            </w:pPr>
            <w:r>
              <w:rPr>
                <w:rFonts w:ascii="Arial" w:cs="Arial" w:eastAsia="Arial" w:hAnsi="Arial"/>
                <w:sz w:val="11"/>
                <w:szCs w:val="11"/>
                <w:color w:val="auto"/>
              </w:rPr>
              <w:t>Properties held for sale</w:t>
            </w: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808,692</w:t>
            </w:r>
          </w:p>
        </w:tc>
        <w:tc>
          <w:tcPr>
            <w:tcW w:w="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808,692</w:t>
            </w: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2</w:t>
            </w: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5</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25,994</w:t>
            </w: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1</w:t>
            </w:r>
          </w:p>
        </w:tc>
        <w:tc>
          <w:tcPr>
            <w:tcW w:w="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N/A</w:t>
            </w:r>
          </w:p>
        </w:tc>
      </w:tr>
      <w:tr>
        <w:trPr>
          <w:trHeight w:val="120"/>
        </w:trPr>
        <w:tc>
          <w:tcPr>
            <w:tcW w:w="1380" w:type="dxa"/>
            <w:vAlign w:val="bottom"/>
            <w:gridSpan w:val="2"/>
          </w:tcPr>
          <w:p>
            <w:pPr>
              <w:ind w:left="140"/>
              <w:spacing w:after="0" w:line="120" w:lineRule="exact"/>
              <w:rPr>
                <w:sz w:val="20"/>
                <w:szCs w:val="20"/>
                <w:color w:val="auto"/>
              </w:rPr>
            </w:pPr>
            <w:r>
              <w:rPr>
                <w:rFonts w:ascii="Arial" w:cs="Arial" w:eastAsia="Arial" w:hAnsi="Arial"/>
                <w:sz w:val="11"/>
                <w:szCs w:val="11"/>
                <w:b w:val="1"/>
                <w:bCs w:val="1"/>
                <w:color w:val="auto"/>
              </w:rPr>
              <w:t>North America</w:t>
            </w:r>
          </w:p>
        </w:tc>
        <w:tc>
          <w:tcPr>
            <w:tcW w:w="640" w:type="dxa"/>
            <w:vAlign w:val="bottom"/>
            <w:tcBorders>
              <w:top w:val="single" w:sz="8" w:color="auto"/>
              <w:bottom w:val="single" w:sz="8" w:color="auto"/>
            </w:tcBorders>
          </w:tcPr>
          <w:p>
            <w:pPr>
              <w:jc w:val="right"/>
              <w:spacing w:after="0" w:line="120" w:lineRule="exact"/>
              <w:rPr>
                <w:sz w:val="20"/>
                <w:szCs w:val="20"/>
                <w:color w:val="auto"/>
              </w:rPr>
            </w:pPr>
            <w:r>
              <w:rPr>
                <w:rFonts w:ascii="Arial" w:cs="Arial" w:eastAsia="Arial" w:hAnsi="Arial"/>
                <w:sz w:val="11"/>
                <w:szCs w:val="11"/>
                <w:b w:val="1"/>
                <w:bCs w:val="1"/>
                <w:color w:val="auto"/>
              </w:rPr>
              <w:t>42,145,648</w:t>
            </w:r>
          </w:p>
        </w:tc>
        <w:tc>
          <w:tcPr>
            <w:tcW w:w="60" w:type="dxa"/>
            <w:vAlign w:val="bottom"/>
          </w:tcPr>
          <w:p>
            <w:pPr>
              <w:spacing w:after="0"/>
              <w:rPr>
                <w:sz w:val="10"/>
                <w:szCs w:val="10"/>
                <w:color w:val="auto"/>
              </w:rPr>
            </w:pPr>
          </w:p>
        </w:tc>
        <w:tc>
          <w:tcPr>
            <w:tcW w:w="700" w:type="dxa"/>
            <w:vAlign w:val="bottom"/>
            <w:tcBorders>
              <w:top w:val="single" w:sz="8" w:color="auto"/>
            </w:tcBorders>
          </w:tcPr>
          <w:p>
            <w:pPr>
              <w:jc w:val="right"/>
              <w:spacing w:after="0" w:line="120" w:lineRule="exact"/>
              <w:rPr>
                <w:sz w:val="20"/>
                <w:szCs w:val="20"/>
                <w:color w:val="auto"/>
              </w:rPr>
            </w:pPr>
            <w:r>
              <w:rPr>
                <w:rFonts w:ascii="Arial" w:cs="Arial" w:eastAsia="Arial" w:hAnsi="Arial"/>
                <w:sz w:val="11"/>
                <w:szCs w:val="11"/>
                <w:b w:val="1"/>
                <w:bCs w:val="1"/>
                <w:color w:val="auto"/>
              </w:rPr>
              <w:t>2,772,498</w:t>
            </w:r>
          </w:p>
        </w:tc>
        <w:tc>
          <w:tcPr>
            <w:tcW w:w="60" w:type="dxa"/>
            <w:vAlign w:val="bottom"/>
          </w:tcPr>
          <w:p>
            <w:pPr>
              <w:spacing w:after="0"/>
              <w:rPr>
                <w:sz w:val="10"/>
                <w:szCs w:val="10"/>
                <w:color w:val="auto"/>
              </w:rPr>
            </w:pPr>
          </w:p>
        </w:tc>
        <w:tc>
          <w:tcPr>
            <w:tcW w:w="840" w:type="dxa"/>
            <w:vAlign w:val="bottom"/>
            <w:tcBorders>
              <w:top w:val="single" w:sz="8" w:color="auto"/>
            </w:tcBorders>
          </w:tcPr>
          <w:p>
            <w:pPr>
              <w:jc w:val="right"/>
              <w:spacing w:after="0" w:line="120" w:lineRule="exact"/>
              <w:rPr>
                <w:sz w:val="20"/>
                <w:szCs w:val="20"/>
                <w:color w:val="auto"/>
              </w:rPr>
            </w:pPr>
            <w:r>
              <w:rPr>
                <w:rFonts w:ascii="Arial" w:cs="Arial" w:eastAsia="Arial" w:hAnsi="Arial"/>
                <w:sz w:val="11"/>
                <w:szCs w:val="11"/>
                <w:b w:val="1"/>
                <w:bCs w:val="1"/>
                <w:color w:val="auto"/>
              </w:rPr>
              <w:t>2,167,847</w:t>
            </w:r>
          </w:p>
        </w:tc>
        <w:tc>
          <w:tcPr>
            <w:tcW w:w="180" w:type="dxa"/>
            <w:vAlign w:val="bottom"/>
          </w:tcPr>
          <w:p>
            <w:pPr>
              <w:spacing w:after="0"/>
              <w:rPr>
                <w:sz w:val="10"/>
                <w:szCs w:val="10"/>
                <w:color w:val="auto"/>
              </w:rPr>
            </w:pPr>
          </w:p>
        </w:tc>
        <w:tc>
          <w:tcPr>
            <w:tcW w:w="600" w:type="dxa"/>
            <w:vAlign w:val="bottom"/>
            <w:tcBorders>
              <w:top w:val="single" w:sz="8" w:color="auto"/>
              <w:bottom w:val="single" w:sz="8" w:color="auto"/>
            </w:tcBorders>
          </w:tcPr>
          <w:p>
            <w:pPr>
              <w:jc w:val="right"/>
              <w:spacing w:after="0" w:line="120" w:lineRule="exact"/>
              <w:rPr>
                <w:sz w:val="20"/>
                <w:szCs w:val="20"/>
                <w:color w:val="auto"/>
              </w:rPr>
            </w:pPr>
            <w:r>
              <w:rPr>
                <w:rFonts w:ascii="Arial" w:cs="Arial" w:eastAsia="Arial" w:hAnsi="Arial"/>
                <w:sz w:val="11"/>
                <w:szCs w:val="11"/>
                <w:b w:val="1"/>
                <w:bCs w:val="1"/>
                <w:color w:val="auto"/>
              </w:rPr>
              <w:t>47,085,993</w:t>
            </w:r>
          </w:p>
        </w:tc>
        <w:tc>
          <w:tcPr>
            <w:tcW w:w="60" w:type="dxa"/>
            <w:vAlign w:val="bottom"/>
          </w:tcPr>
          <w:p>
            <w:pPr>
              <w:spacing w:after="0"/>
              <w:rPr>
                <w:sz w:val="10"/>
                <w:szCs w:val="10"/>
                <w:color w:val="auto"/>
              </w:rPr>
            </w:pPr>
          </w:p>
        </w:tc>
        <w:tc>
          <w:tcPr>
            <w:tcW w:w="540" w:type="dxa"/>
            <w:vAlign w:val="bottom"/>
            <w:tcBorders>
              <w:top w:val="single" w:sz="8" w:color="auto"/>
              <w:bottom w:val="single" w:sz="8" w:color="auto"/>
            </w:tcBorders>
          </w:tcPr>
          <w:p>
            <w:pPr>
              <w:jc w:val="right"/>
              <w:spacing w:after="0" w:line="120" w:lineRule="exact"/>
              <w:rPr>
                <w:sz w:val="20"/>
                <w:szCs w:val="20"/>
                <w:color w:val="auto"/>
              </w:rPr>
            </w:pPr>
            <w:r>
              <w:rPr>
                <w:rFonts w:ascii="Arial" w:cs="Arial" w:eastAsia="Arial" w:hAnsi="Arial"/>
                <w:sz w:val="11"/>
                <w:szCs w:val="11"/>
                <w:b w:val="1"/>
                <w:bCs w:val="1"/>
                <w:color w:val="auto"/>
              </w:rPr>
              <w:t>100%</w:t>
            </w:r>
          </w:p>
        </w:tc>
        <w:tc>
          <w:tcPr>
            <w:tcW w:w="60" w:type="dxa"/>
            <w:vAlign w:val="bottom"/>
          </w:tcPr>
          <w:p>
            <w:pPr>
              <w:spacing w:after="0"/>
              <w:rPr>
                <w:sz w:val="10"/>
                <w:szCs w:val="10"/>
                <w:color w:val="auto"/>
              </w:rPr>
            </w:pPr>
          </w:p>
        </w:tc>
        <w:tc>
          <w:tcPr>
            <w:tcW w:w="600" w:type="dxa"/>
            <w:vAlign w:val="bottom"/>
            <w:tcBorders>
              <w:top w:val="single" w:sz="8" w:color="auto"/>
              <w:bottom w:val="single" w:sz="8" w:color="auto"/>
            </w:tcBorders>
          </w:tcPr>
          <w:p>
            <w:pPr>
              <w:jc w:val="right"/>
              <w:spacing w:after="0" w:line="120" w:lineRule="exact"/>
              <w:rPr>
                <w:sz w:val="20"/>
                <w:szCs w:val="20"/>
                <w:color w:val="auto"/>
              </w:rPr>
            </w:pPr>
            <w:r>
              <w:rPr>
                <w:rFonts w:ascii="Arial" w:cs="Arial" w:eastAsia="Arial" w:hAnsi="Arial"/>
                <w:sz w:val="11"/>
                <w:szCs w:val="11"/>
                <w:b w:val="1"/>
                <w:bCs w:val="1"/>
                <w:color w:val="auto"/>
              </w:rPr>
              <w:t>408</w:t>
            </w:r>
          </w:p>
        </w:tc>
        <w:tc>
          <w:tcPr>
            <w:tcW w:w="40" w:type="dxa"/>
            <w:vAlign w:val="bottom"/>
          </w:tcPr>
          <w:p>
            <w:pPr>
              <w:spacing w:after="0"/>
              <w:rPr>
                <w:sz w:val="10"/>
                <w:szCs w:val="10"/>
                <w:color w:val="auto"/>
              </w:rPr>
            </w:pPr>
          </w:p>
        </w:tc>
        <w:tc>
          <w:tcPr>
            <w:tcW w:w="100" w:type="dxa"/>
            <w:vAlign w:val="bottom"/>
            <w:tcBorders>
              <w:top w:val="single" w:sz="8" w:color="auto"/>
              <w:bottom w:val="single" w:sz="8" w:color="auto"/>
            </w:tcBorders>
          </w:tcPr>
          <w:p>
            <w:pPr>
              <w:jc w:val="right"/>
              <w:spacing w:after="0" w:line="120" w:lineRule="exact"/>
              <w:rPr>
                <w:sz w:val="20"/>
                <w:szCs w:val="20"/>
                <w:color w:val="auto"/>
              </w:rPr>
            </w:pPr>
            <w:r>
              <w:rPr>
                <w:rFonts w:ascii="Arial" w:cs="Arial" w:eastAsia="Arial" w:hAnsi="Arial"/>
                <w:sz w:val="11"/>
                <w:szCs w:val="11"/>
                <w:b w:val="1"/>
                <w:bCs w:val="1"/>
                <w:color w:val="auto"/>
              </w:rPr>
              <w:t>$</w:t>
            </w:r>
          </w:p>
        </w:tc>
        <w:tc>
          <w:tcPr>
            <w:tcW w:w="540" w:type="dxa"/>
            <w:vAlign w:val="bottom"/>
            <w:tcBorders>
              <w:top w:val="single" w:sz="8" w:color="auto"/>
              <w:bottom w:val="single" w:sz="8" w:color="auto"/>
            </w:tcBorders>
          </w:tcPr>
          <w:p>
            <w:pPr>
              <w:jc w:val="right"/>
              <w:spacing w:after="0" w:line="120" w:lineRule="exact"/>
              <w:rPr>
                <w:sz w:val="20"/>
                <w:szCs w:val="20"/>
                <w:color w:val="auto"/>
              </w:rPr>
            </w:pPr>
            <w:r>
              <w:rPr>
                <w:rFonts w:ascii="Arial" w:cs="Arial" w:eastAsia="Arial" w:hAnsi="Arial"/>
                <w:sz w:val="11"/>
                <w:szCs w:val="11"/>
                <w:b w:val="1"/>
                <w:bCs w:val="1"/>
                <w:color w:val="auto"/>
                <w:w w:val="97"/>
              </w:rPr>
              <w:t>2,216,975</w:t>
            </w:r>
          </w:p>
        </w:tc>
        <w:tc>
          <w:tcPr>
            <w:tcW w:w="60" w:type="dxa"/>
            <w:vAlign w:val="bottom"/>
          </w:tcPr>
          <w:p>
            <w:pPr>
              <w:spacing w:after="0"/>
              <w:rPr>
                <w:sz w:val="10"/>
                <w:szCs w:val="10"/>
                <w:color w:val="auto"/>
              </w:rPr>
            </w:pPr>
          </w:p>
        </w:tc>
        <w:tc>
          <w:tcPr>
            <w:tcW w:w="540" w:type="dxa"/>
            <w:vAlign w:val="bottom"/>
            <w:tcBorders>
              <w:top w:val="single" w:sz="8" w:color="auto"/>
              <w:bottom w:val="single" w:sz="8" w:color="auto"/>
            </w:tcBorders>
          </w:tcPr>
          <w:p>
            <w:pPr>
              <w:jc w:val="right"/>
              <w:spacing w:after="0" w:line="120" w:lineRule="exact"/>
              <w:rPr>
                <w:sz w:val="20"/>
                <w:szCs w:val="20"/>
                <w:color w:val="auto"/>
              </w:rPr>
            </w:pPr>
            <w:r>
              <w:rPr>
                <w:rFonts w:ascii="Arial" w:cs="Arial" w:eastAsia="Arial" w:hAnsi="Arial"/>
                <w:sz w:val="11"/>
                <w:szCs w:val="11"/>
                <w:b w:val="1"/>
                <w:bCs w:val="1"/>
                <w:color w:val="auto"/>
              </w:rPr>
              <w:t>100%</w:t>
            </w:r>
          </w:p>
        </w:tc>
        <w:tc>
          <w:tcPr>
            <w:tcW w:w="60" w:type="dxa"/>
            <w:vAlign w:val="bottom"/>
          </w:tcPr>
          <w:p>
            <w:pPr>
              <w:spacing w:after="0"/>
              <w:rPr>
                <w:sz w:val="10"/>
                <w:szCs w:val="10"/>
                <w:color w:val="auto"/>
              </w:rPr>
            </w:pPr>
          </w:p>
        </w:tc>
        <w:tc>
          <w:tcPr>
            <w:tcW w:w="260" w:type="dxa"/>
            <w:vAlign w:val="bottom"/>
            <w:tcBorders>
              <w:top w:val="single" w:sz="8" w:color="auto"/>
              <w:bottom w:val="single" w:sz="8" w:color="auto"/>
            </w:tcBorders>
          </w:tcPr>
          <w:p>
            <w:pPr>
              <w:jc w:val="right"/>
              <w:ind w:right="106"/>
              <w:spacing w:after="0" w:line="120" w:lineRule="exact"/>
              <w:rPr>
                <w:sz w:val="20"/>
                <w:szCs w:val="20"/>
                <w:color w:val="auto"/>
              </w:rPr>
            </w:pPr>
            <w:r>
              <w:rPr>
                <w:rFonts w:ascii="Arial" w:cs="Arial" w:eastAsia="Arial" w:hAnsi="Arial"/>
                <w:sz w:val="11"/>
                <w:szCs w:val="11"/>
                <w:b w:val="1"/>
                <w:bCs w:val="1"/>
                <w:color w:val="auto"/>
              </w:rPr>
              <w:t>$</w:t>
            </w:r>
          </w:p>
        </w:tc>
        <w:tc>
          <w:tcPr>
            <w:tcW w:w="340" w:type="dxa"/>
            <w:vAlign w:val="bottom"/>
            <w:tcBorders>
              <w:top w:val="single" w:sz="8" w:color="auto"/>
              <w:bottom w:val="single" w:sz="8" w:color="auto"/>
            </w:tcBorders>
          </w:tcPr>
          <w:p>
            <w:pPr>
              <w:jc w:val="right"/>
              <w:spacing w:after="0" w:line="120" w:lineRule="exact"/>
              <w:rPr>
                <w:sz w:val="20"/>
                <w:szCs w:val="20"/>
                <w:color w:val="auto"/>
              </w:rPr>
            </w:pPr>
            <w:r>
              <w:rPr>
                <w:rFonts w:ascii="Arial" w:cs="Arial" w:eastAsia="Arial" w:hAnsi="Arial"/>
                <w:sz w:val="11"/>
                <w:szCs w:val="11"/>
                <w:b w:val="1"/>
                <w:bCs w:val="1"/>
                <w:color w:val="auto"/>
              </w:rPr>
              <w:t>56.87</w:t>
            </w:r>
          </w:p>
        </w:tc>
      </w:tr>
      <w:tr>
        <w:trPr>
          <w:trHeight w:val="20"/>
        </w:trPr>
        <w:tc>
          <w:tcPr>
            <w:tcW w:w="1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r>
    </w:tbl>
    <w:p>
      <w:pPr>
        <w:ind w:left="3300"/>
        <w:spacing w:after="0"/>
        <w:rPr>
          <w:sz w:val="20"/>
          <w:szCs w:val="20"/>
          <w:color w:val="auto"/>
        </w:rPr>
      </w:pPr>
      <w:r>
        <w:rPr>
          <w:rFonts w:ascii="Arial" w:cs="Arial" w:eastAsia="Arial" w:hAnsi="Arial"/>
          <w:sz w:val="11"/>
          <w:szCs w:val="11"/>
          <w:b w:val="1"/>
          <w:bCs w:val="1"/>
          <w:color w:val="auto"/>
        </w:rPr>
        <w:t>4,940,345</w:t>
      </w:r>
    </w:p>
    <w:p>
      <w:pPr>
        <w:spacing w:after="0" w:line="73" w:lineRule="exact"/>
        <w:rPr>
          <w:sz w:val="20"/>
          <w:szCs w:val="20"/>
          <w:color w:val="auto"/>
        </w:rPr>
      </w:pPr>
    </w:p>
    <w:p>
      <w:pPr>
        <w:ind w:left="900" w:right="719" w:hanging="262"/>
        <w:spacing w:after="0"/>
        <w:tabs>
          <w:tab w:leader="none" w:pos="900" w:val="left"/>
        </w:tabs>
        <w:numPr>
          <w:ilvl w:val="0"/>
          <w:numId w:val="79"/>
        </w:numPr>
        <w:rPr>
          <w:rFonts w:ascii="Arial" w:cs="Arial" w:eastAsia="Arial" w:hAnsi="Arial"/>
          <w:sz w:val="10"/>
          <w:szCs w:val="10"/>
          <w:color w:val="auto"/>
        </w:rPr>
      </w:pPr>
      <w:r>
        <w:rPr>
          <w:rFonts w:ascii="Arial" w:cs="Arial" w:eastAsia="Arial" w:hAnsi="Arial"/>
          <w:sz w:val="10"/>
          <w:szCs w:val="10"/>
          <w:color w:val="auto"/>
        </w:rPr>
        <w:t>Primarily includes our active redevelopment projects aggregating 716,604 RSF at 40, 50, and 60 Sylvan Road and 840 Winter Street located on the Alexandria Center</w:t>
      </w:r>
      <w:r>
        <w:rPr>
          <w:rFonts w:ascii="Arial" w:cs="Arial" w:eastAsia="Arial" w:hAnsi="Arial"/>
          <w:sz w:val="13"/>
          <w:szCs w:val="13"/>
          <w:color w:val="auto"/>
          <w:vertAlign w:val="superscript"/>
        </w:rPr>
        <w:t>®</w:t>
      </w:r>
      <w:r>
        <w:rPr>
          <w:rFonts w:ascii="Arial" w:cs="Arial" w:eastAsia="Arial" w:hAnsi="Arial"/>
          <w:sz w:val="10"/>
          <w:szCs w:val="10"/>
          <w:color w:val="auto"/>
        </w:rPr>
        <w:t xml:space="preserve"> for Life Science – Waltham mega campus, which are 43% leased/negotiating on a combined basis. This mega campus project is expected to capture demand in our Route 128 submarket.</w:t>
      </w:r>
    </w:p>
    <w:p>
      <w:pPr>
        <w:spacing w:after="0" w:line="108" w:lineRule="exact"/>
        <w:rPr>
          <w:sz w:val="20"/>
          <w:szCs w:val="20"/>
          <w:color w:val="auto"/>
        </w:rPr>
      </w:pPr>
    </w:p>
    <w:p>
      <w:pPr>
        <w:ind w:left="640"/>
        <w:spacing w:after="0"/>
        <w:rPr>
          <w:sz w:val="20"/>
          <w:szCs w:val="20"/>
          <w:color w:val="auto"/>
        </w:rPr>
      </w:pPr>
      <w:r>
        <w:rPr>
          <w:rFonts w:ascii="Arial" w:cs="Arial" w:eastAsia="Arial" w:hAnsi="Arial"/>
          <w:sz w:val="13"/>
          <w:szCs w:val="13"/>
          <w:u w:val="single" w:color="auto"/>
          <w:color w:val="auto"/>
        </w:rPr>
        <w:t>Summary of occupancy percentages in North America</w:t>
      </w:r>
    </w:p>
    <w:p>
      <w:pPr>
        <w:spacing w:after="0" w:line="162" w:lineRule="exact"/>
        <w:rPr>
          <w:sz w:val="20"/>
          <w:szCs w:val="20"/>
          <w:color w:val="auto"/>
        </w:rPr>
      </w:pPr>
    </w:p>
    <w:p>
      <w:pPr>
        <w:ind w:left="640" w:right="839" w:firstLine="516"/>
        <w:spacing w:after="0" w:line="272" w:lineRule="auto"/>
        <w:rPr>
          <w:sz w:val="20"/>
          <w:szCs w:val="20"/>
          <w:color w:val="auto"/>
        </w:rPr>
      </w:pPr>
      <w:r>
        <w:rPr>
          <w:rFonts w:ascii="Arial" w:cs="Arial" w:eastAsia="Arial" w:hAnsi="Arial"/>
          <w:sz w:val="13"/>
          <w:szCs w:val="13"/>
          <w:color w:val="auto"/>
        </w:rPr>
        <w:t>The following table sets forth the occupancy percentages for our operating properties and our operating and redevelopment properties in each of our North America markets, excluding properties held for sale, as of the following dates:</w:t>
      </w:r>
    </w:p>
    <w:p>
      <w:pPr>
        <w:spacing w:after="0" w:line="166" w:lineRule="exact"/>
        <w:rPr>
          <w:sz w:val="20"/>
          <w:szCs w:val="20"/>
          <w:color w:val="auto"/>
        </w:rPr>
      </w:pPr>
    </w:p>
    <w:tbl>
      <w:tblPr>
        <w:tblLayout w:type="fixed"/>
        <w:tblInd w:w="640" w:type="dxa"/>
        <w:tblCellMar>
          <w:top w:w="0" w:type="dxa"/>
          <w:left w:w="0" w:type="dxa"/>
          <w:bottom w:w="0" w:type="dxa"/>
          <w:right w:w="0" w:type="dxa"/>
        </w:tblCellMar>
      </w:tblPr>
      <w:tr>
        <w:trPr>
          <w:trHeight w:val="139"/>
        </w:trPr>
        <w:tc>
          <w:tcPr>
            <w:tcW w:w="1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gridSpan w:val="3"/>
          </w:tcPr>
          <w:p>
            <w:pPr>
              <w:ind w:left="100"/>
              <w:spacing w:after="0"/>
              <w:rPr>
                <w:sz w:val="20"/>
                <w:szCs w:val="20"/>
                <w:color w:val="auto"/>
              </w:rPr>
            </w:pPr>
            <w:r>
              <w:rPr>
                <w:rFonts w:ascii="Arial" w:cs="Arial" w:eastAsia="Arial" w:hAnsi="Arial"/>
                <w:sz w:val="11"/>
                <w:szCs w:val="11"/>
                <w:color w:val="auto"/>
              </w:rPr>
              <w:t>Operating Properties</w:t>
            </w:r>
          </w:p>
        </w:tc>
        <w:tc>
          <w:tcPr>
            <w:tcW w:w="86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940" w:type="dxa"/>
            <w:vAlign w:val="bottom"/>
            <w:tcBorders>
              <w:bottom w:val="single" w:sz="8" w:color="auto"/>
            </w:tcBorders>
            <w:gridSpan w:val="5"/>
          </w:tcPr>
          <w:p>
            <w:pPr>
              <w:ind w:left="480"/>
              <w:spacing w:after="0"/>
              <w:rPr>
                <w:sz w:val="20"/>
                <w:szCs w:val="20"/>
                <w:color w:val="auto"/>
              </w:rPr>
            </w:pPr>
            <w:r>
              <w:rPr>
                <w:rFonts w:ascii="Arial" w:cs="Arial" w:eastAsia="Arial" w:hAnsi="Arial"/>
                <w:sz w:val="11"/>
                <w:szCs w:val="11"/>
                <w:color w:val="auto"/>
              </w:rPr>
              <w:t>Operating and Redevelopment Properties</w:t>
            </w:r>
          </w:p>
        </w:tc>
      </w:tr>
      <w:tr>
        <w:trPr>
          <w:trHeight w:val="141"/>
        </w:trPr>
        <w:tc>
          <w:tcPr>
            <w:tcW w:w="1660" w:type="dxa"/>
            <w:vAlign w:val="bottom"/>
            <w:tcBorders>
              <w:bottom w:val="single" w:sz="8" w:color="auto"/>
            </w:tcBorders>
          </w:tcPr>
          <w:p>
            <w:pPr>
              <w:ind w:left="40"/>
              <w:spacing w:after="0"/>
              <w:rPr>
                <w:sz w:val="20"/>
                <w:szCs w:val="20"/>
                <w:color w:val="auto"/>
              </w:rPr>
            </w:pPr>
            <w:r>
              <w:rPr>
                <w:rFonts w:ascii="Arial" w:cs="Arial" w:eastAsia="Arial" w:hAnsi="Arial"/>
                <w:sz w:val="11"/>
                <w:szCs w:val="11"/>
                <w:color w:val="auto"/>
              </w:rPr>
              <w:t>Market</w:t>
            </w:r>
          </w:p>
        </w:tc>
        <w:tc>
          <w:tcPr>
            <w:tcW w:w="6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tcPr>
          <w:p>
            <w:pPr>
              <w:ind w:left="260"/>
              <w:spacing w:after="0"/>
              <w:rPr>
                <w:sz w:val="20"/>
                <w:szCs w:val="20"/>
                <w:color w:val="auto"/>
              </w:rPr>
            </w:pPr>
            <w:r>
              <w:rPr>
                <w:rFonts w:ascii="Arial" w:cs="Arial" w:eastAsia="Arial" w:hAnsi="Arial"/>
                <w:sz w:val="11"/>
                <w:szCs w:val="11"/>
                <w:color w:val="auto"/>
              </w:rPr>
              <w:t>6/30/24</w:t>
            </w:r>
          </w:p>
        </w:tc>
        <w:tc>
          <w:tcPr>
            <w:tcW w:w="16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tcPr>
          <w:p>
            <w:pPr>
              <w:ind w:left="260"/>
              <w:spacing w:after="0"/>
              <w:rPr>
                <w:sz w:val="20"/>
                <w:szCs w:val="20"/>
                <w:color w:val="auto"/>
              </w:rPr>
            </w:pPr>
            <w:r>
              <w:rPr>
                <w:rFonts w:ascii="Arial" w:cs="Arial" w:eastAsia="Arial" w:hAnsi="Arial"/>
                <w:sz w:val="11"/>
                <w:szCs w:val="11"/>
                <w:color w:val="auto"/>
              </w:rPr>
              <w:t>3/31/24</w:t>
            </w:r>
          </w:p>
        </w:tc>
        <w:tc>
          <w:tcPr>
            <w:tcW w:w="18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tcPr>
          <w:p>
            <w:pPr>
              <w:ind w:left="240"/>
              <w:spacing w:after="0"/>
              <w:rPr>
                <w:sz w:val="20"/>
                <w:szCs w:val="20"/>
                <w:color w:val="auto"/>
              </w:rPr>
            </w:pPr>
            <w:r>
              <w:rPr>
                <w:rFonts w:ascii="Arial" w:cs="Arial" w:eastAsia="Arial" w:hAnsi="Arial"/>
                <w:sz w:val="11"/>
                <w:szCs w:val="11"/>
                <w:color w:val="auto"/>
              </w:rPr>
              <w:t>6/30/23</w:t>
            </w:r>
          </w:p>
        </w:tc>
        <w:tc>
          <w:tcPr>
            <w:tcW w:w="16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tcPr>
          <w:p>
            <w:pPr>
              <w:ind w:left="260"/>
              <w:spacing w:after="0"/>
              <w:rPr>
                <w:sz w:val="20"/>
                <w:szCs w:val="20"/>
                <w:color w:val="auto"/>
              </w:rPr>
            </w:pPr>
            <w:r>
              <w:rPr>
                <w:rFonts w:ascii="Arial" w:cs="Arial" w:eastAsia="Arial" w:hAnsi="Arial"/>
                <w:sz w:val="11"/>
                <w:szCs w:val="11"/>
                <w:color w:val="auto"/>
              </w:rPr>
              <w:t>6/30/24</w:t>
            </w:r>
          </w:p>
        </w:tc>
        <w:tc>
          <w:tcPr>
            <w:tcW w:w="18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tcPr>
          <w:p>
            <w:pPr>
              <w:ind w:left="260"/>
              <w:spacing w:after="0"/>
              <w:rPr>
                <w:sz w:val="20"/>
                <w:szCs w:val="20"/>
                <w:color w:val="auto"/>
              </w:rPr>
            </w:pPr>
            <w:r>
              <w:rPr>
                <w:rFonts w:ascii="Arial" w:cs="Arial" w:eastAsia="Arial" w:hAnsi="Arial"/>
                <w:sz w:val="11"/>
                <w:szCs w:val="11"/>
                <w:color w:val="auto"/>
              </w:rPr>
              <w:t>3/31/24</w:t>
            </w:r>
          </w:p>
        </w:tc>
        <w:tc>
          <w:tcPr>
            <w:tcW w:w="18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tcPr>
          <w:p>
            <w:pPr>
              <w:ind w:left="240"/>
              <w:spacing w:after="0"/>
              <w:rPr>
                <w:sz w:val="20"/>
                <w:szCs w:val="20"/>
                <w:color w:val="auto"/>
              </w:rPr>
            </w:pPr>
            <w:r>
              <w:rPr>
                <w:rFonts w:ascii="Arial" w:cs="Arial" w:eastAsia="Arial" w:hAnsi="Arial"/>
                <w:sz w:val="11"/>
                <w:szCs w:val="11"/>
                <w:color w:val="auto"/>
              </w:rPr>
              <w:t>6/30/23</w:t>
            </w:r>
          </w:p>
        </w:tc>
      </w:tr>
      <w:tr>
        <w:trPr>
          <w:trHeight w:val="141"/>
        </w:trPr>
        <w:tc>
          <w:tcPr>
            <w:tcW w:w="1720" w:type="dxa"/>
            <w:vAlign w:val="bottom"/>
            <w:gridSpan w:val="2"/>
            <w:shd w:val="clear" w:color="auto" w:fill="CCEEFF"/>
          </w:tcPr>
          <w:p>
            <w:pPr>
              <w:ind w:left="40"/>
              <w:spacing w:after="0"/>
              <w:rPr>
                <w:sz w:val="20"/>
                <w:szCs w:val="20"/>
                <w:color w:val="auto"/>
              </w:rPr>
            </w:pPr>
            <w:r>
              <w:rPr>
                <w:rFonts w:ascii="Arial" w:cs="Arial" w:eastAsia="Arial" w:hAnsi="Arial"/>
                <w:sz w:val="11"/>
                <w:szCs w:val="11"/>
                <w:color w:val="auto"/>
              </w:rPr>
              <w:t>Greater Boston</w:t>
            </w:r>
          </w:p>
        </w:tc>
        <w:tc>
          <w:tcPr>
            <w:tcW w:w="860" w:type="dxa"/>
            <w:vAlign w:val="bottom"/>
            <w:shd w:val="clear" w:color="auto" w:fill="CCEEFF"/>
          </w:tcPr>
          <w:p>
            <w:pPr>
              <w:ind w:left="520"/>
              <w:spacing w:after="0"/>
              <w:rPr>
                <w:sz w:val="20"/>
                <w:szCs w:val="20"/>
                <w:color w:val="auto"/>
              </w:rPr>
            </w:pPr>
            <w:r>
              <w:rPr>
                <w:rFonts w:ascii="Arial" w:cs="Arial" w:eastAsia="Arial" w:hAnsi="Arial"/>
                <w:sz w:val="11"/>
                <w:szCs w:val="11"/>
                <w:color w:val="auto"/>
              </w:rPr>
              <w:t>94.2%</w:t>
            </w: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ind w:left="520"/>
              <w:spacing w:after="0"/>
              <w:rPr>
                <w:sz w:val="20"/>
                <w:szCs w:val="20"/>
                <w:color w:val="auto"/>
              </w:rPr>
            </w:pPr>
            <w:r>
              <w:rPr>
                <w:rFonts w:ascii="Arial" w:cs="Arial" w:eastAsia="Arial" w:hAnsi="Arial"/>
                <w:sz w:val="11"/>
                <w:szCs w:val="11"/>
                <w:color w:val="auto"/>
              </w:rPr>
              <w:t>94.5%</w:t>
            </w: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ind w:left="500"/>
              <w:spacing w:after="0"/>
              <w:rPr>
                <w:sz w:val="20"/>
                <w:szCs w:val="20"/>
                <w:color w:val="auto"/>
              </w:rPr>
            </w:pPr>
            <w:r>
              <w:rPr>
                <w:rFonts w:ascii="Arial" w:cs="Arial" w:eastAsia="Arial" w:hAnsi="Arial"/>
                <w:sz w:val="11"/>
                <w:szCs w:val="11"/>
                <w:color w:val="auto"/>
              </w:rPr>
              <w:t>92.5%</w:t>
            </w: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ind w:left="520"/>
              <w:spacing w:after="0"/>
              <w:rPr>
                <w:sz w:val="20"/>
                <w:szCs w:val="20"/>
                <w:color w:val="auto"/>
              </w:rPr>
            </w:pPr>
            <w:r>
              <w:rPr>
                <w:rFonts w:ascii="Arial" w:cs="Arial" w:eastAsia="Arial" w:hAnsi="Arial"/>
                <w:sz w:val="11"/>
                <w:szCs w:val="11"/>
                <w:color w:val="auto"/>
              </w:rPr>
              <w:t>81.7%</w:t>
            </w: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ind w:left="500"/>
              <w:spacing w:after="0"/>
              <w:rPr>
                <w:sz w:val="20"/>
                <w:szCs w:val="20"/>
                <w:color w:val="auto"/>
              </w:rPr>
            </w:pPr>
            <w:r>
              <w:rPr>
                <w:rFonts w:ascii="Arial" w:cs="Arial" w:eastAsia="Arial" w:hAnsi="Arial"/>
                <w:sz w:val="11"/>
                <w:szCs w:val="11"/>
                <w:color w:val="auto"/>
              </w:rPr>
              <w:t>83.3%</w:t>
            </w: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ind w:left="500"/>
              <w:spacing w:after="0"/>
              <w:rPr>
                <w:sz w:val="20"/>
                <w:szCs w:val="20"/>
                <w:color w:val="auto"/>
              </w:rPr>
            </w:pPr>
            <w:r>
              <w:rPr>
                <w:rFonts w:ascii="Arial" w:cs="Arial" w:eastAsia="Arial" w:hAnsi="Arial"/>
                <w:sz w:val="11"/>
                <w:szCs w:val="11"/>
                <w:color w:val="auto"/>
              </w:rPr>
              <w:t>83.2%</w:t>
            </w:r>
          </w:p>
        </w:tc>
      </w:tr>
      <w:tr>
        <w:trPr>
          <w:trHeight w:val="161"/>
        </w:trPr>
        <w:tc>
          <w:tcPr>
            <w:tcW w:w="1720" w:type="dxa"/>
            <w:vAlign w:val="bottom"/>
            <w:gridSpan w:val="2"/>
          </w:tcPr>
          <w:p>
            <w:pPr>
              <w:ind w:left="40"/>
              <w:spacing w:after="0"/>
              <w:rPr>
                <w:sz w:val="20"/>
                <w:szCs w:val="20"/>
                <w:color w:val="auto"/>
              </w:rPr>
            </w:pPr>
            <w:r>
              <w:rPr>
                <w:rFonts w:ascii="Arial" w:cs="Arial" w:eastAsia="Arial" w:hAnsi="Arial"/>
                <w:sz w:val="11"/>
                <w:szCs w:val="11"/>
                <w:color w:val="auto"/>
              </w:rPr>
              <w:t>San Francisco Bay Area</w:t>
            </w:r>
          </w:p>
        </w:tc>
        <w:tc>
          <w:tcPr>
            <w:tcW w:w="860" w:type="dxa"/>
            <w:vAlign w:val="bottom"/>
          </w:tcPr>
          <w:p>
            <w:pPr>
              <w:ind w:left="520"/>
              <w:spacing w:after="0"/>
              <w:rPr>
                <w:sz w:val="20"/>
                <w:szCs w:val="20"/>
                <w:color w:val="auto"/>
              </w:rPr>
            </w:pPr>
            <w:r>
              <w:rPr>
                <w:rFonts w:ascii="Arial" w:cs="Arial" w:eastAsia="Arial" w:hAnsi="Arial"/>
                <w:sz w:val="11"/>
                <w:szCs w:val="11"/>
                <w:color w:val="auto"/>
              </w:rPr>
              <w:t>94.0</w:t>
            </w:r>
          </w:p>
        </w:tc>
        <w:tc>
          <w:tcPr>
            <w:tcW w:w="160" w:type="dxa"/>
            <w:vAlign w:val="bottom"/>
          </w:tcPr>
          <w:p>
            <w:pPr>
              <w:spacing w:after="0"/>
              <w:rPr>
                <w:sz w:val="14"/>
                <w:szCs w:val="14"/>
                <w:color w:val="auto"/>
              </w:rPr>
            </w:pPr>
          </w:p>
        </w:tc>
        <w:tc>
          <w:tcPr>
            <w:tcW w:w="860" w:type="dxa"/>
            <w:vAlign w:val="bottom"/>
          </w:tcPr>
          <w:p>
            <w:pPr>
              <w:ind w:left="520"/>
              <w:spacing w:after="0"/>
              <w:rPr>
                <w:sz w:val="20"/>
                <w:szCs w:val="20"/>
                <w:color w:val="auto"/>
              </w:rPr>
            </w:pPr>
            <w:r>
              <w:rPr>
                <w:rFonts w:ascii="Arial" w:cs="Arial" w:eastAsia="Arial" w:hAnsi="Arial"/>
                <w:sz w:val="11"/>
                <w:szCs w:val="11"/>
                <w:color w:val="auto"/>
              </w:rPr>
              <w:t>94.4</w:t>
            </w:r>
          </w:p>
        </w:tc>
        <w:tc>
          <w:tcPr>
            <w:tcW w:w="180" w:type="dxa"/>
            <w:vAlign w:val="bottom"/>
          </w:tcPr>
          <w:p>
            <w:pPr>
              <w:spacing w:after="0"/>
              <w:rPr>
                <w:sz w:val="14"/>
                <w:szCs w:val="14"/>
                <w:color w:val="auto"/>
              </w:rPr>
            </w:pPr>
          </w:p>
        </w:tc>
        <w:tc>
          <w:tcPr>
            <w:tcW w:w="860" w:type="dxa"/>
            <w:vAlign w:val="bottom"/>
          </w:tcPr>
          <w:p>
            <w:pPr>
              <w:ind w:left="500"/>
              <w:spacing w:after="0"/>
              <w:rPr>
                <w:sz w:val="20"/>
                <w:szCs w:val="20"/>
                <w:color w:val="auto"/>
              </w:rPr>
            </w:pPr>
            <w:r>
              <w:rPr>
                <w:rFonts w:ascii="Arial" w:cs="Arial" w:eastAsia="Arial" w:hAnsi="Arial"/>
                <w:sz w:val="11"/>
                <w:szCs w:val="11"/>
                <w:color w:val="auto"/>
              </w:rPr>
              <w:t>95.5</w:t>
            </w:r>
          </w:p>
        </w:tc>
        <w:tc>
          <w:tcPr>
            <w:tcW w:w="160" w:type="dxa"/>
            <w:vAlign w:val="bottom"/>
          </w:tcPr>
          <w:p>
            <w:pPr>
              <w:spacing w:after="0"/>
              <w:rPr>
                <w:sz w:val="14"/>
                <w:szCs w:val="14"/>
                <w:color w:val="auto"/>
              </w:rPr>
            </w:pPr>
          </w:p>
        </w:tc>
        <w:tc>
          <w:tcPr>
            <w:tcW w:w="860" w:type="dxa"/>
            <w:vAlign w:val="bottom"/>
          </w:tcPr>
          <w:p>
            <w:pPr>
              <w:ind w:left="520"/>
              <w:spacing w:after="0"/>
              <w:rPr>
                <w:sz w:val="20"/>
                <w:szCs w:val="20"/>
                <w:color w:val="auto"/>
              </w:rPr>
            </w:pPr>
            <w:r>
              <w:rPr>
                <w:rFonts w:ascii="Arial" w:cs="Arial" w:eastAsia="Arial" w:hAnsi="Arial"/>
                <w:sz w:val="11"/>
                <w:szCs w:val="11"/>
                <w:color w:val="auto"/>
              </w:rPr>
              <w:t>90.7</w:t>
            </w:r>
          </w:p>
        </w:tc>
        <w:tc>
          <w:tcPr>
            <w:tcW w:w="180" w:type="dxa"/>
            <w:vAlign w:val="bottom"/>
          </w:tcPr>
          <w:p>
            <w:pPr>
              <w:spacing w:after="0"/>
              <w:rPr>
                <w:sz w:val="14"/>
                <w:szCs w:val="14"/>
                <w:color w:val="auto"/>
              </w:rPr>
            </w:pPr>
          </w:p>
        </w:tc>
        <w:tc>
          <w:tcPr>
            <w:tcW w:w="860" w:type="dxa"/>
            <w:vAlign w:val="bottom"/>
          </w:tcPr>
          <w:p>
            <w:pPr>
              <w:ind w:left="500"/>
              <w:spacing w:after="0"/>
              <w:rPr>
                <w:sz w:val="20"/>
                <w:szCs w:val="20"/>
                <w:color w:val="auto"/>
              </w:rPr>
            </w:pPr>
            <w:r>
              <w:rPr>
                <w:rFonts w:ascii="Arial" w:cs="Arial" w:eastAsia="Arial" w:hAnsi="Arial"/>
                <w:sz w:val="11"/>
                <w:szCs w:val="11"/>
                <w:color w:val="auto"/>
              </w:rPr>
              <w:t>91.2</w:t>
            </w:r>
          </w:p>
        </w:tc>
        <w:tc>
          <w:tcPr>
            <w:tcW w:w="180" w:type="dxa"/>
            <w:vAlign w:val="bottom"/>
          </w:tcPr>
          <w:p>
            <w:pPr>
              <w:spacing w:after="0"/>
              <w:rPr>
                <w:sz w:val="14"/>
                <w:szCs w:val="14"/>
                <w:color w:val="auto"/>
              </w:rPr>
            </w:pPr>
          </w:p>
        </w:tc>
        <w:tc>
          <w:tcPr>
            <w:tcW w:w="860" w:type="dxa"/>
            <w:vAlign w:val="bottom"/>
          </w:tcPr>
          <w:p>
            <w:pPr>
              <w:ind w:left="500"/>
              <w:spacing w:after="0"/>
              <w:rPr>
                <w:sz w:val="20"/>
                <w:szCs w:val="20"/>
                <w:color w:val="auto"/>
              </w:rPr>
            </w:pPr>
            <w:r>
              <w:rPr>
                <w:rFonts w:ascii="Arial" w:cs="Arial" w:eastAsia="Arial" w:hAnsi="Arial"/>
                <w:sz w:val="11"/>
                <w:szCs w:val="11"/>
                <w:color w:val="auto"/>
              </w:rPr>
              <w:t>91.9</w:t>
            </w:r>
          </w:p>
        </w:tc>
      </w:tr>
      <w:tr>
        <w:trPr>
          <w:trHeight w:val="161"/>
        </w:trPr>
        <w:tc>
          <w:tcPr>
            <w:tcW w:w="1720" w:type="dxa"/>
            <w:vAlign w:val="bottom"/>
            <w:gridSpan w:val="2"/>
            <w:shd w:val="clear" w:color="auto" w:fill="CCEEFF"/>
          </w:tcPr>
          <w:p>
            <w:pPr>
              <w:ind w:left="40"/>
              <w:spacing w:after="0"/>
              <w:rPr>
                <w:sz w:val="20"/>
                <w:szCs w:val="20"/>
                <w:color w:val="auto"/>
              </w:rPr>
            </w:pPr>
            <w:r>
              <w:rPr>
                <w:rFonts w:ascii="Arial" w:cs="Arial" w:eastAsia="Arial" w:hAnsi="Arial"/>
                <w:sz w:val="11"/>
                <w:szCs w:val="11"/>
                <w:color w:val="auto"/>
              </w:rPr>
              <w:t>San Diego</w:t>
            </w:r>
          </w:p>
        </w:tc>
        <w:tc>
          <w:tcPr>
            <w:tcW w:w="860" w:type="dxa"/>
            <w:vAlign w:val="bottom"/>
            <w:shd w:val="clear" w:color="auto" w:fill="CCEEFF"/>
          </w:tcPr>
          <w:p>
            <w:pPr>
              <w:ind w:left="520"/>
              <w:spacing w:after="0"/>
              <w:rPr>
                <w:sz w:val="20"/>
                <w:szCs w:val="20"/>
                <w:color w:val="auto"/>
              </w:rPr>
            </w:pPr>
            <w:r>
              <w:rPr>
                <w:rFonts w:ascii="Arial" w:cs="Arial" w:eastAsia="Arial" w:hAnsi="Arial"/>
                <w:sz w:val="11"/>
                <w:szCs w:val="11"/>
                <w:color w:val="auto"/>
              </w:rPr>
              <w:t>95.1</w:t>
            </w: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ind w:left="520"/>
              <w:spacing w:after="0"/>
              <w:rPr>
                <w:sz w:val="20"/>
                <w:szCs w:val="20"/>
                <w:color w:val="auto"/>
              </w:rPr>
            </w:pPr>
            <w:r>
              <w:rPr>
                <w:rFonts w:ascii="Arial" w:cs="Arial" w:eastAsia="Arial" w:hAnsi="Arial"/>
                <w:sz w:val="11"/>
                <w:szCs w:val="11"/>
                <w:color w:val="auto"/>
              </w:rPr>
              <w:t>95.2</w:t>
            </w: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ind w:left="500"/>
              <w:spacing w:after="0"/>
              <w:rPr>
                <w:sz w:val="20"/>
                <w:szCs w:val="20"/>
                <w:color w:val="auto"/>
              </w:rPr>
            </w:pPr>
            <w:r>
              <w:rPr>
                <w:rFonts w:ascii="Arial" w:cs="Arial" w:eastAsia="Arial" w:hAnsi="Arial"/>
                <w:sz w:val="11"/>
                <w:szCs w:val="11"/>
                <w:color w:val="auto"/>
              </w:rPr>
              <w:t>92.8</w:t>
            </w: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ind w:left="520"/>
              <w:spacing w:after="0"/>
              <w:rPr>
                <w:sz w:val="20"/>
                <w:szCs w:val="20"/>
                <w:color w:val="auto"/>
              </w:rPr>
            </w:pPr>
            <w:r>
              <w:rPr>
                <w:rFonts w:ascii="Arial" w:cs="Arial" w:eastAsia="Arial" w:hAnsi="Arial"/>
                <w:sz w:val="11"/>
                <w:szCs w:val="11"/>
                <w:color w:val="auto"/>
              </w:rPr>
              <w:t>95.1</w:t>
            </w: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ind w:left="500"/>
              <w:spacing w:after="0"/>
              <w:rPr>
                <w:sz w:val="20"/>
                <w:szCs w:val="20"/>
                <w:color w:val="auto"/>
              </w:rPr>
            </w:pPr>
            <w:r>
              <w:rPr>
                <w:rFonts w:ascii="Arial" w:cs="Arial" w:eastAsia="Arial" w:hAnsi="Arial"/>
                <w:sz w:val="11"/>
                <w:szCs w:val="11"/>
                <w:color w:val="auto"/>
              </w:rPr>
              <w:t>95.2</w:t>
            </w: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ind w:left="500"/>
              <w:spacing w:after="0"/>
              <w:rPr>
                <w:sz w:val="20"/>
                <w:szCs w:val="20"/>
                <w:color w:val="auto"/>
              </w:rPr>
            </w:pPr>
            <w:r>
              <w:rPr>
                <w:rFonts w:ascii="Arial" w:cs="Arial" w:eastAsia="Arial" w:hAnsi="Arial"/>
                <w:sz w:val="11"/>
                <w:szCs w:val="11"/>
                <w:color w:val="auto"/>
              </w:rPr>
              <w:t>92.8</w:t>
            </w:r>
          </w:p>
        </w:tc>
      </w:tr>
      <w:tr>
        <w:trPr>
          <w:trHeight w:val="161"/>
        </w:trPr>
        <w:tc>
          <w:tcPr>
            <w:tcW w:w="1720" w:type="dxa"/>
            <w:vAlign w:val="bottom"/>
            <w:gridSpan w:val="2"/>
          </w:tcPr>
          <w:p>
            <w:pPr>
              <w:ind w:left="40"/>
              <w:spacing w:after="0"/>
              <w:rPr>
                <w:sz w:val="20"/>
                <w:szCs w:val="20"/>
                <w:color w:val="auto"/>
              </w:rPr>
            </w:pPr>
            <w:r>
              <w:rPr>
                <w:rFonts w:ascii="Arial" w:cs="Arial" w:eastAsia="Arial" w:hAnsi="Arial"/>
                <w:sz w:val="11"/>
                <w:szCs w:val="11"/>
                <w:color w:val="auto"/>
              </w:rPr>
              <w:t>Seattle</w:t>
            </w:r>
          </w:p>
        </w:tc>
        <w:tc>
          <w:tcPr>
            <w:tcW w:w="860" w:type="dxa"/>
            <w:vAlign w:val="bottom"/>
          </w:tcPr>
          <w:p>
            <w:pPr>
              <w:ind w:left="520"/>
              <w:spacing w:after="0"/>
              <w:rPr>
                <w:sz w:val="20"/>
                <w:szCs w:val="20"/>
                <w:color w:val="auto"/>
              </w:rPr>
            </w:pPr>
            <w:r>
              <w:rPr>
                <w:rFonts w:ascii="Arial" w:cs="Arial" w:eastAsia="Arial" w:hAnsi="Arial"/>
                <w:sz w:val="11"/>
                <w:szCs w:val="11"/>
                <w:color w:val="auto"/>
              </w:rPr>
              <w:t>94.7</w:t>
            </w:r>
          </w:p>
        </w:tc>
        <w:tc>
          <w:tcPr>
            <w:tcW w:w="160" w:type="dxa"/>
            <w:vAlign w:val="bottom"/>
          </w:tcPr>
          <w:p>
            <w:pPr>
              <w:spacing w:after="0"/>
              <w:rPr>
                <w:sz w:val="14"/>
                <w:szCs w:val="14"/>
                <w:color w:val="auto"/>
              </w:rPr>
            </w:pPr>
          </w:p>
        </w:tc>
        <w:tc>
          <w:tcPr>
            <w:tcW w:w="860" w:type="dxa"/>
            <w:vAlign w:val="bottom"/>
          </w:tcPr>
          <w:p>
            <w:pPr>
              <w:ind w:left="520"/>
              <w:spacing w:after="0"/>
              <w:rPr>
                <w:sz w:val="20"/>
                <w:szCs w:val="20"/>
                <w:color w:val="auto"/>
              </w:rPr>
            </w:pPr>
            <w:r>
              <w:rPr>
                <w:rFonts w:ascii="Arial" w:cs="Arial" w:eastAsia="Arial" w:hAnsi="Arial"/>
                <w:sz w:val="11"/>
                <w:szCs w:val="11"/>
                <w:color w:val="auto"/>
              </w:rPr>
              <w:t>94.9</w:t>
            </w:r>
          </w:p>
        </w:tc>
        <w:tc>
          <w:tcPr>
            <w:tcW w:w="180" w:type="dxa"/>
            <w:vAlign w:val="bottom"/>
          </w:tcPr>
          <w:p>
            <w:pPr>
              <w:spacing w:after="0"/>
              <w:rPr>
                <w:sz w:val="14"/>
                <w:szCs w:val="14"/>
                <w:color w:val="auto"/>
              </w:rPr>
            </w:pPr>
          </w:p>
        </w:tc>
        <w:tc>
          <w:tcPr>
            <w:tcW w:w="860" w:type="dxa"/>
            <w:vAlign w:val="bottom"/>
          </w:tcPr>
          <w:p>
            <w:pPr>
              <w:ind w:left="500"/>
              <w:spacing w:after="0"/>
              <w:rPr>
                <w:sz w:val="20"/>
                <w:szCs w:val="20"/>
                <w:color w:val="auto"/>
              </w:rPr>
            </w:pPr>
            <w:r>
              <w:rPr>
                <w:rFonts w:ascii="Arial" w:cs="Arial" w:eastAsia="Arial" w:hAnsi="Arial"/>
                <w:sz w:val="11"/>
                <w:szCs w:val="11"/>
                <w:color w:val="auto"/>
              </w:rPr>
              <w:t>95.1</w:t>
            </w:r>
          </w:p>
        </w:tc>
        <w:tc>
          <w:tcPr>
            <w:tcW w:w="160" w:type="dxa"/>
            <w:vAlign w:val="bottom"/>
          </w:tcPr>
          <w:p>
            <w:pPr>
              <w:spacing w:after="0"/>
              <w:rPr>
                <w:sz w:val="14"/>
                <w:szCs w:val="14"/>
                <w:color w:val="auto"/>
              </w:rPr>
            </w:pPr>
          </w:p>
        </w:tc>
        <w:tc>
          <w:tcPr>
            <w:tcW w:w="860" w:type="dxa"/>
            <w:vAlign w:val="bottom"/>
          </w:tcPr>
          <w:p>
            <w:pPr>
              <w:ind w:left="520"/>
              <w:spacing w:after="0"/>
              <w:rPr>
                <w:sz w:val="20"/>
                <w:szCs w:val="20"/>
                <w:color w:val="auto"/>
              </w:rPr>
            </w:pPr>
            <w:r>
              <w:rPr>
                <w:rFonts w:ascii="Arial" w:cs="Arial" w:eastAsia="Arial" w:hAnsi="Arial"/>
                <w:sz w:val="11"/>
                <w:szCs w:val="11"/>
                <w:color w:val="auto"/>
              </w:rPr>
              <w:t>93.7</w:t>
            </w:r>
          </w:p>
        </w:tc>
        <w:tc>
          <w:tcPr>
            <w:tcW w:w="180" w:type="dxa"/>
            <w:vAlign w:val="bottom"/>
          </w:tcPr>
          <w:p>
            <w:pPr>
              <w:spacing w:after="0"/>
              <w:rPr>
                <w:sz w:val="14"/>
                <w:szCs w:val="14"/>
                <w:color w:val="auto"/>
              </w:rPr>
            </w:pPr>
          </w:p>
        </w:tc>
        <w:tc>
          <w:tcPr>
            <w:tcW w:w="860" w:type="dxa"/>
            <w:vAlign w:val="bottom"/>
          </w:tcPr>
          <w:p>
            <w:pPr>
              <w:ind w:left="500"/>
              <w:spacing w:after="0"/>
              <w:rPr>
                <w:sz w:val="20"/>
                <w:szCs w:val="20"/>
                <w:color w:val="auto"/>
              </w:rPr>
            </w:pPr>
            <w:r>
              <w:rPr>
                <w:rFonts w:ascii="Arial" w:cs="Arial" w:eastAsia="Arial" w:hAnsi="Arial"/>
                <w:sz w:val="11"/>
                <w:szCs w:val="11"/>
                <w:color w:val="auto"/>
              </w:rPr>
              <w:t>93.9</w:t>
            </w:r>
          </w:p>
        </w:tc>
        <w:tc>
          <w:tcPr>
            <w:tcW w:w="180" w:type="dxa"/>
            <w:vAlign w:val="bottom"/>
          </w:tcPr>
          <w:p>
            <w:pPr>
              <w:spacing w:after="0"/>
              <w:rPr>
                <w:sz w:val="14"/>
                <w:szCs w:val="14"/>
                <w:color w:val="auto"/>
              </w:rPr>
            </w:pPr>
          </w:p>
        </w:tc>
        <w:tc>
          <w:tcPr>
            <w:tcW w:w="860" w:type="dxa"/>
            <w:vAlign w:val="bottom"/>
          </w:tcPr>
          <w:p>
            <w:pPr>
              <w:ind w:left="500"/>
              <w:spacing w:after="0"/>
              <w:rPr>
                <w:sz w:val="20"/>
                <w:szCs w:val="20"/>
                <w:color w:val="auto"/>
              </w:rPr>
            </w:pPr>
            <w:r>
              <w:rPr>
                <w:rFonts w:ascii="Arial" w:cs="Arial" w:eastAsia="Arial" w:hAnsi="Arial"/>
                <w:sz w:val="11"/>
                <w:szCs w:val="11"/>
                <w:color w:val="auto"/>
              </w:rPr>
              <w:t>89.5</w:t>
            </w:r>
          </w:p>
        </w:tc>
      </w:tr>
      <w:tr>
        <w:trPr>
          <w:trHeight w:val="161"/>
        </w:trPr>
        <w:tc>
          <w:tcPr>
            <w:tcW w:w="1720" w:type="dxa"/>
            <w:vAlign w:val="bottom"/>
            <w:gridSpan w:val="2"/>
            <w:shd w:val="clear" w:color="auto" w:fill="CCEEFF"/>
          </w:tcPr>
          <w:p>
            <w:pPr>
              <w:ind w:left="40"/>
              <w:spacing w:after="0"/>
              <w:rPr>
                <w:sz w:val="20"/>
                <w:szCs w:val="20"/>
                <w:color w:val="auto"/>
              </w:rPr>
            </w:pPr>
            <w:r>
              <w:rPr>
                <w:rFonts w:ascii="Arial" w:cs="Arial" w:eastAsia="Arial" w:hAnsi="Arial"/>
                <w:sz w:val="11"/>
                <w:szCs w:val="11"/>
                <w:color w:val="auto"/>
              </w:rPr>
              <w:t>Maryland</w:t>
            </w:r>
          </w:p>
        </w:tc>
        <w:tc>
          <w:tcPr>
            <w:tcW w:w="860" w:type="dxa"/>
            <w:vAlign w:val="bottom"/>
            <w:shd w:val="clear" w:color="auto" w:fill="CCEEFF"/>
          </w:tcPr>
          <w:p>
            <w:pPr>
              <w:ind w:left="520"/>
              <w:spacing w:after="0"/>
              <w:rPr>
                <w:sz w:val="20"/>
                <w:szCs w:val="20"/>
                <w:color w:val="auto"/>
              </w:rPr>
            </w:pPr>
            <w:r>
              <w:rPr>
                <w:rFonts w:ascii="Arial" w:cs="Arial" w:eastAsia="Arial" w:hAnsi="Arial"/>
                <w:sz w:val="11"/>
                <w:szCs w:val="11"/>
                <w:color w:val="auto"/>
              </w:rPr>
              <w:t>96.5</w:t>
            </w: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ind w:left="520"/>
              <w:spacing w:after="0"/>
              <w:rPr>
                <w:sz w:val="20"/>
                <w:szCs w:val="20"/>
                <w:color w:val="auto"/>
              </w:rPr>
            </w:pPr>
            <w:r>
              <w:rPr>
                <w:rFonts w:ascii="Arial" w:cs="Arial" w:eastAsia="Arial" w:hAnsi="Arial"/>
                <w:sz w:val="11"/>
                <w:szCs w:val="11"/>
                <w:color w:val="auto"/>
              </w:rPr>
              <w:t>95.4</w:t>
            </w: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ind w:left="500"/>
              <w:spacing w:after="0"/>
              <w:rPr>
                <w:sz w:val="20"/>
                <w:szCs w:val="20"/>
                <w:color w:val="auto"/>
              </w:rPr>
            </w:pPr>
            <w:r>
              <w:rPr>
                <w:rFonts w:ascii="Arial" w:cs="Arial" w:eastAsia="Arial" w:hAnsi="Arial"/>
                <w:sz w:val="11"/>
                <w:szCs w:val="11"/>
                <w:color w:val="auto"/>
              </w:rPr>
              <w:t>96.2</w:t>
            </w: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ind w:left="520"/>
              <w:spacing w:after="0"/>
              <w:rPr>
                <w:sz w:val="20"/>
                <w:szCs w:val="20"/>
                <w:color w:val="auto"/>
              </w:rPr>
            </w:pPr>
            <w:r>
              <w:rPr>
                <w:rFonts w:ascii="Arial" w:cs="Arial" w:eastAsia="Arial" w:hAnsi="Arial"/>
                <w:sz w:val="11"/>
                <w:szCs w:val="11"/>
                <w:color w:val="auto"/>
              </w:rPr>
              <w:t>96.5</w:t>
            </w: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ind w:left="500"/>
              <w:spacing w:after="0"/>
              <w:rPr>
                <w:sz w:val="20"/>
                <w:szCs w:val="20"/>
                <w:color w:val="auto"/>
              </w:rPr>
            </w:pPr>
            <w:r>
              <w:rPr>
                <w:rFonts w:ascii="Arial" w:cs="Arial" w:eastAsia="Arial" w:hAnsi="Arial"/>
                <w:sz w:val="11"/>
                <w:szCs w:val="11"/>
                <w:color w:val="auto"/>
              </w:rPr>
              <w:t>95.4</w:t>
            </w: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ind w:left="500"/>
              <w:spacing w:after="0"/>
              <w:rPr>
                <w:sz w:val="20"/>
                <w:szCs w:val="20"/>
                <w:color w:val="auto"/>
              </w:rPr>
            </w:pPr>
            <w:r>
              <w:rPr>
                <w:rFonts w:ascii="Arial" w:cs="Arial" w:eastAsia="Arial" w:hAnsi="Arial"/>
                <w:sz w:val="11"/>
                <w:szCs w:val="11"/>
                <w:color w:val="auto"/>
              </w:rPr>
              <w:t>94.9</w:t>
            </w:r>
          </w:p>
        </w:tc>
      </w:tr>
      <w:tr>
        <w:trPr>
          <w:trHeight w:val="161"/>
        </w:trPr>
        <w:tc>
          <w:tcPr>
            <w:tcW w:w="1720" w:type="dxa"/>
            <w:vAlign w:val="bottom"/>
            <w:gridSpan w:val="2"/>
          </w:tcPr>
          <w:p>
            <w:pPr>
              <w:ind w:left="40"/>
              <w:spacing w:after="0"/>
              <w:rPr>
                <w:sz w:val="20"/>
                <w:szCs w:val="20"/>
                <w:color w:val="auto"/>
              </w:rPr>
            </w:pPr>
            <w:r>
              <w:rPr>
                <w:rFonts w:ascii="Arial" w:cs="Arial" w:eastAsia="Arial" w:hAnsi="Arial"/>
                <w:sz w:val="11"/>
                <w:szCs w:val="11"/>
                <w:color w:val="auto"/>
              </w:rPr>
              <w:t>Research Triangle</w:t>
            </w:r>
          </w:p>
        </w:tc>
        <w:tc>
          <w:tcPr>
            <w:tcW w:w="860" w:type="dxa"/>
            <w:vAlign w:val="bottom"/>
          </w:tcPr>
          <w:p>
            <w:pPr>
              <w:ind w:left="520"/>
              <w:spacing w:after="0"/>
              <w:rPr>
                <w:sz w:val="20"/>
                <w:szCs w:val="20"/>
                <w:color w:val="auto"/>
              </w:rPr>
            </w:pPr>
            <w:r>
              <w:rPr>
                <w:rFonts w:ascii="Arial" w:cs="Arial" w:eastAsia="Arial" w:hAnsi="Arial"/>
                <w:sz w:val="11"/>
                <w:szCs w:val="11"/>
                <w:color w:val="auto"/>
              </w:rPr>
              <w:t>97.4</w:t>
            </w:r>
          </w:p>
        </w:tc>
        <w:tc>
          <w:tcPr>
            <w:tcW w:w="160" w:type="dxa"/>
            <w:vAlign w:val="bottom"/>
          </w:tcPr>
          <w:p>
            <w:pPr>
              <w:spacing w:after="0"/>
              <w:rPr>
                <w:sz w:val="14"/>
                <w:szCs w:val="14"/>
                <w:color w:val="auto"/>
              </w:rPr>
            </w:pPr>
          </w:p>
        </w:tc>
        <w:tc>
          <w:tcPr>
            <w:tcW w:w="860" w:type="dxa"/>
            <w:vAlign w:val="bottom"/>
          </w:tcPr>
          <w:p>
            <w:pPr>
              <w:ind w:left="520"/>
              <w:spacing w:after="0"/>
              <w:rPr>
                <w:sz w:val="20"/>
                <w:szCs w:val="20"/>
                <w:color w:val="auto"/>
              </w:rPr>
            </w:pPr>
            <w:r>
              <w:rPr>
                <w:rFonts w:ascii="Arial" w:cs="Arial" w:eastAsia="Arial" w:hAnsi="Arial"/>
                <w:sz w:val="11"/>
                <w:szCs w:val="11"/>
                <w:color w:val="auto"/>
              </w:rPr>
              <w:t>97.8</w:t>
            </w:r>
          </w:p>
        </w:tc>
        <w:tc>
          <w:tcPr>
            <w:tcW w:w="180" w:type="dxa"/>
            <w:vAlign w:val="bottom"/>
          </w:tcPr>
          <w:p>
            <w:pPr>
              <w:spacing w:after="0"/>
              <w:rPr>
                <w:sz w:val="14"/>
                <w:szCs w:val="14"/>
                <w:color w:val="auto"/>
              </w:rPr>
            </w:pPr>
          </w:p>
        </w:tc>
        <w:tc>
          <w:tcPr>
            <w:tcW w:w="860" w:type="dxa"/>
            <w:vAlign w:val="bottom"/>
          </w:tcPr>
          <w:p>
            <w:pPr>
              <w:ind w:left="500"/>
              <w:spacing w:after="0"/>
              <w:rPr>
                <w:sz w:val="20"/>
                <w:szCs w:val="20"/>
                <w:color w:val="auto"/>
              </w:rPr>
            </w:pPr>
            <w:r>
              <w:rPr>
                <w:rFonts w:ascii="Arial" w:cs="Arial" w:eastAsia="Arial" w:hAnsi="Arial"/>
                <w:sz w:val="11"/>
                <w:szCs w:val="11"/>
                <w:color w:val="auto"/>
              </w:rPr>
              <w:t>94.3</w:t>
            </w:r>
          </w:p>
        </w:tc>
        <w:tc>
          <w:tcPr>
            <w:tcW w:w="160" w:type="dxa"/>
            <w:vAlign w:val="bottom"/>
          </w:tcPr>
          <w:p>
            <w:pPr>
              <w:spacing w:after="0"/>
              <w:rPr>
                <w:sz w:val="14"/>
                <w:szCs w:val="14"/>
                <w:color w:val="auto"/>
              </w:rPr>
            </w:pPr>
          </w:p>
        </w:tc>
        <w:tc>
          <w:tcPr>
            <w:tcW w:w="860" w:type="dxa"/>
            <w:vAlign w:val="bottom"/>
          </w:tcPr>
          <w:p>
            <w:pPr>
              <w:ind w:left="520"/>
              <w:spacing w:after="0"/>
              <w:rPr>
                <w:sz w:val="20"/>
                <w:szCs w:val="20"/>
                <w:color w:val="auto"/>
              </w:rPr>
            </w:pPr>
            <w:r>
              <w:rPr>
                <w:rFonts w:ascii="Arial" w:cs="Arial" w:eastAsia="Arial" w:hAnsi="Arial"/>
                <w:sz w:val="11"/>
                <w:szCs w:val="11"/>
                <w:color w:val="auto"/>
              </w:rPr>
              <w:t>97.4</w:t>
            </w:r>
          </w:p>
        </w:tc>
        <w:tc>
          <w:tcPr>
            <w:tcW w:w="180" w:type="dxa"/>
            <w:vAlign w:val="bottom"/>
          </w:tcPr>
          <w:p>
            <w:pPr>
              <w:spacing w:after="0"/>
              <w:rPr>
                <w:sz w:val="14"/>
                <w:szCs w:val="14"/>
                <w:color w:val="auto"/>
              </w:rPr>
            </w:pPr>
          </w:p>
        </w:tc>
        <w:tc>
          <w:tcPr>
            <w:tcW w:w="860" w:type="dxa"/>
            <w:vAlign w:val="bottom"/>
          </w:tcPr>
          <w:p>
            <w:pPr>
              <w:ind w:left="500"/>
              <w:spacing w:after="0"/>
              <w:rPr>
                <w:sz w:val="20"/>
                <w:szCs w:val="20"/>
                <w:color w:val="auto"/>
              </w:rPr>
            </w:pPr>
            <w:r>
              <w:rPr>
                <w:rFonts w:ascii="Arial" w:cs="Arial" w:eastAsia="Arial" w:hAnsi="Arial"/>
                <w:sz w:val="11"/>
                <w:szCs w:val="11"/>
                <w:color w:val="auto"/>
              </w:rPr>
              <w:t>97.8</w:t>
            </w:r>
          </w:p>
        </w:tc>
        <w:tc>
          <w:tcPr>
            <w:tcW w:w="180" w:type="dxa"/>
            <w:vAlign w:val="bottom"/>
          </w:tcPr>
          <w:p>
            <w:pPr>
              <w:spacing w:after="0"/>
              <w:rPr>
                <w:sz w:val="14"/>
                <w:szCs w:val="14"/>
                <w:color w:val="auto"/>
              </w:rPr>
            </w:pPr>
          </w:p>
        </w:tc>
        <w:tc>
          <w:tcPr>
            <w:tcW w:w="860" w:type="dxa"/>
            <w:vAlign w:val="bottom"/>
          </w:tcPr>
          <w:p>
            <w:pPr>
              <w:ind w:left="500"/>
              <w:spacing w:after="0"/>
              <w:rPr>
                <w:sz w:val="20"/>
                <w:szCs w:val="20"/>
                <w:color w:val="auto"/>
              </w:rPr>
            </w:pPr>
            <w:r>
              <w:rPr>
                <w:rFonts w:ascii="Arial" w:cs="Arial" w:eastAsia="Arial" w:hAnsi="Arial"/>
                <w:sz w:val="11"/>
                <w:szCs w:val="11"/>
                <w:color w:val="auto"/>
              </w:rPr>
              <w:t>94.3</w:t>
            </w:r>
          </w:p>
        </w:tc>
      </w:tr>
      <w:tr>
        <w:trPr>
          <w:trHeight w:val="141"/>
        </w:trPr>
        <w:tc>
          <w:tcPr>
            <w:tcW w:w="1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1"/>
                <w:szCs w:val="11"/>
                <w:color w:val="auto"/>
              </w:rPr>
              <w:t>New York City</w:t>
            </w:r>
          </w:p>
        </w:tc>
        <w:tc>
          <w:tcPr>
            <w:tcW w:w="8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1"/>
                <w:szCs w:val="11"/>
                <w:color w:val="auto"/>
              </w:rPr>
              <w:t>85.1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7"/>
                <w:szCs w:val="7"/>
                <w:color w:val="auto"/>
              </w:rPr>
              <w:t>(1)</w:t>
            </w:r>
          </w:p>
        </w:tc>
        <w:tc>
          <w:tcPr>
            <w:tcW w:w="8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1"/>
                <w:szCs w:val="11"/>
                <w:color w:val="auto"/>
              </w:rPr>
              <w:t>84.4</w:t>
            </w:r>
          </w:p>
        </w:tc>
        <w:tc>
          <w:tcPr>
            <w:tcW w:w="18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1"/>
                <w:szCs w:val="11"/>
                <w:color w:val="auto"/>
              </w:rPr>
              <w:t>88.9</w:t>
            </w:r>
          </w:p>
        </w:tc>
        <w:tc>
          <w:tcPr>
            <w:tcW w:w="16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1"/>
                <w:szCs w:val="11"/>
                <w:color w:val="auto"/>
              </w:rPr>
              <w:t>85.1</w:t>
            </w:r>
          </w:p>
        </w:tc>
        <w:tc>
          <w:tcPr>
            <w:tcW w:w="18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1"/>
                <w:szCs w:val="11"/>
                <w:color w:val="auto"/>
              </w:rPr>
              <w:t>84.4</w:t>
            </w:r>
          </w:p>
        </w:tc>
        <w:tc>
          <w:tcPr>
            <w:tcW w:w="18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1"/>
                <w:szCs w:val="11"/>
                <w:color w:val="auto"/>
              </w:rPr>
              <w:t>88.9</w:t>
            </w:r>
          </w:p>
        </w:tc>
      </w:tr>
      <w:tr>
        <w:trPr>
          <w:trHeight w:val="161"/>
        </w:trPr>
        <w:tc>
          <w:tcPr>
            <w:tcW w:w="1720" w:type="dxa"/>
            <w:vAlign w:val="bottom"/>
            <w:tcBorders>
              <w:bottom w:val="single" w:sz="8" w:color="CCEEFF"/>
            </w:tcBorders>
            <w:gridSpan w:val="2"/>
          </w:tcPr>
          <w:p>
            <w:pPr>
              <w:ind w:left="40"/>
              <w:spacing w:after="0"/>
              <w:rPr>
                <w:sz w:val="20"/>
                <w:szCs w:val="20"/>
                <w:color w:val="auto"/>
              </w:rPr>
            </w:pPr>
            <w:r>
              <w:rPr>
                <w:rFonts w:ascii="Arial" w:cs="Arial" w:eastAsia="Arial" w:hAnsi="Arial"/>
                <w:sz w:val="11"/>
                <w:szCs w:val="11"/>
                <w:color w:val="auto"/>
              </w:rPr>
              <w:t>Texas</w:t>
            </w:r>
          </w:p>
        </w:tc>
        <w:tc>
          <w:tcPr>
            <w:tcW w:w="860" w:type="dxa"/>
            <w:vAlign w:val="bottom"/>
            <w:tcBorders>
              <w:bottom w:val="single" w:sz="8" w:color="auto"/>
            </w:tcBorders>
          </w:tcPr>
          <w:p>
            <w:pPr>
              <w:ind w:left="520"/>
              <w:spacing w:after="0"/>
              <w:rPr>
                <w:sz w:val="20"/>
                <w:szCs w:val="20"/>
                <w:color w:val="auto"/>
              </w:rPr>
            </w:pPr>
            <w:r>
              <w:rPr>
                <w:rFonts w:ascii="Arial" w:cs="Arial" w:eastAsia="Arial" w:hAnsi="Arial"/>
                <w:sz w:val="11"/>
                <w:szCs w:val="11"/>
                <w:color w:val="auto"/>
              </w:rPr>
              <w:t>95.5</w:t>
            </w:r>
          </w:p>
        </w:tc>
        <w:tc>
          <w:tcPr>
            <w:tcW w:w="16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ind w:left="520"/>
              <w:spacing w:after="0"/>
              <w:rPr>
                <w:sz w:val="20"/>
                <w:szCs w:val="20"/>
                <w:color w:val="auto"/>
              </w:rPr>
            </w:pPr>
            <w:r>
              <w:rPr>
                <w:rFonts w:ascii="Arial" w:cs="Arial" w:eastAsia="Arial" w:hAnsi="Arial"/>
                <w:sz w:val="11"/>
                <w:szCs w:val="11"/>
                <w:color w:val="auto"/>
              </w:rPr>
              <w:t>95.1</w:t>
            </w:r>
          </w:p>
        </w:tc>
        <w:tc>
          <w:tcPr>
            <w:tcW w:w="18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ind w:left="500"/>
              <w:spacing w:after="0"/>
              <w:rPr>
                <w:sz w:val="20"/>
                <w:szCs w:val="20"/>
                <w:color w:val="auto"/>
              </w:rPr>
            </w:pPr>
            <w:r>
              <w:rPr>
                <w:rFonts w:ascii="Arial" w:cs="Arial" w:eastAsia="Arial" w:hAnsi="Arial"/>
                <w:sz w:val="11"/>
                <w:szCs w:val="11"/>
                <w:color w:val="auto"/>
              </w:rPr>
              <w:t>95.1</w:t>
            </w:r>
          </w:p>
        </w:tc>
        <w:tc>
          <w:tcPr>
            <w:tcW w:w="16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ind w:left="520"/>
              <w:spacing w:after="0"/>
              <w:rPr>
                <w:sz w:val="20"/>
                <w:szCs w:val="20"/>
                <w:color w:val="auto"/>
              </w:rPr>
            </w:pPr>
            <w:r>
              <w:rPr>
                <w:rFonts w:ascii="Arial" w:cs="Arial" w:eastAsia="Arial" w:hAnsi="Arial"/>
                <w:sz w:val="11"/>
                <w:szCs w:val="11"/>
                <w:color w:val="auto"/>
              </w:rPr>
              <w:t>91.8</w:t>
            </w:r>
          </w:p>
        </w:tc>
        <w:tc>
          <w:tcPr>
            <w:tcW w:w="18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ind w:left="500"/>
              <w:spacing w:after="0"/>
              <w:rPr>
                <w:sz w:val="20"/>
                <w:szCs w:val="20"/>
                <w:color w:val="auto"/>
              </w:rPr>
            </w:pPr>
            <w:r>
              <w:rPr>
                <w:rFonts w:ascii="Arial" w:cs="Arial" w:eastAsia="Arial" w:hAnsi="Arial"/>
                <w:sz w:val="11"/>
                <w:szCs w:val="11"/>
                <w:color w:val="auto"/>
              </w:rPr>
              <w:t>91.5</w:t>
            </w:r>
          </w:p>
        </w:tc>
        <w:tc>
          <w:tcPr>
            <w:tcW w:w="18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ind w:left="500"/>
              <w:spacing w:after="0"/>
              <w:rPr>
                <w:sz w:val="20"/>
                <w:szCs w:val="20"/>
                <w:color w:val="auto"/>
              </w:rPr>
            </w:pPr>
            <w:r>
              <w:rPr>
                <w:rFonts w:ascii="Arial" w:cs="Arial" w:eastAsia="Arial" w:hAnsi="Arial"/>
                <w:sz w:val="11"/>
                <w:szCs w:val="11"/>
                <w:color w:val="auto"/>
              </w:rPr>
              <w:t>91.0</w:t>
            </w:r>
          </w:p>
        </w:tc>
      </w:tr>
      <w:tr>
        <w:trPr>
          <w:trHeight w:val="141"/>
        </w:trPr>
        <w:tc>
          <w:tcPr>
            <w:tcW w:w="1720" w:type="dxa"/>
            <w:vAlign w:val="bottom"/>
            <w:gridSpan w:val="2"/>
            <w:shd w:val="clear" w:color="auto" w:fill="CCEEFF"/>
          </w:tcPr>
          <w:p>
            <w:pPr>
              <w:ind w:left="140"/>
              <w:spacing w:after="0"/>
              <w:rPr>
                <w:sz w:val="20"/>
                <w:szCs w:val="20"/>
                <w:color w:val="auto"/>
              </w:rPr>
            </w:pPr>
            <w:r>
              <w:rPr>
                <w:rFonts w:ascii="Arial" w:cs="Arial" w:eastAsia="Arial" w:hAnsi="Arial"/>
                <w:sz w:val="11"/>
                <w:szCs w:val="11"/>
                <w:color w:val="auto"/>
              </w:rPr>
              <w:t>Subtotal</w:t>
            </w:r>
          </w:p>
        </w:tc>
        <w:tc>
          <w:tcPr>
            <w:tcW w:w="860" w:type="dxa"/>
            <w:vAlign w:val="bottom"/>
            <w:shd w:val="clear" w:color="auto" w:fill="CCEEFF"/>
          </w:tcPr>
          <w:p>
            <w:pPr>
              <w:ind w:left="520"/>
              <w:spacing w:after="0"/>
              <w:rPr>
                <w:sz w:val="20"/>
                <w:szCs w:val="20"/>
                <w:color w:val="auto"/>
              </w:rPr>
            </w:pPr>
            <w:r>
              <w:rPr>
                <w:rFonts w:ascii="Arial" w:cs="Arial" w:eastAsia="Arial" w:hAnsi="Arial"/>
                <w:sz w:val="11"/>
                <w:szCs w:val="11"/>
                <w:color w:val="auto"/>
              </w:rPr>
              <w:t>94.7</w:t>
            </w: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ind w:left="520"/>
              <w:spacing w:after="0"/>
              <w:rPr>
                <w:sz w:val="20"/>
                <w:szCs w:val="20"/>
                <w:color w:val="auto"/>
              </w:rPr>
            </w:pPr>
            <w:r>
              <w:rPr>
                <w:rFonts w:ascii="Arial" w:cs="Arial" w:eastAsia="Arial" w:hAnsi="Arial"/>
                <w:sz w:val="11"/>
                <w:szCs w:val="11"/>
                <w:color w:val="auto"/>
              </w:rPr>
              <w:t>94.9</w:t>
            </w: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ind w:left="500"/>
              <w:spacing w:after="0"/>
              <w:rPr>
                <w:sz w:val="20"/>
                <w:szCs w:val="20"/>
                <w:color w:val="auto"/>
              </w:rPr>
            </w:pPr>
            <w:r>
              <w:rPr>
                <w:rFonts w:ascii="Arial" w:cs="Arial" w:eastAsia="Arial" w:hAnsi="Arial"/>
                <w:sz w:val="11"/>
                <w:szCs w:val="11"/>
                <w:color w:val="auto"/>
              </w:rPr>
              <w:t>93.8</w:t>
            </w: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ind w:left="520"/>
              <w:spacing w:after="0"/>
              <w:rPr>
                <w:sz w:val="20"/>
                <w:szCs w:val="20"/>
                <w:color w:val="auto"/>
              </w:rPr>
            </w:pPr>
            <w:r>
              <w:rPr>
                <w:rFonts w:ascii="Arial" w:cs="Arial" w:eastAsia="Arial" w:hAnsi="Arial"/>
                <w:sz w:val="11"/>
                <w:szCs w:val="11"/>
                <w:color w:val="auto"/>
              </w:rPr>
              <w:t>90.2</w:t>
            </w: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ind w:left="500"/>
              <w:spacing w:after="0"/>
              <w:rPr>
                <w:sz w:val="20"/>
                <w:szCs w:val="20"/>
                <w:color w:val="auto"/>
              </w:rPr>
            </w:pPr>
            <w:r>
              <w:rPr>
                <w:rFonts w:ascii="Arial" w:cs="Arial" w:eastAsia="Arial" w:hAnsi="Arial"/>
                <w:sz w:val="11"/>
                <w:szCs w:val="11"/>
                <w:color w:val="auto"/>
              </w:rPr>
              <w:t>90.6</w:t>
            </w: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ind w:left="500"/>
              <w:spacing w:after="0"/>
              <w:rPr>
                <w:sz w:val="20"/>
                <w:szCs w:val="20"/>
                <w:color w:val="auto"/>
              </w:rPr>
            </w:pPr>
            <w:r>
              <w:rPr>
                <w:rFonts w:ascii="Arial" w:cs="Arial" w:eastAsia="Arial" w:hAnsi="Arial"/>
                <w:sz w:val="11"/>
                <w:szCs w:val="11"/>
                <w:color w:val="auto"/>
              </w:rPr>
              <w:t>89.8</w:t>
            </w:r>
          </w:p>
        </w:tc>
      </w:tr>
      <w:tr>
        <w:trPr>
          <w:trHeight w:val="161"/>
        </w:trPr>
        <w:tc>
          <w:tcPr>
            <w:tcW w:w="1720" w:type="dxa"/>
            <w:vAlign w:val="bottom"/>
            <w:gridSpan w:val="2"/>
          </w:tcPr>
          <w:p>
            <w:pPr>
              <w:ind w:left="40"/>
              <w:spacing w:after="0"/>
              <w:rPr>
                <w:sz w:val="20"/>
                <w:szCs w:val="20"/>
                <w:color w:val="auto"/>
              </w:rPr>
            </w:pPr>
            <w:r>
              <w:rPr>
                <w:rFonts w:ascii="Arial" w:cs="Arial" w:eastAsia="Arial" w:hAnsi="Arial"/>
                <w:sz w:val="11"/>
                <w:szCs w:val="11"/>
                <w:color w:val="auto"/>
              </w:rPr>
              <w:t>Canada</w:t>
            </w:r>
          </w:p>
        </w:tc>
        <w:tc>
          <w:tcPr>
            <w:tcW w:w="860" w:type="dxa"/>
            <w:vAlign w:val="bottom"/>
          </w:tcPr>
          <w:p>
            <w:pPr>
              <w:ind w:left="520"/>
              <w:spacing w:after="0"/>
              <w:rPr>
                <w:sz w:val="20"/>
                <w:szCs w:val="20"/>
                <w:color w:val="auto"/>
              </w:rPr>
            </w:pPr>
            <w:r>
              <w:rPr>
                <w:rFonts w:ascii="Arial" w:cs="Arial" w:eastAsia="Arial" w:hAnsi="Arial"/>
                <w:sz w:val="11"/>
                <w:szCs w:val="11"/>
                <w:color w:val="auto"/>
              </w:rPr>
              <w:t>94.9</w:t>
            </w:r>
          </w:p>
        </w:tc>
        <w:tc>
          <w:tcPr>
            <w:tcW w:w="160" w:type="dxa"/>
            <w:vAlign w:val="bottom"/>
          </w:tcPr>
          <w:p>
            <w:pPr>
              <w:spacing w:after="0"/>
              <w:rPr>
                <w:sz w:val="14"/>
                <w:szCs w:val="14"/>
                <w:color w:val="auto"/>
              </w:rPr>
            </w:pPr>
          </w:p>
        </w:tc>
        <w:tc>
          <w:tcPr>
            <w:tcW w:w="860" w:type="dxa"/>
            <w:vAlign w:val="bottom"/>
          </w:tcPr>
          <w:p>
            <w:pPr>
              <w:ind w:left="520"/>
              <w:spacing w:after="0"/>
              <w:rPr>
                <w:sz w:val="20"/>
                <w:szCs w:val="20"/>
                <w:color w:val="auto"/>
              </w:rPr>
            </w:pPr>
            <w:r>
              <w:rPr>
                <w:rFonts w:ascii="Arial" w:cs="Arial" w:eastAsia="Arial" w:hAnsi="Arial"/>
                <w:sz w:val="11"/>
                <w:szCs w:val="11"/>
                <w:color w:val="auto"/>
              </w:rPr>
              <w:t>91.8</w:t>
            </w:r>
          </w:p>
        </w:tc>
        <w:tc>
          <w:tcPr>
            <w:tcW w:w="180" w:type="dxa"/>
            <w:vAlign w:val="bottom"/>
          </w:tcPr>
          <w:p>
            <w:pPr>
              <w:spacing w:after="0"/>
              <w:rPr>
                <w:sz w:val="14"/>
                <w:szCs w:val="14"/>
                <w:color w:val="auto"/>
              </w:rPr>
            </w:pPr>
          </w:p>
        </w:tc>
        <w:tc>
          <w:tcPr>
            <w:tcW w:w="860" w:type="dxa"/>
            <w:vAlign w:val="bottom"/>
          </w:tcPr>
          <w:p>
            <w:pPr>
              <w:ind w:left="500"/>
              <w:spacing w:after="0"/>
              <w:rPr>
                <w:sz w:val="20"/>
                <w:szCs w:val="20"/>
                <w:color w:val="auto"/>
              </w:rPr>
            </w:pPr>
            <w:r>
              <w:rPr>
                <w:rFonts w:ascii="Arial" w:cs="Arial" w:eastAsia="Arial" w:hAnsi="Arial"/>
                <w:sz w:val="11"/>
                <w:szCs w:val="11"/>
                <w:color w:val="auto"/>
              </w:rPr>
              <w:t>87.3</w:t>
            </w:r>
          </w:p>
        </w:tc>
        <w:tc>
          <w:tcPr>
            <w:tcW w:w="160" w:type="dxa"/>
            <w:vAlign w:val="bottom"/>
          </w:tcPr>
          <w:p>
            <w:pPr>
              <w:spacing w:after="0"/>
              <w:rPr>
                <w:sz w:val="14"/>
                <w:szCs w:val="14"/>
                <w:color w:val="auto"/>
              </w:rPr>
            </w:pPr>
          </w:p>
        </w:tc>
        <w:tc>
          <w:tcPr>
            <w:tcW w:w="860" w:type="dxa"/>
            <w:vAlign w:val="bottom"/>
          </w:tcPr>
          <w:p>
            <w:pPr>
              <w:ind w:left="520"/>
              <w:spacing w:after="0"/>
              <w:rPr>
                <w:sz w:val="20"/>
                <w:szCs w:val="20"/>
                <w:color w:val="auto"/>
              </w:rPr>
            </w:pPr>
            <w:r>
              <w:rPr>
                <w:rFonts w:ascii="Arial" w:cs="Arial" w:eastAsia="Arial" w:hAnsi="Arial"/>
                <w:sz w:val="11"/>
                <w:szCs w:val="11"/>
                <w:color w:val="auto"/>
              </w:rPr>
              <w:t>82.5</w:t>
            </w:r>
          </w:p>
        </w:tc>
        <w:tc>
          <w:tcPr>
            <w:tcW w:w="180" w:type="dxa"/>
            <w:vAlign w:val="bottom"/>
          </w:tcPr>
          <w:p>
            <w:pPr>
              <w:spacing w:after="0"/>
              <w:rPr>
                <w:sz w:val="14"/>
                <w:szCs w:val="14"/>
                <w:color w:val="auto"/>
              </w:rPr>
            </w:pPr>
          </w:p>
        </w:tc>
        <w:tc>
          <w:tcPr>
            <w:tcW w:w="860" w:type="dxa"/>
            <w:vAlign w:val="bottom"/>
          </w:tcPr>
          <w:p>
            <w:pPr>
              <w:ind w:left="500"/>
              <w:spacing w:after="0"/>
              <w:rPr>
                <w:sz w:val="20"/>
                <w:szCs w:val="20"/>
                <w:color w:val="auto"/>
              </w:rPr>
            </w:pPr>
            <w:r>
              <w:rPr>
                <w:rFonts w:ascii="Arial" w:cs="Arial" w:eastAsia="Arial" w:hAnsi="Arial"/>
                <w:sz w:val="11"/>
                <w:szCs w:val="11"/>
                <w:color w:val="auto"/>
              </w:rPr>
              <w:t>77.8</w:t>
            </w:r>
          </w:p>
        </w:tc>
        <w:tc>
          <w:tcPr>
            <w:tcW w:w="180" w:type="dxa"/>
            <w:vAlign w:val="bottom"/>
          </w:tcPr>
          <w:p>
            <w:pPr>
              <w:spacing w:after="0"/>
              <w:rPr>
                <w:sz w:val="14"/>
                <w:szCs w:val="14"/>
                <w:color w:val="auto"/>
              </w:rPr>
            </w:pPr>
          </w:p>
        </w:tc>
        <w:tc>
          <w:tcPr>
            <w:tcW w:w="860" w:type="dxa"/>
            <w:vAlign w:val="bottom"/>
          </w:tcPr>
          <w:p>
            <w:pPr>
              <w:ind w:left="500"/>
              <w:spacing w:after="0"/>
              <w:rPr>
                <w:sz w:val="20"/>
                <w:szCs w:val="20"/>
                <w:color w:val="auto"/>
              </w:rPr>
            </w:pPr>
            <w:r>
              <w:rPr>
                <w:rFonts w:ascii="Arial" w:cs="Arial" w:eastAsia="Arial" w:hAnsi="Arial"/>
                <w:sz w:val="11"/>
                <w:szCs w:val="11"/>
                <w:color w:val="auto"/>
              </w:rPr>
              <w:t>69.2</w:t>
            </w:r>
          </w:p>
        </w:tc>
      </w:tr>
      <w:tr>
        <w:trPr>
          <w:trHeight w:val="161"/>
        </w:trPr>
        <w:tc>
          <w:tcPr>
            <w:tcW w:w="1720" w:type="dxa"/>
            <w:vAlign w:val="bottom"/>
            <w:gridSpan w:val="2"/>
            <w:shd w:val="clear" w:color="auto" w:fill="CCEEFF"/>
          </w:tcPr>
          <w:p>
            <w:pPr>
              <w:ind w:left="40"/>
              <w:spacing w:after="0"/>
              <w:rPr>
                <w:sz w:val="20"/>
                <w:szCs w:val="20"/>
                <w:color w:val="auto"/>
              </w:rPr>
            </w:pPr>
            <w:r>
              <w:rPr>
                <w:rFonts w:ascii="Arial" w:cs="Arial" w:eastAsia="Arial" w:hAnsi="Arial"/>
                <w:sz w:val="11"/>
                <w:szCs w:val="11"/>
                <w:color w:val="auto"/>
              </w:rPr>
              <w:t>Non-cluster/other markets</w:t>
            </w:r>
          </w:p>
        </w:tc>
        <w:tc>
          <w:tcPr>
            <w:tcW w:w="86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1"/>
                <w:szCs w:val="11"/>
                <w:color w:val="auto"/>
              </w:rPr>
              <w:t>75.6</w:t>
            </w:r>
          </w:p>
        </w:tc>
        <w:tc>
          <w:tcPr>
            <w:tcW w:w="160" w:type="dxa"/>
            <w:vAlign w:val="bottom"/>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1"/>
                <w:szCs w:val="11"/>
                <w:color w:val="auto"/>
              </w:rPr>
              <w:t>75.4</w:t>
            </w:r>
          </w:p>
        </w:tc>
        <w:tc>
          <w:tcPr>
            <w:tcW w:w="180" w:type="dxa"/>
            <w:vAlign w:val="bottom"/>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1"/>
                <w:szCs w:val="11"/>
                <w:color w:val="auto"/>
              </w:rPr>
              <w:t>81.3</w:t>
            </w:r>
          </w:p>
        </w:tc>
        <w:tc>
          <w:tcPr>
            <w:tcW w:w="160" w:type="dxa"/>
            <w:vAlign w:val="bottom"/>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1"/>
                <w:szCs w:val="11"/>
                <w:color w:val="auto"/>
              </w:rPr>
              <w:t>75.6</w:t>
            </w:r>
          </w:p>
        </w:tc>
        <w:tc>
          <w:tcPr>
            <w:tcW w:w="180" w:type="dxa"/>
            <w:vAlign w:val="bottom"/>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1"/>
                <w:szCs w:val="11"/>
                <w:color w:val="auto"/>
              </w:rPr>
              <w:t>75.4</w:t>
            </w:r>
          </w:p>
        </w:tc>
        <w:tc>
          <w:tcPr>
            <w:tcW w:w="180" w:type="dxa"/>
            <w:vAlign w:val="bottom"/>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1"/>
                <w:szCs w:val="11"/>
                <w:color w:val="auto"/>
              </w:rPr>
              <w:t>81.3</w:t>
            </w:r>
          </w:p>
        </w:tc>
      </w:tr>
      <w:tr>
        <w:trPr>
          <w:trHeight w:val="120"/>
        </w:trPr>
        <w:tc>
          <w:tcPr>
            <w:tcW w:w="1720" w:type="dxa"/>
            <w:vAlign w:val="bottom"/>
            <w:gridSpan w:val="2"/>
          </w:tcPr>
          <w:p>
            <w:pPr>
              <w:ind w:left="140"/>
              <w:spacing w:after="0" w:line="120" w:lineRule="exact"/>
              <w:rPr>
                <w:sz w:val="20"/>
                <w:szCs w:val="20"/>
                <w:color w:val="auto"/>
              </w:rPr>
            </w:pPr>
            <w:r>
              <w:rPr>
                <w:rFonts w:ascii="Arial" w:cs="Arial" w:eastAsia="Arial" w:hAnsi="Arial"/>
                <w:sz w:val="11"/>
                <w:szCs w:val="11"/>
                <w:b w:val="1"/>
                <w:bCs w:val="1"/>
                <w:color w:val="auto"/>
              </w:rPr>
              <w:t>North America</w:t>
            </w:r>
          </w:p>
        </w:tc>
        <w:tc>
          <w:tcPr>
            <w:tcW w:w="860" w:type="dxa"/>
            <w:vAlign w:val="bottom"/>
            <w:tcBorders>
              <w:bottom w:val="single" w:sz="8" w:color="auto"/>
            </w:tcBorders>
          </w:tcPr>
          <w:p>
            <w:pPr>
              <w:ind w:left="520"/>
              <w:spacing w:after="0" w:line="120" w:lineRule="exact"/>
              <w:rPr>
                <w:sz w:val="20"/>
                <w:szCs w:val="20"/>
                <w:color w:val="auto"/>
              </w:rPr>
            </w:pPr>
            <w:r>
              <w:rPr>
                <w:rFonts w:ascii="Arial" w:cs="Arial" w:eastAsia="Arial" w:hAnsi="Arial"/>
                <w:sz w:val="11"/>
                <w:szCs w:val="11"/>
                <w:b w:val="1"/>
                <w:bCs w:val="1"/>
                <w:color w:val="auto"/>
              </w:rPr>
              <w:t>94.6%</w:t>
            </w:r>
          </w:p>
        </w:tc>
        <w:tc>
          <w:tcPr>
            <w:tcW w:w="160" w:type="dxa"/>
            <w:vAlign w:val="bottom"/>
          </w:tcPr>
          <w:p>
            <w:pPr>
              <w:spacing w:after="0"/>
              <w:rPr>
                <w:sz w:val="10"/>
                <w:szCs w:val="10"/>
                <w:color w:val="auto"/>
              </w:rPr>
            </w:pPr>
          </w:p>
        </w:tc>
        <w:tc>
          <w:tcPr>
            <w:tcW w:w="860" w:type="dxa"/>
            <w:vAlign w:val="bottom"/>
            <w:tcBorders>
              <w:bottom w:val="single" w:sz="8" w:color="auto"/>
            </w:tcBorders>
          </w:tcPr>
          <w:p>
            <w:pPr>
              <w:ind w:left="520"/>
              <w:spacing w:after="0" w:line="120" w:lineRule="exact"/>
              <w:rPr>
                <w:sz w:val="20"/>
                <w:szCs w:val="20"/>
                <w:color w:val="auto"/>
              </w:rPr>
            </w:pPr>
            <w:r>
              <w:rPr>
                <w:rFonts w:ascii="Arial" w:cs="Arial" w:eastAsia="Arial" w:hAnsi="Arial"/>
                <w:sz w:val="11"/>
                <w:szCs w:val="11"/>
                <w:b w:val="1"/>
                <w:bCs w:val="1"/>
                <w:color w:val="auto"/>
              </w:rPr>
              <w:t>94.6%</w:t>
            </w:r>
          </w:p>
        </w:tc>
        <w:tc>
          <w:tcPr>
            <w:tcW w:w="180" w:type="dxa"/>
            <w:vAlign w:val="bottom"/>
          </w:tcPr>
          <w:p>
            <w:pPr>
              <w:spacing w:after="0"/>
              <w:rPr>
                <w:sz w:val="10"/>
                <w:szCs w:val="10"/>
                <w:color w:val="auto"/>
              </w:rPr>
            </w:pPr>
          </w:p>
        </w:tc>
        <w:tc>
          <w:tcPr>
            <w:tcW w:w="860" w:type="dxa"/>
            <w:vAlign w:val="bottom"/>
            <w:tcBorders>
              <w:bottom w:val="single" w:sz="8" w:color="auto"/>
            </w:tcBorders>
          </w:tcPr>
          <w:p>
            <w:pPr>
              <w:ind w:left="500"/>
              <w:spacing w:after="0" w:line="120" w:lineRule="exact"/>
              <w:rPr>
                <w:sz w:val="20"/>
                <w:szCs w:val="20"/>
                <w:color w:val="auto"/>
              </w:rPr>
            </w:pPr>
            <w:r>
              <w:rPr>
                <w:rFonts w:ascii="Arial" w:cs="Arial" w:eastAsia="Arial" w:hAnsi="Arial"/>
                <w:sz w:val="11"/>
                <w:szCs w:val="11"/>
                <w:b w:val="1"/>
                <w:bCs w:val="1"/>
                <w:color w:val="auto"/>
              </w:rPr>
              <w:t>93.6%</w:t>
            </w:r>
          </w:p>
        </w:tc>
        <w:tc>
          <w:tcPr>
            <w:tcW w:w="160" w:type="dxa"/>
            <w:vAlign w:val="bottom"/>
          </w:tcPr>
          <w:p>
            <w:pPr>
              <w:spacing w:after="0"/>
              <w:rPr>
                <w:sz w:val="10"/>
                <w:szCs w:val="10"/>
                <w:color w:val="auto"/>
              </w:rPr>
            </w:pPr>
          </w:p>
        </w:tc>
        <w:tc>
          <w:tcPr>
            <w:tcW w:w="860" w:type="dxa"/>
            <w:vAlign w:val="bottom"/>
            <w:tcBorders>
              <w:bottom w:val="single" w:sz="8" w:color="auto"/>
            </w:tcBorders>
          </w:tcPr>
          <w:p>
            <w:pPr>
              <w:ind w:left="520"/>
              <w:spacing w:after="0" w:line="120" w:lineRule="exact"/>
              <w:rPr>
                <w:sz w:val="20"/>
                <w:szCs w:val="20"/>
                <w:color w:val="auto"/>
              </w:rPr>
            </w:pPr>
            <w:r>
              <w:rPr>
                <w:rFonts w:ascii="Arial" w:cs="Arial" w:eastAsia="Arial" w:hAnsi="Arial"/>
                <w:sz w:val="11"/>
                <w:szCs w:val="11"/>
                <w:b w:val="1"/>
                <w:bCs w:val="1"/>
                <w:color w:val="auto"/>
              </w:rPr>
              <w:t>89.9%</w:t>
            </w:r>
          </w:p>
        </w:tc>
        <w:tc>
          <w:tcPr>
            <w:tcW w:w="180" w:type="dxa"/>
            <w:vAlign w:val="bottom"/>
          </w:tcPr>
          <w:p>
            <w:pPr>
              <w:spacing w:after="0"/>
              <w:rPr>
                <w:sz w:val="10"/>
                <w:szCs w:val="10"/>
                <w:color w:val="auto"/>
              </w:rPr>
            </w:pPr>
          </w:p>
        </w:tc>
        <w:tc>
          <w:tcPr>
            <w:tcW w:w="860" w:type="dxa"/>
            <w:vAlign w:val="bottom"/>
            <w:tcBorders>
              <w:bottom w:val="single" w:sz="8" w:color="auto"/>
            </w:tcBorders>
          </w:tcPr>
          <w:p>
            <w:pPr>
              <w:ind w:left="500"/>
              <w:spacing w:after="0" w:line="120" w:lineRule="exact"/>
              <w:rPr>
                <w:sz w:val="20"/>
                <w:szCs w:val="20"/>
                <w:color w:val="auto"/>
              </w:rPr>
            </w:pPr>
            <w:r>
              <w:rPr>
                <w:rFonts w:ascii="Arial" w:cs="Arial" w:eastAsia="Arial" w:hAnsi="Arial"/>
                <w:sz w:val="11"/>
                <w:szCs w:val="11"/>
                <w:b w:val="1"/>
                <w:bCs w:val="1"/>
                <w:color w:val="auto"/>
              </w:rPr>
              <w:t>90.2%</w:t>
            </w:r>
          </w:p>
        </w:tc>
        <w:tc>
          <w:tcPr>
            <w:tcW w:w="180" w:type="dxa"/>
            <w:vAlign w:val="bottom"/>
          </w:tcPr>
          <w:p>
            <w:pPr>
              <w:spacing w:after="0"/>
              <w:rPr>
                <w:sz w:val="10"/>
                <w:szCs w:val="10"/>
                <w:color w:val="auto"/>
              </w:rPr>
            </w:pPr>
          </w:p>
        </w:tc>
        <w:tc>
          <w:tcPr>
            <w:tcW w:w="860" w:type="dxa"/>
            <w:vAlign w:val="bottom"/>
            <w:tcBorders>
              <w:bottom w:val="single" w:sz="8" w:color="auto"/>
            </w:tcBorders>
          </w:tcPr>
          <w:p>
            <w:pPr>
              <w:ind w:left="500"/>
              <w:spacing w:after="0" w:line="120" w:lineRule="exact"/>
              <w:rPr>
                <w:sz w:val="20"/>
                <w:szCs w:val="20"/>
                <w:color w:val="auto"/>
              </w:rPr>
            </w:pPr>
            <w:r>
              <w:rPr>
                <w:rFonts w:ascii="Arial" w:cs="Arial" w:eastAsia="Arial" w:hAnsi="Arial"/>
                <w:sz w:val="11"/>
                <w:szCs w:val="11"/>
                <w:b w:val="1"/>
                <w:bCs w:val="1"/>
                <w:color w:val="auto"/>
              </w:rPr>
              <w:t>89.2%</w:t>
            </w:r>
          </w:p>
        </w:tc>
      </w:tr>
      <w:tr>
        <w:trPr>
          <w:trHeight w:val="20"/>
        </w:trPr>
        <w:tc>
          <w:tcPr>
            <w:tcW w:w="1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sectPr>
          <w:pgSz w:w="11900" w:h="16838" w:orient="portrait"/>
          <w:cols w:equalWidth="0" w:num="1">
            <w:col w:w="9019"/>
          </w:cols>
          <w:pgMar w:left="1440" w:top="110" w:right="1440" w:bottom="1440" w:gutter="0" w:footer="0" w:header="0"/>
        </w:sectPr>
      </w:pPr>
    </w:p>
    <w:p>
      <w:pPr>
        <w:ind w:left="900" w:right="879" w:hanging="262"/>
        <w:spacing w:after="0" w:line="236" w:lineRule="auto"/>
        <w:tabs>
          <w:tab w:leader="none" w:pos="900" w:val="left"/>
        </w:tabs>
        <w:numPr>
          <w:ilvl w:val="0"/>
          <w:numId w:val="80"/>
        </w:numPr>
        <w:rPr>
          <w:rFonts w:ascii="Arial" w:cs="Arial" w:eastAsia="Arial" w:hAnsi="Arial"/>
          <w:sz w:val="10"/>
          <w:szCs w:val="10"/>
          <w:color w:val="auto"/>
        </w:rPr>
      </w:pPr>
      <w:r>
        <w:rPr>
          <w:rFonts w:ascii="Arial" w:cs="Arial" w:eastAsia="Arial" w:hAnsi="Arial"/>
          <w:sz w:val="10"/>
          <w:szCs w:val="10"/>
          <w:color w:val="auto"/>
        </w:rPr>
        <w:t>The Alexandria Center</w:t>
      </w:r>
      <w:r>
        <w:rPr>
          <w:rFonts w:ascii="Arial" w:cs="Arial" w:eastAsia="Arial" w:hAnsi="Arial"/>
          <w:sz w:val="13"/>
          <w:szCs w:val="13"/>
          <w:color w:val="auto"/>
          <w:vertAlign w:val="superscript"/>
        </w:rPr>
        <w:t>®</w:t>
      </w:r>
      <w:r>
        <w:rPr>
          <w:rFonts w:ascii="Arial" w:cs="Arial" w:eastAsia="Arial" w:hAnsi="Arial"/>
          <w:sz w:val="10"/>
          <w:szCs w:val="10"/>
          <w:color w:val="auto"/>
        </w:rPr>
        <w:t xml:space="preserve"> for Life Science – New York City mega campus is 95.5% occupied as of June 30, 2024. Occupancy percentage in our New York City market reflects vacancy at the Alexandria Center</w:t>
      </w:r>
      <w:r>
        <w:rPr>
          <w:rFonts w:ascii="Arial" w:cs="Arial" w:eastAsia="Arial" w:hAnsi="Arial"/>
          <w:sz w:val="13"/>
          <w:szCs w:val="13"/>
          <w:color w:val="auto"/>
          <w:vertAlign w:val="superscript"/>
        </w:rPr>
        <w:t>®</w:t>
      </w:r>
      <w:r>
        <w:rPr>
          <w:rFonts w:ascii="Arial" w:cs="Arial" w:eastAsia="Arial" w:hAnsi="Arial"/>
          <w:sz w:val="10"/>
          <w:szCs w:val="10"/>
          <w:color w:val="auto"/>
        </w:rPr>
        <w:t xml:space="preserve"> for Life Science – Long Island City property, which was 41.7% occupied as of June 30, 2024.</w:t>
      </w:r>
    </w:p>
    <w:p>
      <w:pPr>
        <w:sectPr>
          <w:pgSz w:w="11900" w:h="16838" w:orient="portrait"/>
          <w:cols w:equalWidth="0" w:num="1">
            <w:col w:w="9019"/>
          </w:cols>
          <w:pgMar w:left="1440" w:top="110" w:right="1440" w:bottom="1440" w:gutter="0" w:footer="0" w:header="0"/>
          <w:type w:val="continuous"/>
        </w:sectPr>
      </w:pPr>
    </w:p>
    <w:bookmarkStart w:id="39" w:name="page40"/>
    <w:bookmarkEnd w:id="39"/>
    <w:p>
      <w:pPr>
        <w:spacing w:after="0" w:line="3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982345</wp:posOffset>
            </wp:positionH>
            <wp:positionV relativeFrom="page">
              <wp:posOffset>88900</wp:posOffset>
            </wp:positionV>
            <wp:extent cx="5584190" cy="59626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584190" cy="596265"/>
                    </a:xfrm>
                    <a:prstGeom prst="rect">
                      <a:avLst/>
                    </a:prstGeom>
                    <a:noFill/>
                  </pic:spPr>
                </pic:pic>
              </a:graphicData>
            </a:graphic>
          </wp:anchor>
        </w:drawing>
      </w:r>
    </w:p>
    <w:p>
      <w:pPr>
        <w:jc w:val="center"/>
        <w:ind w:right="34"/>
        <w:spacing w:after="0"/>
        <w:rPr>
          <w:sz w:val="20"/>
          <w:szCs w:val="20"/>
          <w:color w:val="auto"/>
        </w:rPr>
      </w:pPr>
      <w:r>
        <w:rPr>
          <w:rFonts w:ascii="Arial" w:cs="Arial" w:eastAsia="Arial" w:hAnsi="Arial"/>
          <w:sz w:val="13"/>
          <w:szCs w:val="13"/>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617855</wp:posOffset>
            </wp:positionH>
            <wp:positionV relativeFrom="paragraph">
              <wp:posOffset>188595</wp:posOffset>
            </wp:positionV>
            <wp:extent cx="5584190" cy="72205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506"/>
        <w:spacing w:after="0"/>
        <w:rPr>
          <w:sz w:val="20"/>
          <w:szCs w:val="20"/>
          <w:color w:val="auto"/>
        </w:rPr>
      </w:pPr>
      <w:r>
        <w:rPr>
          <w:rFonts w:ascii="Arial" w:cs="Arial" w:eastAsia="Arial" w:hAnsi="Arial"/>
          <w:sz w:val="13"/>
          <w:szCs w:val="13"/>
          <w:b w:val="1"/>
          <w:bCs w:val="1"/>
          <w:color w:val="auto"/>
        </w:rPr>
        <w:t>Investments in real estate</w:t>
      </w:r>
    </w:p>
    <w:p>
      <w:pPr>
        <w:spacing w:after="0" w:line="162" w:lineRule="exact"/>
        <w:rPr>
          <w:sz w:val="20"/>
          <w:szCs w:val="20"/>
          <w:color w:val="auto"/>
        </w:rPr>
      </w:pPr>
    </w:p>
    <w:p>
      <w:pPr>
        <w:ind w:left="1506" w:right="1520" w:firstLine="516"/>
        <w:spacing w:after="0" w:line="251" w:lineRule="auto"/>
        <w:rPr>
          <w:sz w:val="20"/>
          <w:szCs w:val="20"/>
          <w:color w:val="auto"/>
        </w:rPr>
      </w:pPr>
      <w:r>
        <w:rPr>
          <w:rFonts w:ascii="Arial" w:cs="Arial" w:eastAsia="Arial" w:hAnsi="Arial"/>
          <w:sz w:val="13"/>
          <w:szCs w:val="13"/>
          <w:color w:val="auto"/>
        </w:rPr>
        <w:t>A key component of our business model is our disciplined allocation of capital to the development and redevelopment of new Class A/A+ properties, and property enhancements identified during the underwriting of certain acquired properties, located in collaborative life science mega campuses in AAA innovation clusters. These projects are focused on providing high-quality, generic, and reusable spaces that meet the real estate requirements of a wide range of tenants. Upon completion, each value-creation project is expected to generate increases in rental income, net operating income, and cash flows. Our development and redevelopment projects are generally in locations that are highly desirable to high-quality entities, which we believe results in higher occupancy levels, longer lease terms, higher rental income, higher returns, and greater long-term asset value. Our pre-construction activities are undertaken in order to prepare the property for its intended use and include entitlements, permitting, design, site work, and other activities preceding commencement of construction of aboveground building improvements.</w:t>
      </w:r>
    </w:p>
    <w:p>
      <w:pPr>
        <w:spacing w:after="0" w:line="139" w:lineRule="exact"/>
        <w:rPr>
          <w:sz w:val="20"/>
          <w:szCs w:val="20"/>
          <w:color w:val="auto"/>
        </w:rPr>
      </w:pPr>
    </w:p>
    <w:p>
      <w:pPr>
        <w:ind w:left="2026"/>
        <w:spacing w:after="0"/>
        <w:rPr>
          <w:sz w:val="20"/>
          <w:szCs w:val="20"/>
          <w:color w:val="auto"/>
        </w:rPr>
      </w:pPr>
      <w:r>
        <w:rPr>
          <w:rFonts w:ascii="Arial" w:cs="Arial" w:eastAsia="Arial" w:hAnsi="Arial"/>
          <w:sz w:val="13"/>
          <w:szCs w:val="13"/>
          <w:color w:val="auto"/>
        </w:rPr>
        <w:t>Our investments in real estate consisted of the following as of June 30, 2024 (dollars in thousands):</w:t>
      </w:r>
    </w:p>
    <w:p>
      <w:pPr>
        <w:spacing w:after="0" w:line="108" w:lineRule="exact"/>
        <w:rPr>
          <w:sz w:val="20"/>
          <w:szCs w:val="20"/>
          <w:color w:val="auto"/>
        </w:rPr>
      </w:pPr>
    </w:p>
    <w:tbl>
      <w:tblPr>
        <w:tblLayout w:type="fixed"/>
        <w:tblInd w:w="1506" w:type="dxa"/>
        <w:tblCellMar>
          <w:top w:w="0" w:type="dxa"/>
          <w:left w:w="0" w:type="dxa"/>
          <w:bottom w:w="0" w:type="dxa"/>
          <w:right w:w="0" w:type="dxa"/>
        </w:tblCellMar>
      </w:tblPr>
      <w:tr>
        <w:trPr>
          <w:trHeight w:val="139"/>
        </w:trPr>
        <w:tc>
          <w:tcPr>
            <w:tcW w:w="2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100" w:type="dxa"/>
            <w:vAlign w:val="bottom"/>
            <w:tcBorders>
              <w:bottom w:val="single" w:sz="8" w:color="auto"/>
            </w:tcBorders>
            <w:gridSpan w:val="6"/>
          </w:tcPr>
          <w:p>
            <w:pPr>
              <w:ind w:left="140"/>
              <w:spacing w:after="0"/>
              <w:rPr>
                <w:sz w:val="20"/>
                <w:szCs w:val="20"/>
                <w:color w:val="auto"/>
              </w:rPr>
            </w:pPr>
            <w:r>
              <w:rPr>
                <w:rFonts w:ascii="Arial" w:cs="Arial" w:eastAsia="Arial" w:hAnsi="Arial"/>
                <w:sz w:val="11"/>
                <w:szCs w:val="11"/>
                <w:color w:val="auto"/>
              </w:rPr>
              <w:t>Development and Redevelopment</w:t>
            </w:r>
          </w:p>
        </w:tc>
        <w:tc>
          <w:tcPr>
            <w:tcW w:w="66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580" w:type="dxa"/>
            <w:vAlign w:val="bottom"/>
            <w:gridSpan w:val="5"/>
          </w:tcPr>
          <w:p>
            <w:pPr>
              <w:ind w:left="260"/>
              <w:spacing w:after="0"/>
              <w:rPr>
                <w:sz w:val="20"/>
                <w:szCs w:val="20"/>
                <w:color w:val="auto"/>
              </w:rPr>
            </w:pPr>
            <w:r>
              <w:rPr>
                <w:rFonts w:ascii="Arial" w:cs="Arial" w:eastAsia="Arial" w:hAnsi="Arial"/>
                <w:sz w:val="11"/>
                <w:szCs w:val="11"/>
                <w:color w:val="auto"/>
              </w:rPr>
              <w:t>Active and Near-Term</w:t>
            </w:r>
          </w:p>
        </w:tc>
        <w:tc>
          <w:tcPr>
            <w:tcW w:w="2100" w:type="dxa"/>
            <w:vAlign w:val="bottom"/>
            <w:gridSpan w:val="6"/>
          </w:tcPr>
          <w:p>
            <w:pPr>
              <w:ind w:left="280"/>
              <w:spacing w:after="0"/>
              <w:rPr>
                <w:sz w:val="20"/>
                <w:szCs w:val="20"/>
                <w:color w:val="auto"/>
              </w:rPr>
            </w:pPr>
            <w:r>
              <w:rPr>
                <w:rFonts w:ascii="Arial" w:cs="Arial" w:eastAsia="Arial" w:hAnsi="Arial"/>
                <w:sz w:val="11"/>
                <w:szCs w:val="11"/>
                <w:color w:val="auto"/>
              </w:rPr>
              <w:t>Future Opportunities Subject to</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40" w:type="dxa"/>
            <w:vAlign w:val="bottom"/>
            <w:tcBorders>
              <w:bottom w:val="single" w:sz="8" w:color="auto"/>
            </w:tcBorders>
            <w:gridSpan w:val="4"/>
          </w:tcPr>
          <w:p>
            <w:pPr>
              <w:jc w:val="right"/>
              <w:ind w:right="406"/>
              <w:spacing w:after="0"/>
              <w:rPr>
                <w:sz w:val="20"/>
                <w:szCs w:val="20"/>
                <w:color w:val="auto"/>
              </w:rPr>
            </w:pPr>
            <w:r>
              <w:rPr>
                <w:rFonts w:ascii="Arial" w:cs="Arial" w:eastAsia="Arial" w:hAnsi="Arial"/>
                <w:sz w:val="11"/>
                <w:szCs w:val="11"/>
                <w:color w:val="auto"/>
              </w:rPr>
              <w:t>Construction</w:t>
            </w:r>
          </w:p>
        </w:tc>
        <w:tc>
          <w:tcPr>
            <w:tcW w:w="40" w:type="dxa"/>
            <w:vAlign w:val="bottom"/>
          </w:tcPr>
          <w:p>
            <w:pPr>
              <w:spacing w:after="0"/>
              <w:rPr>
                <w:sz w:val="12"/>
                <w:szCs w:val="12"/>
                <w:color w:val="auto"/>
              </w:rPr>
            </w:pPr>
          </w:p>
        </w:tc>
        <w:tc>
          <w:tcPr>
            <w:tcW w:w="2060" w:type="dxa"/>
            <w:vAlign w:val="bottom"/>
            <w:tcBorders>
              <w:bottom w:val="single" w:sz="8" w:color="auto"/>
            </w:tcBorders>
            <w:gridSpan w:val="5"/>
          </w:tcPr>
          <w:p>
            <w:pPr>
              <w:ind w:left="300"/>
              <w:spacing w:after="0"/>
              <w:rPr>
                <w:sz w:val="20"/>
                <w:szCs w:val="20"/>
                <w:color w:val="auto"/>
              </w:rPr>
            </w:pPr>
            <w:r>
              <w:rPr>
                <w:rFonts w:ascii="Arial" w:cs="Arial" w:eastAsia="Arial" w:hAnsi="Arial"/>
                <w:sz w:val="11"/>
                <w:szCs w:val="11"/>
                <w:color w:val="auto"/>
              </w:rPr>
              <w:t>Market Conditions and Leasing</w:t>
            </w: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gridSpan w:val="2"/>
          </w:tcPr>
          <w:p>
            <w:pPr>
              <w:jc w:val="center"/>
              <w:ind w:right="40"/>
              <w:spacing w:after="0"/>
              <w:rPr>
                <w:sz w:val="20"/>
                <w:szCs w:val="20"/>
                <w:color w:val="auto"/>
              </w:rPr>
            </w:pPr>
            <w:r>
              <w:rPr>
                <w:rFonts w:ascii="Arial" w:cs="Arial" w:eastAsia="Arial" w:hAnsi="Arial"/>
                <w:sz w:val="11"/>
                <w:szCs w:val="11"/>
                <w:color w:val="auto"/>
                <w:w w:val="99"/>
              </w:rPr>
              <w:t>Under</w:t>
            </w:r>
          </w:p>
        </w:tc>
        <w:tc>
          <w:tcPr>
            <w:tcW w:w="100" w:type="dxa"/>
            <w:vAlign w:val="bottom"/>
          </w:tcPr>
          <w:p>
            <w:pPr>
              <w:spacing w:after="0"/>
              <w:rPr>
                <w:sz w:val="11"/>
                <w:szCs w:val="11"/>
                <w:color w:val="auto"/>
              </w:rPr>
            </w:pPr>
          </w:p>
        </w:tc>
        <w:tc>
          <w:tcPr>
            <w:tcW w:w="700" w:type="dxa"/>
            <w:vAlign w:val="bottom"/>
            <w:gridSpan w:val="2"/>
          </w:tcPr>
          <w:p>
            <w:pPr>
              <w:jc w:val="center"/>
              <w:ind w:right="140"/>
              <w:spacing w:after="0"/>
              <w:rPr>
                <w:sz w:val="20"/>
                <w:szCs w:val="20"/>
                <w:color w:val="auto"/>
              </w:rPr>
            </w:pPr>
            <w:r>
              <w:rPr>
                <w:rFonts w:ascii="Arial" w:cs="Arial" w:eastAsia="Arial" w:hAnsi="Arial"/>
                <w:sz w:val="11"/>
                <w:szCs w:val="11"/>
                <w:color w:val="auto"/>
                <w:w w:val="97"/>
              </w:rPr>
              <w:t>Committed</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gridSpan w:val="2"/>
          </w:tcPr>
          <w:p>
            <w:pPr>
              <w:jc w:val="center"/>
              <w:ind w:right="60"/>
              <w:spacing w:after="0" w:line="107" w:lineRule="exact"/>
              <w:rPr>
                <w:sz w:val="20"/>
                <w:szCs w:val="20"/>
                <w:color w:val="auto"/>
              </w:rPr>
            </w:pPr>
            <w:r>
              <w:rPr>
                <w:rFonts w:ascii="Arial" w:cs="Arial" w:eastAsia="Arial" w:hAnsi="Arial"/>
                <w:sz w:val="11"/>
                <w:szCs w:val="11"/>
                <w:color w:val="auto"/>
                <w:w w:val="97"/>
              </w:rPr>
              <w:t>Construction</w:t>
            </w:r>
          </w:p>
        </w:tc>
        <w:tc>
          <w:tcPr>
            <w:tcW w:w="100" w:type="dxa"/>
            <w:vAlign w:val="bottom"/>
          </w:tcPr>
          <w:p>
            <w:pPr>
              <w:spacing w:after="0"/>
              <w:rPr>
                <w:sz w:val="9"/>
                <w:szCs w:val="9"/>
                <w:color w:val="auto"/>
              </w:rPr>
            </w:pPr>
          </w:p>
        </w:tc>
        <w:tc>
          <w:tcPr>
            <w:tcW w:w="700" w:type="dxa"/>
            <w:vAlign w:val="bottom"/>
            <w:gridSpan w:val="2"/>
          </w:tcPr>
          <w:p>
            <w:pPr>
              <w:jc w:val="center"/>
              <w:ind w:right="120"/>
              <w:spacing w:after="0" w:line="107" w:lineRule="exact"/>
              <w:rPr>
                <w:sz w:val="20"/>
                <w:szCs w:val="20"/>
                <w:color w:val="auto"/>
              </w:rPr>
            </w:pPr>
            <w:r>
              <w:rPr>
                <w:rFonts w:ascii="Arial" w:cs="Arial" w:eastAsia="Arial" w:hAnsi="Arial"/>
                <w:sz w:val="11"/>
                <w:szCs w:val="11"/>
                <w:color w:val="auto"/>
                <w:w w:val="95"/>
              </w:rPr>
              <w:t>Near Term</w:t>
            </w:r>
          </w:p>
        </w:tc>
        <w:tc>
          <w:tcPr>
            <w:tcW w:w="700" w:type="dxa"/>
            <w:vAlign w:val="bottom"/>
            <w:gridSpan w:val="2"/>
            <w:vMerge w:val="restart"/>
          </w:tcPr>
          <w:p>
            <w:pPr>
              <w:jc w:val="center"/>
              <w:ind w:right="40"/>
              <w:spacing w:after="0"/>
              <w:rPr>
                <w:sz w:val="20"/>
                <w:szCs w:val="20"/>
                <w:color w:val="auto"/>
              </w:rPr>
            </w:pPr>
            <w:r>
              <w:rPr>
                <w:rFonts w:ascii="Arial" w:cs="Arial" w:eastAsia="Arial" w:hAnsi="Arial"/>
                <w:sz w:val="11"/>
                <w:szCs w:val="11"/>
                <w:color w:val="auto"/>
                <w:w w:val="99"/>
              </w:rPr>
              <w:t>Priority</w:t>
            </w: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580" w:type="dxa"/>
            <w:vAlign w:val="bottom"/>
          </w:tcPr>
          <w:p>
            <w:pPr>
              <w:spacing w:after="0"/>
              <w:rPr>
                <w:sz w:val="9"/>
                <w:szCs w:val="9"/>
                <w:color w:val="auto"/>
              </w:rPr>
            </w:pPr>
          </w:p>
        </w:tc>
        <w:tc>
          <w:tcPr>
            <w:tcW w:w="740" w:type="dxa"/>
            <w:vAlign w:val="bottom"/>
            <w:gridSpan w:val="2"/>
            <w:vMerge w:val="restart"/>
          </w:tcPr>
          <w:p>
            <w:pPr>
              <w:ind w:left="100"/>
              <w:spacing w:after="0"/>
              <w:rPr>
                <w:sz w:val="20"/>
                <w:szCs w:val="20"/>
                <w:color w:val="auto"/>
              </w:rPr>
            </w:pPr>
            <w:r>
              <w:rPr>
                <w:rFonts w:ascii="Arial" w:cs="Arial" w:eastAsia="Arial" w:hAnsi="Arial"/>
                <w:sz w:val="11"/>
                <w:szCs w:val="11"/>
                <w:color w:val="auto"/>
              </w:rPr>
              <w:t>Operating</w:t>
            </w:r>
          </w:p>
        </w:tc>
        <w:tc>
          <w:tcPr>
            <w:tcW w:w="780" w:type="dxa"/>
            <w:vAlign w:val="bottom"/>
            <w:gridSpan w:val="2"/>
          </w:tcPr>
          <w:p>
            <w:pPr>
              <w:jc w:val="center"/>
              <w:ind w:right="40"/>
              <w:spacing w:after="0" w:line="107" w:lineRule="exact"/>
              <w:rPr>
                <w:sz w:val="20"/>
                <w:szCs w:val="20"/>
                <w:color w:val="auto"/>
              </w:rPr>
            </w:pPr>
            <w:r>
              <w:rPr>
                <w:rFonts w:ascii="Arial" w:cs="Arial" w:eastAsia="Arial" w:hAnsi="Arial"/>
                <w:sz w:val="11"/>
                <w:szCs w:val="11"/>
                <w:color w:val="auto"/>
                <w:w w:val="96"/>
              </w:rPr>
              <w:t>61% Leased/</w:t>
            </w:r>
          </w:p>
        </w:tc>
        <w:tc>
          <w:tcPr>
            <w:tcW w:w="800" w:type="dxa"/>
            <w:vAlign w:val="bottom"/>
            <w:gridSpan w:val="3"/>
          </w:tcPr>
          <w:p>
            <w:pPr>
              <w:jc w:val="center"/>
              <w:ind w:right="40"/>
              <w:spacing w:after="0" w:line="107" w:lineRule="exact"/>
              <w:rPr>
                <w:sz w:val="20"/>
                <w:szCs w:val="20"/>
                <w:color w:val="auto"/>
              </w:rPr>
            </w:pPr>
            <w:r>
              <w:rPr>
                <w:rFonts w:ascii="Arial" w:cs="Arial" w:eastAsia="Arial" w:hAnsi="Arial"/>
                <w:sz w:val="11"/>
                <w:szCs w:val="11"/>
                <w:color w:val="auto"/>
                <w:w w:val="99"/>
              </w:rPr>
              <w:t>51% Leased/</w:t>
            </w:r>
          </w:p>
        </w:tc>
        <w:tc>
          <w:tcPr>
            <w:tcW w:w="700" w:type="dxa"/>
            <w:vAlign w:val="bottom"/>
            <w:gridSpan w:val="2"/>
            <w:vMerge w:val="continue"/>
          </w:tcPr>
          <w:p>
            <w:pPr>
              <w:spacing w:after="0"/>
              <w:rPr>
                <w:sz w:val="9"/>
                <w:szCs w:val="9"/>
                <w:color w:val="auto"/>
              </w:rPr>
            </w:pPr>
          </w:p>
        </w:tc>
        <w:tc>
          <w:tcPr>
            <w:tcW w:w="700" w:type="dxa"/>
            <w:vAlign w:val="bottom"/>
            <w:gridSpan w:val="2"/>
            <w:vMerge w:val="restart"/>
          </w:tcPr>
          <w:p>
            <w:pPr>
              <w:ind w:left="160"/>
              <w:spacing w:after="0"/>
              <w:rPr>
                <w:sz w:val="20"/>
                <w:szCs w:val="20"/>
                <w:color w:val="auto"/>
              </w:rPr>
            </w:pPr>
            <w:r>
              <w:rPr>
                <w:rFonts w:ascii="Arial" w:cs="Arial" w:eastAsia="Arial" w:hAnsi="Arial"/>
                <w:sz w:val="11"/>
                <w:szCs w:val="11"/>
                <w:color w:val="auto"/>
              </w:rPr>
              <w:t>Future</w:t>
            </w:r>
          </w:p>
        </w:tc>
        <w:tc>
          <w:tcPr>
            <w:tcW w:w="700" w:type="dxa"/>
            <w:vAlign w:val="bottom"/>
            <w:gridSpan w:val="2"/>
            <w:vMerge w:val="restart"/>
          </w:tcPr>
          <w:p>
            <w:pPr>
              <w:ind w:left="120"/>
              <w:spacing w:after="0"/>
              <w:rPr>
                <w:sz w:val="20"/>
                <w:szCs w:val="20"/>
                <w:color w:val="auto"/>
              </w:rPr>
            </w:pPr>
            <w:r>
              <w:rPr>
                <w:rFonts w:ascii="Arial" w:cs="Arial" w:eastAsia="Arial" w:hAnsi="Arial"/>
                <w:sz w:val="11"/>
                <w:szCs w:val="11"/>
                <w:color w:val="auto"/>
              </w:rPr>
              <w:t>Subtotal</w:t>
            </w:r>
          </w:p>
        </w:tc>
        <w:tc>
          <w:tcPr>
            <w:tcW w:w="720" w:type="dxa"/>
            <w:vAlign w:val="bottom"/>
            <w:vMerge w:val="restart"/>
          </w:tcPr>
          <w:p>
            <w:pPr>
              <w:jc w:val="right"/>
              <w:ind w:right="186"/>
              <w:spacing w:after="0"/>
              <w:rPr>
                <w:sz w:val="20"/>
                <w:szCs w:val="20"/>
                <w:color w:val="auto"/>
              </w:rPr>
            </w:pPr>
            <w:r>
              <w:rPr>
                <w:rFonts w:ascii="Arial" w:cs="Arial" w:eastAsia="Arial" w:hAnsi="Arial"/>
                <w:sz w:val="11"/>
                <w:szCs w:val="11"/>
                <w:color w:val="auto"/>
              </w:rPr>
              <w:t>Total</w:t>
            </w:r>
          </w:p>
        </w:tc>
        <w:tc>
          <w:tcPr>
            <w:tcW w:w="0" w:type="dxa"/>
            <w:vAlign w:val="bottom"/>
          </w:tcPr>
          <w:p>
            <w:pPr>
              <w:spacing w:after="0"/>
              <w:rPr>
                <w:sz w:val="1"/>
                <w:szCs w:val="1"/>
                <w:color w:val="auto"/>
              </w:rPr>
            </w:pPr>
          </w:p>
        </w:tc>
      </w:tr>
      <w:tr>
        <w:trPr>
          <w:trHeight w:val="140"/>
        </w:trPr>
        <w:tc>
          <w:tcPr>
            <w:tcW w:w="258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780" w:type="dxa"/>
            <w:vAlign w:val="bottom"/>
            <w:gridSpan w:val="2"/>
          </w:tcPr>
          <w:p>
            <w:pPr>
              <w:jc w:val="center"/>
              <w:ind w:right="40"/>
              <w:spacing w:after="0"/>
              <w:rPr>
                <w:sz w:val="20"/>
                <w:szCs w:val="20"/>
                <w:color w:val="auto"/>
              </w:rPr>
            </w:pPr>
            <w:r>
              <w:rPr>
                <w:rFonts w:ascii="Arial" w:cs="Arial" w:eastAsia="Arial" w:hAnsi="Arial"/>
                <w:sz w:val="11"/>
                <w:szCs w:val="11"/>
                <w:color w:val="auto"/>
                <w:w w:val="96"/>
              </w:rPr>
              <w:t>Negotiating</w:t>
            </w:r>
          </w:p>
        </w:tc>
        <w:tc>
          <w:tcPr>
            <w:tcW w:w="800" w:type="dxa"/>
            <w:vAlign w:val="bottom"/>
            <w:gridSpan w:val="3"/>
          </w:tcPr>
          <w:p>
            <w:pPr>
              <w:jc w:val="center"/>
              <w:ind w:right="40"/>
              <w:spacing w:after="0" w:line="140" w:lineRule="exact"/>
              <w:rPr>
                <w:sz w:val="20"/>
                <w:szCs w:val="20"/>
                <w:color w:val="auto"/>
              </w:rPr>
            </w:pPr>
            <w:r>
              <w:rPr>
                <w:rFonts w:ascii="Arial" w:cs="Arial" w:eastAsia="Arial" w:hAnsi="Arial"/>
                <w:sz w:val="11"/>
                <w:szCs w:val="11"/>
                <w:color w:val="auto"/>
                <w:w w:val="96"/>
              </w:rPr>
              <w:t>Negotiating</w:t>
            </w:r>
            <w:r>
              <w:rPr>
                <w:rFonts w:ascii="Arial" w:cs="Arial" w:eastAsia="Arial" w:hAnsi="Arial"/>
                <w:sz w:val="13"/>
                <w:szCs w:val="13"/>
                <w:color w:val="auto"/>
                <w:w w:val="96"/>
                <w:vertAlign w:val="superscript"/>
              </w:rPr>
              <w:t>(1)</w:t>
            </w:r>
          </w:p>
        </w:tc>
        <w:tc>
          <w:tcPr>
            <w:tcW w:w="700" w:type="dxa"/>
            <w:vAlign w:val="bottom"/>
            <w:gridSpan w:val="2"/>
          </w:tcPr>
          <w:p>
            <w:pPr>
              <w:jc w:val="center"/>
              <w:ind w:right="40"/>
              <w:spacing w:after="0"/>
              <w:rPr>
                <w:sz w:val="20"/>
                <w:szCs w:val="20"/>
                <w:color w:val="auto"/>
              </w:rPr>
            </w:pPr>
            <w:r>
              <w:rPr>
                <w:rFonts w:ascii="Arial" w:cs="Arial" w:eastAsia="Arial" w:hAnsi="Arial"/>
                <w:sz w:val="11"/>
                <w:szCs w:val="11"/>
                <w:color w:val="auto"/>
                <w:w w:val="99"/>
              </w:rPr>
              <w:t>Anticipated</w:t>
            </w:r>
          </w:p>
        </w:tc>
        <w:tc>
          <w:tcPr>
            <w:tcW w:w="700" w:type="dxa"/>
            <w:vAlign w:val="bottom"/>
            <w:gridSpan w:val="2"/>
            <w:vMerge w:val="continue"/>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5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1"/>
                <w:szCs w:val="11"/>
                <w:b w:val="1"/>
                <w:bCs w:val="1"/>
                <w:color w:val="auto"/>
              </w:rPr>
              <w:t>Square footage</w:t>
            </w:r>
          </w:p>
        </w:tc>
        <w:tc>
          <w:tcPr>
            <w:tcW w:w="70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580" w:type="dxa"/>
            <w:vAlign w:val="bottom"/>
          </w:tcPr>
          <w:p>
            <w:pPr>
              <w:ind w:left="120"/>
              <w:spacing w:after="0"/>
              <w:rPr>
                <w:sz w:val="20"/>
                <w:szCs w:val="20"/>
                <w:color w:val="auto"/>
              </w:rPr>
            </w:pPr>
            <w:r>
              <w:rPr>
                <w:rFonts w:ascii="Arial" w:cs="Arial" w:eastAsia="Arial" w:hAnsi="Arial"/>
                <w:sz w:val="11"/>
                <w:szCs w:val="11"/>
                <w:color w:val="auto"/>
              </w:rPr>
              <w:t>Operating</w:t>
            </w: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41,336,956</w:t>
            </w:r>
          </w:p>
        </w:tc>
        <w:tc>
          <w:tcPr>
            <w:tcW w:w="40" w:type="dxa"/>
            <w:vAlign w:val="bottom"/>
          </w:tcPr>
          <w:p>
            <w:pPr>
              <w:spacing w:after="0"/>
              <w:rPr>
                <w:sz w:val="15"/>
                <w:szCs w:val="15"/>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41,336,956</w:t>
            </w:r>
          </w:p>
        </w:tc>
        <w:tc>
          <w:tcPr>
            <w:tcW w:w="0" w:type="dxa"/>
            <w:vAlign w:val="bottom"/>
          </w:tcPr>
          <w:p>
            <w:pPr>
              <w:spacing w:after="0"/>
              <w:rPr>
                <w:sz w:val="1"/>
                <w:szCs w:val="1"/>
                <w:color w:val="auto"/>
              </w:rPr>
            </w:pPr>
          </w:p>
        </w:tc>
      </w:tr>
      <w:tr>
        <w:trPr>
          <w:trHeight w:val="151"/>
        </w:trPr>
        <w:tc>
          <w:tcPr>
            <w:tcW w:w="2580" w:type="dxa"/>
            <w:vAlign w:val="bottom"/>
            <w:shd w:val="clear" w:color="auto" w:fill="CCEEFF"/>
          </w:tcPr>
          <w:p>
            <w:pPr>
              <w:ind w:left="120"/>
              <w:spacing w:after="0"/>
              <w:rPr>
                <w:sz w:val="20"/>
                <w:szCs w:val="20"/>
                <w:color w:val="auto"/>
              </w:rPr>
            </w:pPr>
            <w:r>
              <w:rPr>
                <w:rFonts w:ascii="Arial" w:cs="Arial" w:eastAsia="Arial" w:hAnsi="Arial"/>
                <w:sz w:val="11"/>
                <w:szCs w:val="11"/>
                <w:color w:val="auto"/>
              </w:rPr>
              <w:t>New Class A/A+ development and</w:t>
            </w:r>
          </w:p>
        </w:tc>
        <w:tc>
          <w:tcPr>
            <w:tcW w:w="7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4,940,345</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492,570</w:t>
            </w:r>
          </w:p>
        </w:tc>
        <w:tc>
          <w:tcPr>
            <w:tcW w:w="4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2,670,922</w:t>
            </w:r>
          </w:p>
        </w:tc>
        <w:tc>
          <w:tcPr>
            <w:tcW w:w="4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27,261,766</w:t>
            </w:r>
          </w:p>
        </w:tc>
        <w:tc>
          <w:tcPr>
            <w:tcW w:w="6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35,365,603</w:t>
            </w:r>
          </w:p>
        </w:tc>
        <w:tc>
          <w:tcPr>
            <w:tcW w:w="4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35,365,603</w:t>
            </w:r>
          </w:p>
        </w:tc>
        <w:tc>
          <w:tcPr>
            <w:tcW w:w="0" w:type="dxa"/>
            <w:vAlign w:val="bottom"/>
          </w:tcPr>
          <w:p>
            <w:pPr>
              <w:spacing w:after="0"/>
              <w:rPr>
                <w:sz w:val="1"/>
                <w:szCs w:val="1"/>
                <w:color w:val="auto"/>
              </w:rPr>
            </w:pPr>
          </w:p>
        </w:tc>
      </w:tr>
      <w:tr>
        <w:trPr>
          <w:trHeight w:val="139"/>
        </w:trPr>
        <w:tc>
          <w:tcPr>
            <w:tcW w:w="2580" w:type="dxa"/>
            <w:vAlign w:val="bottom"/>
            <w:shd w:val="clear" w:color="auto" w:fill="CCEEFF"/>
          </w:tcPr>
          <w:p>
            <w:pPr>
              <w:ind w:left="260"/>
              <w:spacing w:after="0"/>
              <w:rPr>
                <w:sz w:val="20"/>
                <w:szCs w:val="20"/>
                <w:color w:val="auto"/>
              </w:rPr>
            </w:pPr>
            <w:r>
              <w:rPr>
                <w:rFonts w:ascii="Arial" w:cs="Arial" w:eastAsia="Arial" w:hAnsi="Arial"/>
                <w:sz w:val="11"/>
                <w:szCs w:val="11"/>
                <w:color w:val="auto"/>
              </w:rPr>
              <w:t>redevelopment properties</w:t>
            </w:r>
          </w:p>
        </w:tc>
        <w:tc>
          <w:tcPr>
            <w:tcW w:w="740" w:type="dxa"/>
            <w:vAlign w:val="bottom"/>
            <w:gridSpan w:val="2"/>
            <w:vMerge w:val="continue"/>
            <w:shd w:val="clear" w:color="auto" w:fill="CCEEFF"/>
          </w:tcPr>
          <w:p>
            <w:pPr>
              <w:spacing w:after="0"/>
              <w:rPr>
                <w:sz w:val="12"/>
                <w:szCs w:val="12"/>
                <w:color w:val="auto"/>
              </w:rPr>
            </w:pPr>
          </w:p>
        </w:tc>
        <w:tc>
          <w:tcPr>
            <w:tcW w:w="72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60" w:type="dxa"/>
            <w:vAlign w:val="bottom"/>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2580" w:type="dxa"/>
            <w:vAlign w:val="bottom"/>
          </w:tcPr>
          <w:p>
            <w:pPr>
              <w:ind w:left="120"/>
              <w:spacing w:after="0"/>
              <w:rPr>
                <w:sz w:val="20"/>
                <w:szCs w:val="20"/>
                <w:color w:val="auto"/>
              </w:rPr>
            </w:pPr>
            <w:r>
              <w:rPr>
                <w:rFonts w:ascii="Arial" w:cs="Arial" w:eastAsia="Arial" w:hAnsi="Arial"/>
                <w:sz w:val="11"/>
                <w:szCs w:val="11"/>
                <w:color w:val="auto"/>
              </w:rPr>
              <w:t>Value-creation square feet currently included in</w:t>
            </w:r>
          </w:p>
        </w:tc>
        <w:tc>
          <w:tcPr>
            <w:tcW w:w="74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w:t>
            </w:r>
          </w:p>
        </w:tc>
        <w:tc>
          <w:tcPr>
            <w:tcW w:w="78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Arial" w:cs="Arial" w:eastAsia="Arial" w:hAnsi="Arial"/>
                <w:sz w:val="11"/>
                <w:szCs w:val="11"/>
                <w:color w:val="auto"/>
              </w:rPr>
              <w:t>(159,884)</w:t>
            </w:r>
          </w:p>
        </w:tc>
        <w:tc>
          <w:tcPr>
            <w:tcW w:w="4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Arial" w:cs="Arial" w:eastAsia="Arial" w:hAnsi="Arial"/>
                <w:sz w:val="11"/>
                <w:szCs w:val="11"/>
                <w:color w:val="auto"/>
              </w:rPr>
              <w:t>(309,148)</w:t>
            </w:r>
          </w:p>
        </w:tc>
        <w:tc>
          <w:tcPr>
            <w:tcW w:w="4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1"/>
                <w:szCs w:val="11"/>
                <w:color w:val="auto"/>
              </w:rPr>
              <w:t>(2,938,815)</w:t>
            </w:r>
          </w:p>
        </w:tc>
        <w:tc>
          <w:tcPr>
            <w:tcW w:w="6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Arial" w:cs="Arial" w:eastAsia="Arial" w:hAnsi="Arial"/>
                <w:sz w:val="11"/>
                <w:szCs w:val="11"/>
                <w:color w:val="auto"/>
              </w:rPr>
              <w:t>(3,407,847)</w:t>
            </w:r>
          </w:p>
        </w:tc>
        <w:tc>
          <w:tcPr>
            <w:tcW w:w="4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1"/>
                <w:szCs w:val="11"/>
                <w:color w:val="auto"/>
              </w:rPr>
              <w:t>(3,407,847)</w:t>
            </w:r>
          </w:p>
        </w:tc>
        <w:tc>
          <w:tcPr>
            <w:tcW w:w="0" w:type="dxa"/>
            <w:vAlign w:val="bottom"/>
          </w:tcPr>
          <w:p>
            <w:pPr>
              <w:spacing w:after="0"/>
              <w:rPr>
                <w:sz w:val="1"/>
                <w:szCs w:val="1"/>
                <w:color w:val="auto"/>
              </w:rPr>
            </w:pPr>
          </w:p>
        </w:tc>
      </w:tr>
      <w:tr>
        <w:trPr>
          <w:trHeight w:val="140"/>
        </w:trPr>
        <w:tc>
          <w:tcPr>
            <w:tcW w:w="2580" w:type="dxa"/>
            <w:vAlign w:val="bottom"/>
          </w:tcPr>
          <w:p>
            <w:pPr>
              <w:ind w:left="260"/>
              <w:spacing w:after="0" w:line="140" w:lineRule="exact"/>
              <w:rPr>
                <w:sz w:val="20"/>
                <w:szCs w:val="20"/>
                <w:color w:val="auto"/>
              </w:rPr>
            </w:pPr>
            <w:r>
              <w:rPr>
                <w:rFonts w:ascii="Arial" w:cs="Arial" w:eastAsia="Arial" w:hAnsi="Arial"/>
                <w:sz w:val="11"/>
                <w:szCs w:val="11"/>
                <w:color w:val="auto"/>
              </w:rPr>
              <w:t>rental properties</w:t>
            </w:r>
            <w:r>
              <w:rPr>
                <w:rFonts w:ascii="Arial" w:cs="Arial" w:eastAsia="Arial" w:hAnsi="Arial"/>
                <w:sz w:val="13"/>
                <w:szCs w:val="13"/>
                <w:color w:val="auto"/>
                <w:vertAlign w:val="superscript"/>
              </w:rPr>
              <w:t>(2)</w:t>
            </w:r>
          </w:p>
        </w:tc>
        <w:tc>
          <w:tcPr>
            <w:tcW w:w="74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5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Total square footage, excluding properties held for</w:t>
            </w:r>
          </w:p>
        </w:tc>
        <w:tc>
          <w:tcPr>
            <w:tcW w:w="700" w:type="dxa"/>
            <w:vAlign w:val="bottom"/>
            <w:tcBorders>
              <w:top w:val="single" w:sz="8" w:color="auto"/>
            </w:tcBorders>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41,336,956</w:t>
            </w:r>
          </w:p>
        </w:tc>
        <w:tc>
          <w:tcPr>
            <w:tcW w:w="4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1"/>
                <w:szCs w:val="11"/>
                <w:color w:val="auto"/>
              </w:rPr>
              <w:t>4,940,345</w:t>
            </w: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1"/>
                <w:szCs w:val="11"/>
                <w:color w:val="auto"/>
              </w:rPr>
              <w:t>332,686</w:t>
            </w:r>
          </w:p>
        </w:tc>
        <w:tc>
          <w:tcPr>
            <w:tcW w:w="4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2,361,774</w:t>
            </w:r>
          </w:p>
        </w:tc>
        <w:tc>
          <w:tcPr>
            <w:tcW w:w="4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1"/>
                <w:szCs w:val="11"/>
                <w:color w:val="auto"/>
              </w:rPr>
              <w:t>24,322,951</w:t>
            </w:r>
          </w:p>
        </w:tc>
        <w:tc>
          <w:tcPr>
            <w:tcW w:w="6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1"/>
                <w:szCs w:val="11"/>
                <w:color w:val="auto"/>
              </w:rPr>
              <w:t>31,957,756</w:t>
            </w:r>
          </w:p>
        </w:tc>
        <w:tc>
          <w:tcPr>
            <w:tcW w:w="4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1"/>
                <w:szCs w:val="11"/>
                <w:color w:val="auto"/>
              </w:rPr>
              <w:t>73,294,712</w:t>
            </w:r>
          </w:p>
        </w:tc>
        <w:tc>
          <w:tcPr>
            <w:tcW w:w="0" w:type="dxa"/>
            <w:vAlign w:val="bottom"/>
          </w:tcPr>
          <w:p>
            <w:pPr>
              <w:spacing w:after="0"/>
              <w:rPr>
                <w:sz w:val="1"/>
                <w:szCs w:val="1"/>
                <w:color w:val="auto"/>
              </w:rPr>
            </w:pPr>
          </w:p>
        </w:tc>
      </w:tr>
      <w:tr>
        <w:trPr>
          <w:trHeight w:val="139"/>
        </w:trPr>
        <w:tc>
          <w:tcPr>
            <w:tcW w:w="2580" w:type="dxa"/>
            <w:vAlign w:val="bottom"/>
            <w:shd w:val="clear" w:color="auto" w:fill="CCEEFF"/>
          </w:tcPr>
          <w:p>
            <w:pPr>
              <w:ind w:left="180"/>
              <w:spacing w:after="0"/>
              <w:rPr>
                <w:sz w:val="20"/>
                <w:szCs w:val="20"/>
                <w:color w:val="auto"/>
              </w:rPr>
            </w:pPr>
            <w:r>
              <w:rPr>
                <w:rFonts w:ascii="Arial" w:cs="Arial" w:eastAsia="Arial" w:hAnsi="Arial"/>
                <w:sz w:val="11"/>
                <w:szCs w:val="11"/>
                <w:color w:val="auto"/>
              </w:rPr>
              <w:t>sale</w:t>
            </w:r>
          </w:p>
        </w:tc>
        <w:tc>
          <w:tcPr>
            <w:tcW w:w="700" w:type="dxa"/>
            <w:vAlign w:val="bottom"/>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60" w:type="dxa"/>
            <w:vAlign w:val="bottom"/>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5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580" w:type="dxa"/>
            <w:vAlign w:val="bottom"/>
            <w:shd w:val="clear" w:color="auto" w:fill="CCEEFF"/>
          </w:tcPr>
          <w:p>
            <w:pPr>
              <w:ind w:left="180"/>
              <w:spacing w:after="0"/>
              <w:rPr>
                <w:sz w:val="20"/>
                <w:szCs w:val="20"/>
                <w:color w:val="auto"/>
              </w:rPr>
            </w:pPr>
            <w:r>
              <w:rPr>
                <w:rFonts w:ascii="Arial" w:cs="Arial" w:eastAsia="Arial" w:hAnsi="Arial"/>
                <w:sz w:val="11"/>
                <w:szCs w:val="11"/>
                <w:color w:val="auto"/>
              </w:rPr>
              <w:t>Properties held for sale</w:t>
            </w:r>
          </w:p>
        </w:tc>
        <w:tc>
          <w:tcPr>
            <w:tcW w:w="7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808,692</w:t>
            </w:r>
          </w:p>
        </w:tc>
        <w:tc>
          <w:tcPr>
            <w:tcW w:w="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808,692</w:t>
            </w:r>
          </w:p>
        </w:tc>
        <w:tc>
          <w:tcPr>
            <w:tcW w:w="0" w:type="dxa"/>
            <w:vAlign w:val="bottom"/>
          </w:tcPr>
          <w:p>
            <w:pPr>
              <w:spacing w:after="0"/>
              <w:rPr>
                <w:sz w:val="1"/>
                <w:szCs w:val="1"/>
                <w:color w:val="auto"/>
              </w:rPr>
            </w:pPr>
          </w:p>
        </w:tc>
      </w:tr>
      <w:tr>
        <w:trPr>
          <w:trHeight w:val="141"/>
        </w:trPr>
        <w:tc>
          <w:tcPr>
            <w:tcW w:w="2580" w:type="dxa"/>
            <w:vAlign w:val="bottom"/>
          </w:tcPr>
          <w:p>
            <w:pPr>
              <w:ind w:left="60"/>
              <w:spacing w:after="0"/>
              <w:rPr>
                <w:sz w:val="20"/>
                <w:szCs w:val="20"/>
                <w:color w:val="auto"/>
              </w:rPr>
            </w:pPr>
            <w:r>
              <w:rPr>
                <w:rFonts w:ascii="Arial" w:cs="Arial" w:eastAsia="Arial" w:hAnsi="Arial"/>
                <w:sz w:val="11"/>
                <w:szCs w:val="11"/>
                <w:color w:val="auto"/>
              </w:rPr>
              <w:t>Total square footage</w:t>
            </w:r>
          </w:p>
        </w:tc>
        <w:tc>
          <w:tcPr>
            <w:tcW w:w="70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42,145,648</w:t>
            </w:r>
          </w:p>
        </w:tc>
        <w:tc>
          <w:tcPr>
            <w:tcW w:w="4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4,940,345</w:t>
            </w:r>
          </w:p>
        </w:tc>
        <w:tc>
          <w:tcPr>
            <w:tcW w:w="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332,686</w:t>
            </w:r>
          </w:p>
        </w:tc>
        <w:tc>
          <w:tcPr>
            <w:tcW w:w="4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2,361,774</w:t>
            </w:r>
          </w:p>
        </w:tc>
        <w:tc>
          <w:tcPr>
            <w:tcW w:w="4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24,322,951</w:t>
            </w:r>
          </w:p>
        </w:tc>
        <w:tc>
          <w:tcPr>
            <w:tcW w:w="6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31,957,756</w:t>
            </w:r>
          </w:p>
        </w:tc>
        <w:tc>
          <w:tcPr>
            <w:tcW w:w="4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74,103,404</w:t>
            </w:r>
          </w:p>
        </w:tc>
        <w:tc>
          <w:tcPr>
            <w:tcW w:w="0" w:type="dxa"/>
            <w:vAlign w:val="bottom"/>
          </w:tcPr>
          <w:p>
            <w:pPr>
              <w:spacing w:after="0"/>
              <w:rPr>
                <w:sz w:val="1"/>
                <w:szCs w:val="1"/>
                <w:color w:val="auto"/>
              </w:rPr>
            </w:pPr>
          </w:p>
        </w:tc>
      </w:tr>
      <w:tr>
        <w:trPr>
          <w:trHeight w:val="20"/>
        </w:trPr>
        <w:tc>
          <w:tcPr>
            <w:tcW w:w="25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25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580" w:type="dxa"/>
            <w:vAlign w:val="bottom"/>
          </w:tcPr>
          <w:p>
            <w:pPr>
              <w:ind w:left="40"/>
              <w:spacing w:after="0"/>
              <w:rPr>
                <w:sz w:val="20"/>
                <w:szCs w:val="20"/>
                <w:color w:val="auto"/>
              </w:rPr>
            </w:pPr>
            <w:r>
              <w:rPr>
                <w:rFonts w:ascii="Arial" w:cs="Arial" w:eastAsia="Arial" w:hAnsi="Arial"/>
                <w:sz w:val="11"/>
                <w:szCs w:val="11"/>
                <w:b w:val="1"/>
                <w:bCs w:val="1"/>
                <w:color w:val="auto"/>
              </w:rPr>
              <w:t>Investments in real estate</w:t>
            </w: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5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1"/>
                <w:szCs w:val="11"/>
                <w:color w:val="auto"/>
              </w:rPr>
              <w:t>Gross book value as of June 30, 2024</w:t>
            </w:r>
            <w:r>
              <w:rPr>
                <w:rFonts w:ascii="Arial" w:cs="Arial" w:eastAsia="Arial" w:hAnsi="Arial"/>
                <w:sz w:val="13"/>
                <w:szCs w:val="13"/>
                <w:color w:val="auto"/>
                <w:vertAlign w:val="superscript"/>
              </w:rPr>
              <w:t>(3)</w:t>
            </w:r>
          </w:p>
        </w:tc>
        <w:tc>
          <w:tcPr>
            <w:tcW w:w="7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w w:val="96"/>
              </w:rPr>
              <w:t>$ 29,178,679</w:t>
            </w:r>
          </w:p>
        </w:tc>
        <w:tc>
          <w:tcPr>
            <w:tcW w:w="4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  3,888,714</w:t>
            </w:r>
          </w:p>
        </w:tc>
        <w:tc>
          <w:tcPr>
            <w:tcW w:w="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58,751</w:t>
            </w:r>
          </w:p>
        </w:tc>
        <w:tc>
          <w:tcPr>
            <w:tcW w:w="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  762,507</w:t>
            </w:r>
          </w:p>
        </w:tc>
        <w:tc>
          <w:tcPr>
            <w:tcW w:w="4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9"/>
              </w:rPr>
              <w:t>$ 4,242,602</w:t>
            </w:r>
          </w:p>
        </w:tc>
        <w:tc>
          <w:tcPr>
            <w:tcW w:w="6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$ 8,952,574</w:t>
            </w:r>
          </w:p>
        </w:tc>
        <w:tc>
          <w:tcPr>
            <w:tcW w:w="4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$ 38,131,253</w:t>
            </w:r>
          </w:p>
        </w:tc>
        <w:tc>
          <w:tcPr>
            <w:tcW w:w="0" w:type="dxa"/>
            <w:vAlign w:val="bottom"/>
          </w:tcPr>
          <w:p>
            <w:pPr>
              <w:spacing w:after="0"/>
              <w:rPr>
                <w:sz w:val="1"/>
                <w:szCs w:val="1"/>
                <w:color w:val="auto"/>
              </w:rPr>
            </w:pP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2" w:lineRule="exact"/>
        <w:rPr>
          <w:sz w:val="20"/>
          <w:szCs w:val="20"/>
          <w:color w:val="auto"/>
        </w:rPr>
      </w:pPr>
    </w:p>
    <w:p>
      <w:pPr>
        <w:ind w:left="1766" w:hanging="262"/>
        <w:spacing w:after="0"/>
        <w:tabs>
          <w:tab w:leader="none" w:pos="1766" w:val="left"/>
        </w:tabs>
        <w:numPr>
          <w:ilvl w:val="0"/>
          <w:numId w:val="81"/>
        </w:numPr>
        <w:rPr>
          <w:rFonts w:ascii="Arial" w:cs="Arial" w:eastAsia="Arial" w:hAnsi="Arial"/>
          <w:sz w:val="10"/>
          <w:szCs w:val="10"/>
          <w:color w:val="auto"/>
        </w:rPr>
      </w:pPr>
      <w:r>
        <w:rPr>
          <w:rFonts w:ascii="Arial" w:cs="Arial" w:eastAsia="Arial" w:hAnsi="Arial"/>
          <w:sz w:val="10"/>
          <w:szCs w:val="10"/>
          <w:color w:val="auto"/>
        </w:rPr>
        <w:t>Represents one committed near-term project expected to commence construction during the next two years after June 30, 2024.</w:t>
      </w:r>
    </w:p>
    <w:p>
      <w:pPr>
        <w:spacing w:after="0" w:line="13" w:lineRule="exact"/>
        <w:rPr>
          <w:rFonts w:ascii="Arial" w:cs="Arial" w:eastAsia="Arial" w:hAnsi="Arial"/>
          <w:sz w:val="10"/>
          <w:szCs w:val="10"/>
          <w:color w:val="auto"/>
        </w:rPr>
      </w:pPr>
    </w:p>
    <w:p>
      <w:pPr>
        <w:ind w:left="1766" w:right="1540" w:hanging="262"/>
        <w:spacing w:after="0" w:line="251" w:lineRule="auto"/>
        <w:tabs>
          <w:tab w:leader="none" w:pos="1766" w:val="left"/>
        </w:tabs>
        <w:numPr>
          <w:ilvl w:val="0"/>
          <w:numId w:val="81"/>
        </w:numPr>
        <w:rPr>
          <w:rFonts w:ascii="Arial" w:cs="Arial" w:eastAsia="Arial" w:hAnsi="Arial"/>
          <w:sz w:val="10"/>
          <w:szCs w:val="10"/>
          <w:color w:val="auto"/>
        </w:rPr>
      </w:pPr>
      <w:r>
        <w:rPr>
          <w:rFonts w:ascii="Arial" w:cs="Arial" w:eastAsia="Arial" w:hAnsi="Arial"/>
          <w:sz w:val="10"/>
          <w:szCs w:val="10"/>
          <w:color w:val="auto"/>
        </w:rPr>
        <w:t>Refer to “Investments in real estate” under “Definitions and reconciliations” in Item 2 for additional details, including value-creation square feet currently included in rental properties.</w:t>
      </w:r>
    </w:p>
    <w:p>
      <w:pPr>
        <w:ind w:left="1766" w:right="1540" w:hanging="262"/>
        <w:spacing w:after="0" w:line="275" w:lineRule="auto"/>
        <w:tabs>
          <w:tab w:leader="none" w:pos="1766" w:val="left"/>
        </w:tabs>
        <w:numPr>
          <w:ilvl w:val="0"/>
          <w:numId w:val="81"/>
        </w:numPr>
        <w:rPr>
          <w:rFonts w:ascii="Arial" w:cs="Arial" w:eastAsia="Arial" w:hAnsi="Arial"/>
          <w:sz w:val="10"/>
          <w:szCs w:val="10"/>
          <w:color w:val="auto"/>
        </w:rPr>
      </w:pPr>
      <w:r>
        <w:rPr>
          <w:rFonts w:ascii="Arial" w:cs="Arial" w:eastAsia="Arial" w:hAnsi="Arial"/>
          <w:sz w:val="10"/>
          <w:szCs w:val="10"/>
          <w:color w:val="auto"/>
        </w:rPr>
        <w:t>Balances exclude accumulated depreciation and our share of the cost basis associated with our properties held by our unconsolidated real estate joint ventures, which is classified as investments in unconsolidated real estate joint ventures in our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34"/>
        <w:spacing w:after="0"/>
        <w:rPr>
          <w:sz w:val="20"/>
          <w:szCs w:val="20"/>
          <w:color w:val="auto"/>
        </w:rPr>
      </w:pPr>
      <w:r>
        <w:rPr>
          <w:rFonts w:ascii="Arial" w:cs="Arial" w:eastAsia="Arial" w:hAnsi="Arial"/>
          <w:sz w:val="13"/>
          <w:szCs w:val="13"/>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188595</wp:posOffset>
            </wp:positionV>
            <wp:extent cx="7212965" cy="25736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12965" cy="2573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6"/>
        <w:spacing w:after="0"/>
        <w:rPr>
          <w:sz w:val="20"/>
          <w:szCs w:val="20"/>
          <w:color w:val="auto"/>
        </w:rPr>
      </w:pPr>
      <w:r>
        <w:rPr>
          <w:rFonts w:ascii="Arial" w:cs="Arial" w:eastAsia="Arial" w:hAnsi="Arial"/>
          <w:sz w:val="13"/>
          <w:szCs w:val="13"/>
          <w:u w:val="single" w:color="auto"/>
          <w:color w:val="auto"/>
        </w:rPr>
        <w:t>Acquisitions</w:t>
      </w:r>
    </w:p>
    <w:p>
      <w:pPr>
        <w:spacing w:after="0" w:line="119" w:lineRule="exact"/>
        <w:rPr>
          <w:sz w:val="20"/>
          <w:szCs w:val="20"/>
          <w:color w:val="auto"/>
        </w:rPr>
      </w:pPr>
    </w:p>
    <w:p>
      <w:pPr>
        <w:ind w:left="506"/>
        <w:spacing w:after="0"/>
        <w:rPr>
          <w:sz w:val="20"/>
          <w:szCs w:val="20"/>
          <w:color w:val="auto"/>
        </w:rPr>
      </w:pPr>
      <w:r>
        <w:rPr>
          <w:rFonts w:ascii="Arial" w:cs="Arial" w:eastAsia="Arial" w:hAnsi="Arial"/>
          <w:sz w:val="13"/>
          <w:szCs w:val="13"/>
          <w:color w:val="auto"/>
        </w:rPr>
        <w:t>Our real estate asset acquisitions during the six months ended June 30, 2024 and pending as of the date of this report consisted of the following (dollars in thousands):</w:t>
      </w:r>
    </w:p>
    <w:p>
      <w:pPr>
        <w:spacing w:after="0" w:line="61" w:lineRule="exact"/>
        <w:rPr>
          <w:sz w:val="20"/>
          <w:szCs w:val="20"/>
          <w:color w:val="auto"/>
        </w:rPr>
      </w:pPr>
    </w:p>
    <w:tbl>
      <w:tblPr>
        <w:tblLayout w:type="fixed"/>
        <w:tblInd w:w="66" w:type="dxa"/>
        <w:tblCellMar>
          <w:top w:w="0" w:type="dxa"/>
          <w:left w:w="0" w:type="dxa"/>
          <w:bottom w:w="0" w:type="dxa"/>
          <w:right w:w="0" w:type="dxa"/>
        </w:tblCellMar>
      </w:tblPr>
      <w:tr>
        <w:trPr>
          <w:trHeight w:val="126"/>
        </w:trPr>
        <w:tc>
          <w:tcPr>
            <w:tcW w:w="424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gridSpan w:val="2"/>
            <w:vMerge w:val="restart"/>
          </w:tcPr>
          <w:p>
            <w:pPr>
              <w:jc w:val="center"/>
              <w:ind w:right="60"/>
              <w:spacing w:after="0"/>
              <w:rPr>
                <w:sz w:val="20"/>
                <w:szCs w:val="20"/>
                <w:color w:val="auto"/>
              </w:rPr>
            </w:pPr>
            <w:r>
              <w:rPr>
                <w:rFonts w:ascii="Arial" w:cs="Arial" w:eastAsia="Arial" w:hAnsi="Arial"/>
                <w:sz w:val="11"/>
                <w:szCs w:val="11"/>
                <w:color w:val="auto"/>
              </w:rPr>
              <w:t>Date of</w:t>
            </w:r>
          </w:p>
        </w:tc>
        <w:tc>
          <w:tcPr>
            <w:tcW w:w="980" w:type="dxa"/>
            <w:vAlign w:val="bottom"/>
            <w:gridSpan w:val="2"/>
            <w:vMerge w:val="restart"/>
          </w:tcPr>
          <w:p>
            <w:pPr>
              <w:jc w:val="center"/>
              <w:ind w:right="80"/>
              <w:spacing w:after="0"/>
              <w:rPr>
                <w:sz w:val="20"/>
                <w:szCs w:val="20"/>
                <w:color w:val="auto"/>
              </w:rPr>
            </w:pPr>
            <w:r>
              <w:rPr>
                <w:rFonts w:ascii="Arial" w:cs="Arial" w:eastAsia="Arial" w:hAnsi="Arial"/>
                <w:sz w:val="11"/>
                <w:szCs w:val="11"/>
                <w:color w:val="auto"/>
              </w:rPr>
              <w:t>Operating</w:t>
            </w:r>
          </w:p>
        </w:tc>
        <w:tc>
          <w:tcPr>
            <w:tcW w:w="900" w:type="dxa"/>
            <w:vAlign w:val="bottom"/>
          </w:tcPr>
          <w:p>
            <w:pPr>
              <w:jc w:val="center"/>
              <w:spacing w:after="0"/>
              <w:rPr>
                <w:sz w:val="20"/>
                <w:szCs w:val="20"/>
                <w:color w:val="auto"/>
              </w:rPr>
            </w:pPr>
            <w:r>
              <w:rPr>
                <w:rFonts w:ascii="Arial" w:cs="Arial" w:eastAsia="Arial" w:hAnsi="Arial"/>
                <w:sz w:val="11"/>
                <w:szCs w:val="11"/>
                <w:color w:val="auto"/>
              </w:rPr>
              <w:t>Future</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4240" w:type="dxa"/>
            <w:vAlign w:val="bottom"/>
            <w:vMerge w:val="restart"/>
          </w:tcPr>
          <w:p>
            <w:pPr>
              <w:ind w:left="40"/>
              <w:spacing w:after="0"/>
              <w:rPr>
                <w:sz w:val="20"/>
                <w:szCs w:val="20"/>
                <w:color w:val="auto"/>
              </w:rPr>
            </w:pPr>
            <w:r>
              <w:rPr>
                <w:rFonts w:ascii="Arial" w:cs="Arial" w:eastAsia="Arial" w:hAnsi="Arial"/>
                <w:sz w:val="11"/>
                <w:szCs w:val="11"/>
                <w:color w:val="auto"/>
              </w:rPr>
              <w:t>Property</w:t>
            </w:r>
          </w:p>
        </w:tc>
        <w:tc>
          <w:tcPr>
            <w:tcW w:w="2520" w:type="dxa"/>
            <w:vAlign w:val="bottom"/>
            <w:gridSpan w:val="2"/>
            <w:vMerge w:val="restart"/>
          </w:tcPr>
          <w:p>
            <w:pPr>
              <w:ind w:left="840"/>
              <w:spacing w:after="0"/>
              <w:rPr>
                <w:sz w:val="20"/>
                <w:szCs w:val="20"/>
                <w:color w:val="auto"/>
              </w:rPr>
            </w:pPr>
            <w:r>
              <w:rPr>
                <w:rFonts w:ascii="Arial" w:cs="Arial" w:eastAsia="Arial" w:hAnsi="Arial"/>
                <w:sz w:val="11"/>
                <w:szCs w:val="11"/>
                <w:color w:val="auto"/>
              </w:rPr>
              <w:t>Submarket/Market</w:t>
            </w:r>
          </w:p>
        </w:tc>
        <w:tc>
          <w:tcPr>
            <w:tcW w:w="900" w:type="dxa"/>
            <w:vAlign w:val="bottom"/>
            <w:gridSpan w:val="2"/>
            <w:vMerge w:val="continue"/>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900" w:type="dxa"/>
            <w:vAlign w:val="bottom"/>
          </w:tcPr>
          <w:p>
            <w:pPr>
              <w:jc w:val="center"/>
              <w:spacing w:after="0" w:line="114" w:lineRule="exact"/>
              <w:rPr>
                <w:sz w:val="20"/>
                <w:szCs w:val="20"/>
                <w:color w:val="auto"/>
              </w:rPr>
            </w:pPr>
            <w:r>
              <w:rPr>
                <w:rFonts w:ascii="Arial" w:cs="Arial" w:eastAsia="Arial" w:hAnsi="Arial"/>
                <w:sz w:val="11"/>
                <w:szCs w:val="11"/>
                <w:color w:val="auto"/>
              </w:rPr>
              <w:t>Development</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1"/>
                <w:szCs w:val="11"/>
                <w:color w:val="auto"/>
              </w:rPr>
              <w:t>Purchase Price</w:t>
            </w:r>
          </w:p>
        </w:tc>
        <w:tc>
          <w:tcPr>
            <w:tcW w:w="0" w:type="dxa"/>
            <w:vAlign w:val="bottom"/>
          </w:tcPr>
          <w:p>
            <w:pPr>
              <w:spacing w:after="0"/>
              <w:rPr>
                <w:sz w:val="1"/>
                <w:szCs w:val="1"/>
                <w:color w:val="auto"/>
              </w:rPr>
            </w:pPr>
          </w:p>
        </w:tc>
      </w:tr>
      <w:tr>
        <w:trPr>
          <w:trHeight w:val="140"/>
        </w:trPr>
        <w:tc>
          <w:tcPr>
            <w:tcW w:w="4240" w:type="dxa"/>
            <w:vAlign w:val="bottom"/>
            <w:vMerge w:val="continue"/>
          </w:tcPr>
          <w:p>
            <w:pPr>
              <w:spacing w:after="0"/>
              <w:rPr>
                <w:sz w:val="12"/>
                <w:szCs w:val="12"/>
                <w:color w:val="auto"/>
              </w:rPr>
            </w:pPr>
          </w:p>
        </w:tc>
        <w:tc>
          <w:tcPr>
            <w:tcW w:w="2520" w:type="dxa"/>
            <w:vAlign w:val="bottom"/>
            <w:gridSpan w:val="2"/>
            <w:vMerge w:val="continue"/>
          </w:tcPr>
          <w:p>
            <w:pPr>
              <w:spacing w:after="0"/>
              <w:rPr>
                <w:sz w:val="12"/>
                <w:szCs w:val="12"/>
                <w:color w:val="auto"/>
              </w:rPr>
            </w:pPr>
          </w:p>
        </w:tc>
        <w:tc>
          <w:tcPr>
            <w:tcW w:w="900" w:type="dxa"/>
            <w:vAlign w:val="bottom"/>
            <w:gridSpan w:val="2"/>
          </w:tcPr>
          <w:p>
            <w:pPr>
              <w:jc w:val="center"/>
              <w:ind w:right="60"/>
              <w:spacing w:after="0"/>
              <w:rPr>
                <w:sz w:val="20"/>
                <w:szCs w:val="20"/>
                <w:color w:val="auto"/>
              </w:rPr>
            </w:pPr>
            <w:r>
              <w:rPr>
                <w:rFonts w:ascii="Arial" w:cs="Arial" w:eastAsia="Arial" w:hAnsi="Arial"/>
                <w:sz w:val="11"/>
                <w:szCs w:val="11"/>
                <w:color w:val="auto"/>
              </w:rPr>
              <w:t>Purchase</w:t>
            </w:r>
          </w:p>
        </w:tc>
        <w:tc>
          <w:tcPr>
            <w:tcW w:w="980" w:type="dxa"/>
            <w:vAlign w:val="bottom"/>
            <w:gridSpan w:val="2"/>
          </w:tcPr>
          <w:p>
            <w:pPr>
              <w:jc w:val="center"/>
              <w:ind w:right="60"/>
              <w:spacing w:after="0"/>
              <w:rPr>
                <w:sz w:val="20"/>
                <w:szCs w:val="20"/>
                <w:color w:val="auto"/>
              </w:rPr>
            </w:pPr>
            <w:r>
              <w:rPr>
                <w:rFonts w:ascii="Arial" w:cs="Arial" w:eastAsia="Arial" w:hAnsi="Arial"/>
                <w:sz w:val="11"/>
                <w:szCs w:val="11"/>
                <w:color w:val="auto"/>
              </w:rPr>
              <w:t>Occupancy</w:t>
            </w:r>
          </w:p>
        </w:tc>
        <w:tc>
          <w:tcPr>
            <w:tcW w:w="900" w:type="dxa"/>
            <w:vAlign w:val="bottom"/>
          </w:tcPr>
          <w:p>
            <w:pPr>
              <w:jc w:val="center"/>
              <w:spacing w:after="0" w:line="140" w:lineRule="exact"/>
              <w:rPr>
                <w:sz w:val="20"/>
                <w:szCs w:val="20"/>
                <w:color w:val="auto"/>
              </w:rPr>
            </w:pPr>
            <w:r>
              <w:rPr>
                <w:rFonts w:ascii="Arial" w:cs="Arial" w:eastAsia="Arial" w:hAnsi="Arial"/>
                <w:sz w:val="16"/>
                <w:szCs w:val="16"/>
                <w:color w:val="auto"/>
                <w:vertAlign w:val="subscript"/>
              </w:rPr>
              <w:t>RSF</w:t>
            </w:r>
            <w:r>
              <w:rPr>
                <w:rFonts w:ascii="Arial" w:cs="Arial" w:eastAsia="Arial" w:hAnsi="Arial"/>
                <w:sz w:val="6"/>
                <w:szCs w:val="6"/>
                <w:color w:val="auto"/>
              </w:rPr>
              <w:t>(1)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42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1"/>
                <w:szCs w:val="11"/>
                <w:color w:val="auto"/>
              </w:rPr>
              <w:t>Completed during the three months ended March 31, 2024:</w:t>
            </w:r>
          </w:p>
        </w:tc>
        <w:tc>
          <w:tcPr>
            <w:tcW w:w="24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240" w:type="dxa"/>
            <w:vAlign w:val="bottom"/>
          </w:tcPr>
          <w:p>
            <w:pPr>
              <w:ind w:left="100"/>
              <w:spacing w:after="0"/>
              <w:rPr>
                <w:sz w:val="20"/>
                <w:szCs w:val="20"/>
                <w:color w:val="auto"/>
              </w:rPr>
            </w:pPr>
            <w:r>
              <w:rPr>
                <w:rFonts w:ascii="Arial" w:cs="Arial" w:eastAsia="Arial" w:hAnsi="Arial"/>
                <w:sz w:val="11"/>
                <w:szCs w:val="11"/>
                <w:color w:val="auto"/>
              </w:rPr>
              <w:t>285, 299, 307, and 345 Dorchester Avenue (60% interest in consolidated JV)</w:t>
            </w:r>
            <w:r>
              <w:rPr>
                <w:rFonts w:ascii="Arial" w:cs="Arial" w:eastAsia="Arial" w:hAnsi="Arial"/>
                <w:sz w:val="14"/>
                <w:szCs w:val="14"/>
                <w:color w:val="auto"/>
                <w:vertAlign w:val="superscript"/>
              </w:rPr>
              <w:t>(2)</w:t>
            </w:r>
          </w:p>
        </w:tc>
        <w:tc>
          <w:tcPr>
            <w:tcW w:w="2520" w:type="dxa"/>
            <w:vAlign w:val="bottom"/>
            <w:gridSpan w:val="2"/>
          </w:tcPr>
          <w:p>
            <w:pPr>
              <w:ind w:left="180"/>
              <w:spacing w:after="0"/>
              <w:rPr>
                <w:sz w:val="20"/>
                <w:szCs w:val="20"/>
                <w:color w:val="auto"/>
              </w:rPr>
            </w:pPr>
            <w:r>
              <w:rPr>
                <w:rFonts w:ascii="Arial" w:cs="Arial" w:eastAsia="Arial" w:hAnsi="Arial"/>
                <w:sz w:val="11"/>
                <w:szCs w:val="11"/>
                <w:color w:val="auto"/>
              </w:rPr>
              <w:t>Seaport Innovation District/Greater Boston</w:t>
            </w:r>
          </w:p>
        </w:tc>
        <w:tc>
          <w:tcPr>
            <w:tcW w:w="840" w:type="dxa"/>
            <w:vAlign w:val="bottom"/>
          </w:tcPr>
          <w:p>
            <w:pPr>
              <w:jc w:val="center"/>
              <w:spacing w:after="0"/>
              <w:rPr>
                <w:sz w:val="20"/>
                <w:szCs w:val="20"/>
                <w:color w:val="auto"/>
              </w:rPr>
            </w:pPr>
            <w:r>
              <w:rPr>
                <w:rFonts w:ascii="Arial" w:cs="Arial" w:eastAsia="Arial" w:hAnsi="Arial"/>
                <w:sz w:val="11"/>
                <w:szCs w:val="11"/>
                <w:color w:val="auto"/>
              </w:rPr>
              <w:t>1/30/24</w:t>
            </w:r>
          </w:p>
        </w:tc>
        <w:tc>
          <w:tcPr>
            <w:tcW w:w="60" w:type="dxa"/>
            <w:vAlign w:val="bottom"/>
          </w:tcPr>
          <w:p>
            <w:pPr>
              <w:spacing w:after="0"/>
              <w:rPr>
                <w:sz w:val="17"/>
                <w:szCs w:val="17"/>
                <w:color w:val="auto"/>
              </w:rPr>
            </w:pPr>
          </w:p>
        </w:tc>
        <w:tc>
          <w:tcPr>
            <w:tcW w:w="980" w:type="dxa"/>
            <w:vAlign w:val="bottom"/>
            <w:gridSpan w:val="2"/>
          </w:tcPr>
          <w:p>
            <w:pPr>
              <w:ind w:left="340"/>
              <w:spacing w:after="0"/>
              <w:rPr>
                <w:sz w:val="20"/>
                <w:szCs w:val="20"/>
                <w:color w:val="auto"/>
              </w:rPr>
            </w:pPr>
            <w:r>
              <w:rPr>
                <w:rFonts w:ascii="Arial" w:cs="Arial" w:eastAsia="Arial" w:hAnsi="Arial"/>
                <w:sz w:val="11"/>
                <w:szCs w:val="11"/>
                <w:color w:val="auto"/>
              </w:rPr>
              <w:t>N/A</w:t>
            </w:r>
          </w:p>
        </w:tc>
        <w:tc>
          <w:tcPr>
            <w:tcW w:w="900" w:type="dxa"/>
            <w:vAlign w:val="bottom"/>
          </w:tcPr>
          <w:p>
            <w:pPr>
              <w:jc w:val="right"/>
              <w:spacing w:after="0"/>
              <w:rPr>
                <w:sz w:val="20"/>
                <w:szCs w:val="20"/>
                <w:color w:val="auto"/>
              </w:rPr>
            </w:pPr>
            <w:r>
              <w:rPr>
                <w:rFonts w:ascii="Arial" w:cs="Arial" w:eastAsia="Arial" w:hAnsi="Arial"/>
                <w:sz w:val="11"/>
                <w:szCs w:val="11"/>
                <w:color w:val="auto"/>
              </w:rPr>
              <w:t>1,040,000</w:t>
            </w:r>
          </w:p>
        </w:tc>
        <w:tc>
          <w:tcPr>
            <w:tcW w:w="18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940" w:type="dxa"/>
            <w:vAlign w:val="bottom"/>
          </w:tcPr>
          <w:p>
            <w:pPr>
              <w:jc w:val="right"/>
              <w:ind w:right="3"/>
              <w:spacing w:after="0"/>
              <w:rPr>
                <w:sz w:val="20"/>
                <w:szCs w:val="20"/>
                <w:color w:val="auto"/>
              </w:rPr>
            </w:pPr>
            <w:r>
              <w:rPr>
                <w:rFonts w:ascii="Arial" w:cs="Arial" w:eastAsia="Arial" w:hAnsi="Arial"/>
                <w:sz w:val="11"/>
                <w:szCs w:val="11"/>
                <w:color w:val="auto"/>
              </w:rPr>
              <w:t>155,321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424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Other</w:t>
            </w:r>
            <w:r>
              <w:rPr>
                <w:rFonts w:ascii="Arial" w:cs="Arial" w:eastAsia="Arial" w:hAnsi="Arial"/>
                <w:sz w:val="14"/>
                <w:szCs w:val="14"/>
                <w:color w:val="auto"/>
                <w:vertAlign w:val="superscript"/>
              </w:rPr>
              <w:t>(3)</w:t>
            </w:r>
          </w:p>
        </w:tc>
        <w:tc>
          <w:tcPr>
            <w:tcW w:w="246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9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39,490</w:t>
            </w:r>
          </w:p>
        </w:tc>
        <w:tc>
          <w:tcPr>
            <w:tcW w:w="40" w:type="dxa"/>
            <w:vAlign w:val="bottom"/>
            <w:tcBorders>
              <w:top w:val="single" w:sz="8" w:color="CCEEFF"/>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24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ind w:right="3"/>
              <w:spacing w:after="0"/>
              <w:rPr>
                <w:sz w:val="20"/>
                <w:szCs w:val="20"/>
                <w:color w:val="auto"/>
              </w:rPr>
            </w:pPr>
            <w:r>
              <w:rPr>
                <w:rFonts w:ascii="Arial" w:cs="Arial" w:eastAsia="Arial" w:hAnsi="Arial"/>
                <w:sz w:val="11"/>
                <w:szCs w:val="11"/>
                <w:color w:val="auto"/>
              </w:rPr>
              <w:t>194,811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240" w:type="dxa"/>
            <w:vAlign w:val="bottom"/>
            <w:shd w:val="clear" w:color="auto" w:fill="CCEEFF"/>
          </w:tcPr>
          <w:p>
            <w:pPr>
              <w:ind w:left="40"/>
              <w:spacing w:after="0"/>
              <w:rPr>
                <w:sz w:val="20"/>
                <w:szCs w:val="20"/>
                <w:color w:val="auto"/>
              </w:rPr>
            </w:pPr>
            <w:r>
              <w:rPr>
                <w:rFonts w:ascii="Arial" w:cs="Arial" w:eastAsia="Arial" w:hAnsi="Arial"/>
                <w:sz w:val="11"/>
                <w:szCs w:val="11"/>
                <w:color w:val="auto"/>
              </w:rPr>
              <w:t>Completed during the three months ended June 30, 2024:</w:t>
            </w:r>
          </w:p>
        </w:tc>
        <w:tc>
          <w:tcPr>
            <w:tcW w:w="2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240" w:type="dxa"/>
            <w:vAlign w:val="bottom"/>
            <w:tcBorders>
              <w:bottom w:val="single" w:sz="8" w:color="CCEEFF"/>
            </w:tcBorders>
          </w:tcPr>
          <w:p>
            <w:pPr>
              <w:ind w:left="100"/>
              <w:spacing w:after="0"/>
              <w:rPr>
                <w:sz w:val="20"/>
                <w:szCs w:val="20"/>
                <w:color w:val="auto"/>
              </w:rPr>
            </w:pPr>
            <w:r>
              <w:rPr>
                <w:rFonts w:ascii="Arial" w:cs="Arial" w:eastAsia="Arial" w:hAnsi="Arial"/>
                <w:sz w:val="11"/>
                <w:szCs w:val="11"/>
                <w:color w:val="auto"/>
              </w:rPr>
              <w:t>Other</w:t>
            </w:r>
          </w:p>
        </w:tc>
        <w:tc>
          <w:tcPr>
            <w:tcW w:w="246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8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92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9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7,000</w:t>
            </w:r>
          </w:p>
        </w:tc>
        <w:tc>
          <w:tcPr>
            <w:tcW w:w="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4240" w:type="dxa"/>
            <w:vAlign w:val="bottom"/>
            <w:shd w:val="clear" w:color="auto" w:fill="CCEEFF"/>
          </w:tcPr>
          <w:p>
            <w:pPr>
              <w:spacing w:after="0"/>
              <w:rPr>
                <w:sz w:val="16"/>
                <w:szCs w:val="16"/>
                <w:color w:val="auto"/>
              </w:rPr>
            </w:pPr>
          </w:p>
        </w:tc>
        <w:tc>
          <w:tcPr>
            <w:tcW w:w="24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201,811</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4240" w:type="dxa"/>
            <w:vAlign w:val="bottom"/>
          </w:tcPr>
          <w:p>
            <w:pPr>
              <w:ind w:left="40"/>
              <w:spacing w:after="0"/>
              <w:rPr>
                <w:sz w:val="20"/>
                <w:szCs w:val="20"/>
                <w:color w:val="auto"/>
              </w:rPr>
            </w:pPr>
            <w:r>
              <w:rPr>
                <w:rFonts w:ascii="Arial" w:cs="Arial" w:eastAsia="Arial" w:hAnsi="Arial"/>
                <w:sz w:val="11"/>
                <w:szCs w:val="11"/>
                <w:color w:val="auto"/>
              </w:rPr>
              <w:t>Pending acquisitions subject to signed letters of intent or purchase and sale</w:t>
            </w:r>
          </w:p>
        </w:tc>
        <w:tc>
          <w:tcPr>
            <w:tcW w:w="2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vMerge w:val="restart"/>
          </w:tcPr>
          <w:p>
            <w:pPr>
              <w:jc w:val="right"/>
              <w:ind w:right="3"/>
              <w:spacing w:after="0"/>
              <w:rPr>
                <w:sz w:val="20"/>
                <w:szCs w:val="20"/>
                <w:color w:val="auto"/>
              </w:rPr>
            </w:pPr>
            <w:r>
              <w:rPr>
                <w:rFonts w:ascii="Arial" w:cs="Arial" w:eastAsia="Arial" w:hAnsi="Arial"/>
                <w:sz w:val="11"/>
                <w:szCs w:val="11"/>
                <w:color w:val="auto"/>
              </w:rPr>
              <w:t>47,600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4240" w:type="dxa"/>
            <w:vAlign w:val="bottom"/>
            <w:tcBorders>
              <w:bottom w:val="single" w:sz="8" w:color="CCEEFF"/>
            </w:tcBorders>
          </w:tcPr>
          <w:p>
            <w:pPr>
              <w:ind w:left="160"/>
              <w:spacing w:after="0"/>
              <w:rPr>
                <w:sz w:val="20"/>
                <w:szCs w:val="20"/>
                <w:color w:val="auto"/>
              </w:rPr>
            </w:pPr>
            <w:r>
              <w:rPr>
                <w:rFonts w:ascii="Arial" w:cs="Arial" w:eastAsia="Arial" w:hAnsi="Arial"/>
                <w:sz w:val="11"/>
                <w:szCs w:val="11"/>
                <w:color w:val="auto"/>
              </w:rPr>
              <w:t>agreements</w:t>
            </w:r>
          </w:p>
        </w:tc>
        <w:tc>
          <w:tcPr>
            <w:tcW w:w="246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84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9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9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vMerge w:val="continue"/>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240" w:type="dxa"/>
            <w:vAlign w:val="bottom"/>
            <w:tcBorders>
              <w:bottom w:val="single" w:sz="8" w:color="CCEEFF"/>
            </w:tcBorders>
            <w:shd w:val="clear" w:color="auto" w:fill="CCEEFF"/>
          </w:tcPr>
          <w:p>
            <w:pPr>
              <w:spacing w:after="0"/>
              <w:rPr>
                <w:sz w:val="15"/>
                <w:szCs w:val="15"/>
                <w:color w:val="auto"/>
              </w:rPr>
            </w:pPr>
          </w:p>
        </w:tc>
        <w:tc>
          <w:tcPr>
            <w:tcW w:w="246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9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249,411</w:t>
            </w:r>
          </w:p>
        </w:tc>
        <w:tc>
          <w:tcPr>
            <w:tcW w:w="4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240" w:type="dxa"/>
            <w:vAlign w:val="bottom"/>
            <w:vMerge w:val="restart"/>
          </w:tcPr>
          <w:p>
            <w:pPr>
              <w:ind w:left="40"/>
              <w:spacing w:after="0"/>
              <w:rPr>
                <w:sz w:val="20"/>
                <w:szCs w:val="20"/>
                <w:color w:val="auto"/>
              </w:rPr>
            </w:pPr>
            <w:r>
              <w:rPr>
                <w:rFonts w:ascii="Arial" w:cs="Arial" w:eastAsia="Arial" w:hAnsi="Arial"/>
                <w:sz w:val="11"/>
                <w:szCs w:val="11"/>
                <w:color w:val="auto"/>
              </w:rPr>
              <w:t>2024 guidance range</w:t>
            </w:r>
          </w:p>
        </w:tc>
        <w:tc>
          <w:tcPr>
            <w:tcW w:w="2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240" w:type="dxa"/>
            <w:vAlign w:val="bottom"/>
            <w:vMerge w:val="continue"/>
          </w:tcPr>
          <w:p>
            <w:pPr>
              <w:spacing w:after="0"/>
              <w:rPr>
                <w:sz w:val="12"/>
                <w:szCs w:val="12"/>
                <w:color w:val="auto"/>
              </w:rPr>
            </w:pPr>
          </w:p>
        </w:tc>
        <w:tc>
          <w:tcPr>
            <w:tcW w:w="2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60" w:type="dxa"/>
            <w:vAlign w:val="bottom"/>
            <w:gridSpan w:val="4"/>
          </w:tcPr>
          <w:p>
            <w:pPr>
              <w:ind w:left="20"/>
              <w:spacing w:after="0"/>
              <w:rPr>
                <w:sz w:val="20"/>
                <w:szCs w:val="20"/>
                <w:color w:val="auto"/>
              </w:rPr>
            </w:pPr>
            <w:r>
              <w:rPr>
                <w:rFonts w:ascii="Arial" w:cs="Arial" w:eastAsia="Arial" w:hAnsi="Arial"/>
                <w:sz w:val="11"/>
                <w:szCs w:val="11"/>
                <w:color w:val="auto"/>
              </w:rPr>
              <w:t>$250,000 – $750,000</w:t>
            </w:r>
          </w:p>
        </w:tc>
        <w:tc>
          <w:tcPr>
            <w:tcW w:w="0" w:type="dxa"/>
            <w:vAlign w:val="bottom"/>
          </w:tcPr>
          <w:p>
            <w:pPr>
              <w:spacing w:after="0"/>
              <w:rPr>
                <w:sz w:val="1"/>
                <w:szCs w:val="1"/>
                <w:color w:val="auto"/>
              </w:rPr>
            </w:pPr>
          </w:p>
        </w:tc>
      </w:tr>
    </w:tbl>
    <w:p>
      <w:pPr>
        <w:spacing w:after="0" w:line="164" w:lineRule="exact"/>
        <w:rPr>
          <w:sz w:val="20"/>
          <w:szCs w:val="20"/>
          <w:color w:val="auto"/>
        </w:rPr>
      </w:pPr>
    </w:p>
    <w:p>
      <w:pPr>
        <w:ind w:left="266" w:hanging="266"/>
        <w:spacing w:after="0"/>
        <w:tabs>
          <w:tab w:leader="none" w:pos="266" w:val="left"/>
        </w:tabs>
        <w:numPr>
          <w:ilvl w:val="0"/>
          <w:numId w:val="82"/>
        </w:numPr>
        <w:rPr>
          <w:rFonts w:ascii="Arial" w:cs="Arial" w:eastAsia="Arial" w:hAnsi="Arial"/>
          <w:sz w:val="10"/>
          <w:szCs w:val="10"/>
          <w:color w:val="auto"/>
        </w:rPr>
      </w:pPr>
      <w:r>
        <w:rPr>
          <w:rFonts w:ascii="Arial" w:cs="Arial" w:eastAsia="Arial" w:hAnsi="Arial"/>
          <w:sz w:val="10"/>
          <w:szCs w:val="10"/>
          <w:color w:val="auto"/>
        </w:rPr>
        <w:t>We expect to provide total estimated costs and related yields for development and redevelopment projects in the future, subsequent to the commencement of construction.</w:t>
      </w:r>
    </w:p>
    <w:p>
      <w:pPr>
        <w:spacing w:after="0" w:line="13" w:lineRule="exact"/>
        <w:rPr>
          <w:rFonts w:ascii="Arial" w:cs="Arial" w:eastAsia="Arial" w:hAnsi="Arial"/>
          <w:sz w:val="10"/>
          <w:szCs w:val="10"/>
          <w:color w:val="auto"/>
        </w:rPr>
      </w:pPr>
    </w:p>
    <w:p>
      <w:pPr>
        <w:ind w:left="266" w:hanging="266"/>
        <w:spacing w:after="0"/>
        <w:tabs>
          <w:tab w:leader="none" w:pos="266" w:val="left"/>
        </w:tabs>
        <w:numPr>
          <w:ilvl w:val="0"/>
          <w:numId w:val="82"/>
        </w:numPr>
        <w:rPr>
          <w:rFonts w:ascii="Arial" w:cs="Arial" w:eastAsia="Arial" w:hAnsi="Arial"/>
          <w:sz w:val="10"/>
          <w:szCs w:val="10"/>
          <w:color w:val="auto"/>
        </w:rPr>
      </w:pPr>
      <w:r>
        <w:rPr>
          <w:rFonts w:ascii="Arial" w:cs="Arial" w:eastAsia="Arial" w:hAnsi="Arial"/>
          <w:sz w:val="10"/>
          <w:szCs w:val="10"/>
          <w:color w:val="auto"/>
        </w:rPr>
        <w:t>Refer to Note 4 – “Consolidated and unconsolidated real estate joint ventures” to our unaudited consolidated financial statements in Item 1 for additional details.</w:t>
      </w:r>
    </w:p>
    <w:p>
      <w:pPr>
        <w:spacing w:after="0" w:line="7" w:lineRule="exact"/>
        <w:rPr>
          <w:rFonts w:ascii="Arial" w:cs="Arial" w:eastAsia="Arial" w:hAnsi="Arial"/>
          <w:sz w:val="10"/>
          <w:szCs w:val="10"/>
          <w:color w:val="auto"/>
        </w:rPr>
      </w:pPr>
    </w:p>
    <w:p>
      <w:pPr>
        <w:ind w:left="266" w:hanging="266"/>
        <w:spacing w:after="0"/>
        <w:tabs>
          <w:tab w:leader="none" w:pos="266" w:val="left"/>
        </w:tabs>
        <w:numPr>
          <w:ilvl w:val="0"/>
          <w:numId w:val="82"/>
        </w:numPr>
        <w:rPr>
          <w:rFonts w:ascii="Arial" w:cs="Arial" w:eastAsia="Arial" w:hAnsi="Arial"/>
          <w:sz w:val="10"/>
          <w:szCs w:val="10"/>
          <w:color w:val="auto"/>
        </w:rPr>
      </w:pPr>
      <w:r>
        <w:rPr>
          <w:rFonts w:ascii="Arial" w:cs="Arial" w:eastAsia="Arial" w:hAnsi="Arial"/>
          <w:sz w:val="10"/>
          <w:szCs w:val="10"/>
          <w:color w:val="auto"/>
        </w:rPr>
        <w:t>Includes a payment of $35.3 million to redeem our partner’s partial ownership interest in a consolidated real estate joint venture in our Greater Boston market, pursuant to our partner’s notification of their intent to exercise their put option</w:t>
      </w:r>
    </w:p>
    <w:p>
      <w:pPr>
        <w:sectPr>
          <w:pgSz w:w="11900" w:h="16875" w:orient="portrait"/>
          <w:cols w:equalWidth="0" w:num="1">
            <w:col w:w="10766"/>
          </w:cols>
          <w:pgMar w:left="574" w:top="730" w:right="559" w:bottom="0" w:gutter="0" w:footer="0" w:header="0"/>
        </w:sectPr>
      </w:pPr>
    </w:p>
    <w:bookmarkStart w:id="40" w:name="page41"/>
    <w:bookmarkEnd w:id="40"/>
    <w:p>
      <w:pPr>
        <w:ind w:left="266"/>
        <w:spacing w:after="0"/>
        <w:rPr>
          <w:sz w:val="20"/>
          <w:szCs w:val="20"/>
          <w:color w:val="auto"/>
        </w:rPr>
      </w:pPr>
      <w:r>
        <w:rPr>
          <w:rFonts w:ascii="Arial" w:cs="Arial" w:eastAsia="Arial" w:hAnsi="Arial"/>
          <w:sz w:val="10"/>
          <w:szCs w:val="10"/>
          <w:color w:val="auto"/>
        </w:rPr>
        <w:t>received in December 2023 and settled in January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-57150</wp:posOffset>
            </wp:positionV>
            <wp:extent cx="7212965" cy="30035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12965" cy="3003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25"/>
        <w:spacing w:after="0"/>
        <w:rPr>
          <w:sz w:val="20"/>
          <w:szCs w:val="20"/>
          <w:color w:val="auto"/>
        </w:rPr>
      </w:pPr>
      <w:r>
        <w:rPr>
          <w:rFonts w:ascii="Arial" w:cs="Arial" w:eastAsia="Arial" w:hAnsi="Arial"/>
          <w:sz w:val="13"/>
          <w:szCs w:val="13"/>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188595</wp:posOffset>
            </wp:positionV>
            <wp:extent cx="7212965" cy="55841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12965" cy="5584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6"/>
        <w:spacing w:after="0"/>
        <w:rPr>
          <w:sz w:val="20"/>
          <w:szCs w:val="20"/>
          <w:color w:val="auto"/>
        </w:rPr>
      </w:pPr>
      <w:r>
        <w:rPr>
          <w:rFonts w:ascii="Arial" w:cs="Arial" w:eastAsia="Arial" w:hAnsi="Arial"/>
          <w:sz w:val="13"/>
          <w:szCs w:val="13"/>
          <w:u w:val="single" w:color="auto"/>
          <w:color w:val="auto"/>
        </w:rPr>
        <w:t>Dispositions and sales of partial interests</w:t>
      </w:r>
    </w:p>
    <w:p>
      <w:pPr>
        <w:spacing w:after="0" w:line="119" w:lineRule="exact"/>
        <w:rPr>
          <w:sz w:val="20"/>
          <w:szCs w:val="20"/>
          <w:color w:val="auto"/>
        </w:rPr>
      </w:pPr>
    </w:p>
    <w:p>
      <w:pPr>
        <w:ind w:left="6" w:right="20" w:firstLine="515"/>
        <w:spacing w:after="0" w:line="272" w:lineRule="auto"/>
        <w:rPr>
          <w:sz w:val="20"/>
          <w:szCs w:val="20"/>
          <w:color w:val="auto"/>
        </w:rPr>
      </w:pPr>
      <w:r>
        <w:rPr>
          <w:rFonts w:ascii="Arial" w:cs="Arial" w:eastAsia="Arial" w:hAnsi="Arial"/>
          <w:sz w:val="13"/>
          <w:szCs w:val="13"/>
          <w:color w:val="auto"/>
        </w:rPr>
        <w:t>Our completed dispositions of and sales of partial interests in real estate assets during the six months ended June 30, 2024 and pending as of the date of this report consisted of the following (dollars in thousands):</w:t>
      </w:r>
    </w:p>
    <w:p>
      <w:pPr>
        <w:spacing w:after="0" w:line="202" w:lineRule="exact"/>
        <w:rPr>
          <w:sz w:val="20"/>
          <w:szCs w:val="20"/>
          <w:color w:val="auto"/>
        </w:rPr>
      </w:pPr>
    </w:p>
    <w:tbl>
      <w:tblPr>
        <w:tblLayout w:type="fixed"/>
        <w:tblInd w:w="6" w:type="dxa"/>
        <w:tblCellMar>
          <w:top w:w="0" w:type="dxa"/>
          <w:left w:w="0" w:type="dxa"/>
          <w:bottom w:w="0" w:type="dxa"/>
          <w:right w:w="0" w:type="dxa"/>
        </w:tblCellMar>
      </w:tblPr>
      <w:tr>
        <w:trPr>
          <w:trHeight w:val="146"/>
        </w:trPr>
        <w:tc>
          <w:tcPr>
            <w:tcW w:w="4760" w:type="dxa"/>
            <w:vAlign w:val="bottom"/>
            <w:tcBorders>
              <w:bottom w:val="single" w:sz="8" w:color="auto"/>
            </w:tcBorders>
          </w:tcPr>
          <w:p>
            <w:pPr>
              <w:ind w:left="40"/>
              <w:spacing w:after="0"/>
              <w:rPr>
                <w:sz w:val="20"/>
                <w:szCs w:val="20"/>
                <w:color w:val="auto"/>
              </w:rPr>
            </w:pPr>
            <w:r>
              <w:rPr>
                <w:rFonts w:ascii="Arial" w:cs="Arial" w:eastAsia="Arial" w:hAnsi="Arial"/>
                <w:sz w:val="11"/>
                <w:szCs w:val="11"/>
                <w:color w:val="auto"/>
              </w:rPr>
              <w:t>Property</w:t>
            </w:r>
          </w:p>
        </w:tc>
        <w:tc>
          <w:tcPr>
            <w:tcW w:w="40" w:type="dxa"/>
            <w:vAlign w:val="bottom"/>
            <w:tcBorders>
              <w:bottom w:val="single" w:sz="8" w:color="CCEEFF"/>
            </w:tcBorders>
          </w:tcPr>
          <w:p>
            <w:pPr>
              <w:spacing w:after="0"/>
              <w:rPr>
                <w:sz w:val="12"/>
                <w:szCs w:val="12"/>
                <w:color w:val="auto"/>
              </w:rPr>
            </w:pPr>
          </w:p>
        </w:tc>
        <w:tc>
          <w:tcPr>
            <w:tcW w:w="2320" w:type="dxa"/>
            <w:vAlign w:val="bottom"/>
            <w:tcBorders>
              <w:bottom w:val="single" w:sz="8" w:color="auto"/>
            </w:tcBorders>
          </w:tcPr>
          <w:p>
            <w:pPr>
              <w:ind w:left="700"/>
              <w:spacing w:after="0"/>
              <w:rPr>
                <w:sz w:val="20"/>
                <w:szCs w:val="20"/>
                <w:color w:val="auto"/>
              </w:rPr>
            </w:pPr>
            <w:r>
              <w:rPr>
                <w:rFonts w:ascii="Arial" w:cs="Arial" w:eastAsia="Arial" w:hAnsi="Arial"/>
                <w:sz w:val="11"/>
                <w:szCs w:val="11"/>
                <w:color w:val="auto"/>
              </w:rPr>
              <w:t>Submarket/Market</w:t>
            </w:r>
          </w:p>
        </w:tc>
        <w:tc>
          <w:tcPr>
            <w:tcW w:w="4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rPr>
              <w:t>Date of Sale</w:t>
            </w:r>
          </w:p>
        </w:tc>
        <w:tc>
          <w:tcPr>
            <w:tcW w:w="6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Interest Sold</w:t>
            </w:r>
          </w:p>
        </w:tc>
        <w:tc>
          <w:tcPr>
            <w:tcW w:w="4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tcPr>
          <w:p>
            <w:pPr>
              <w:jc w:val="right"/>
              <w:ind w:right="263"/>
              <w:spacing w:after="0"/>
              <w:rPr>
                <w:sz w:val="20"/>
                <w:szCs w:val="20"/>
                <w:color w:val="auto"/>
              </w:rPr>
            </w:pPr>
            <w:r>
              <w:rPr>
                <w:rFonts w:ascii="Arial" w:cs="Arial" w:eastAsia="Arial" w:hAnsi="Arial"/>
                <w:sz w:val="11"/>
                <w:szCs w:val="11"/>
                <w:color w:val="auto"/>
              </w:rPr>
              <w:t>RSF</w:t>
            </w:r>
          </w:p>
        </w:tc>
        <w:tc>
          <w:tcPr>
            <w:tcW w:w="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Sales Price</w:t>
            </w:r>
          </w:p>
        </w:tc>
      </w:tr>
      <w:tr>
        <w:trPr>
          <w:trHeight w:val="163"/>
        </w:trPr>
        <w:tc>
          <w:tcPr>
            <w:tcW w:w="4800" w:type="dxa"/>
            <w:vAlign w:val="bottom"/>
            <w:gridSpan w:val="2"/>
            <w:shd w:val="clear" w:color="auto" w:fill="CCEEFF"/>
          </w:tcPr>
          <w:p>
            <w:pPr>
              <w:ind w:left="40"/>
              <w:spacing w:after="0"/>
              <w:rPr>
                <w:sz w:val="20"/>
                <w:szCs w:val="20"/>
                <w:color w:val="auto"/>
              </w:rPr>
            </w:pPr>
            <w:r>
              <w:rPr>
                <w:rFonts w:ascii="Arial" w:cs="Arial" w:eastAsia="Arial" w:hAnsi="Arial"/>
                <w:sz w:val="11"/>
                <w:szCs w:val="11"/>
                <w:color w:val="auto"/>
              </w:rPr>
              <w:t>Six months ended June 30, 2024:</w:t>
            </w:r>
          </w:p>
        </w:tc>
        <w:tc>
          <w:tcPr>
            <w:tcW w:w="23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r>
      <w:tr>
        <w:trPr>
          <w:trHeight w:val="183"/>
        </w:trPr>
        <w:tc>
          <w:tcPr>
            <w:tcW w:w="4800" w:type="dxa"/>
            <w:vAlign w:val="bottom"/>
            <w:gridSpan w:val="2"/>
          </w:tcPr>
          <w:p>
            <w:pPr>
              <w:ind w:left="120"/>
              <w:spacing w:after="0"/>
              <w:rPr>
                <w:sz w:val="20"/>
                <w:szCs w:val="20"/>
                <w:color w:val="auto"/>
              </w:rPr>
            </w:pPr>
            <w:r>
              <w:rPr>
                <w:rFonts w:ascii="Arial" w:cs="Arial" w:eastAsia="Arial" w:hAnsi="Arial"/>
                <w:sz w:val="11"/>
                <w:szCs w:val="11"/>
                <w:i w:val="1"/>
                <w:iCs w:val="1"/>
                <w:color w:val="auto"/>
              </w:rPr>
              <w:t>Dispositions of 100% interests in properties not integral to our mega campus strategy</w:t>
            </w:r>
          </w:p>
        </w:tc>
        <w:tc>
          <w:tcPr>
            <w:tcW w:w="2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83"/>
        </w:trPr>
        <w:tc>
          <w:tcPr>
            <w:tcW w:w="4800" w:type="dxa"/>
            <w:vAlign w:val="bottom"/>
            <w:gridSpan w:val="2"/>
            <w:shd w:val="clear" w:color="auto" w:fill="CCEEFF"/>
          </w:tcPr>
          <w:p>
            <w:pPr>
              <w:ind w:left="300"/>
              <w:spacing w:after="0"/>
              <w:rPr>
                <w:sz w:val="20"/>
                <w:szCs w:val="20"/>
                <w:color w:val="auto"/>
              </w:rPr>
            </w:pPr>
            <w:r>
              <w:rPr>
                <w:rFonts w:ascii="Arial" w:cs="Arial" w:eastAsia="Arial" w:hAnsi="Arial"/>
                <w:sz w:val="11"/>
                <w:szCs w:val="11"/>
                <w:color w:val="auto"/>
              </w:rPr>
              <w:t>99 A Street</w:t>
            </w:r>
            <w:r>
              <w:rPr>
                <w:rFonts w:ascii="Arial" w:cs="Arial" w:eastAsia="Arial" w:hAnsi="Arial"/>
                <w:sz w:val="14"/>
                <w:szCs w:val="14"/>
                <w:color w:val="auto"/>
                <w:vertAlign w:val="superscript"/>
              </w:rPr>
              <w:t>(1)</w:t>
            </w:r>
          </w:p>
        </w:tc>
        <w:tc>
          <w:tcPr>
            <w:tcW w:w="2360" w:type="dxa"/>
            <w:vAlign w:val="bottom"/>
            <w:gridSpan w:val="2"/>
            <w:shd w:val="clear" w:color="auto" w:fill="CCEEFF"/>
          </w:tcPr>
          <w:p>
            <w:pPr>
              <w:ind w:left="40"/>
              <w:spacing w:after="0"/>
              <w:rPr>
                <w:sz w:val="20"/>
                <w:szCs w:val="20"/>
                <w:color w:val="auto"/>
              </w:rPr>
            </w:pPr>
            <w:r>
              <w:rPr>
                <w:rFonts w:ascii="Arial" w:cs="Arial" w:eastAsia="Arial" w:hAnsi="Arial"/>
                <w:sz w:val="11"/>
                <w:szCs w:val="11"/>
                <w:color w:val="auto"/>
              </w:rPr>
              <w:t>Seaport Innovation District/Greater Boston</w:t>
            </w:r>
          </w:p>
        </w:tc>
        <w:tc>
          <w:tcPr>
            <w:tcW w:w="860" w:type="dxa"/>
            <w:vAlign w:val="bottom"/>
            <w:shd w:val="clear" w:color="auto" w:fill="CCEEFF"/>
          </w:tcPr>
          <w:p>
            <w:pPr>
              <w:jc w:val="right"/>
              <w:ind w:right="203"/>
              <w:spacing w:after="0"/>
              <w:rPr>
                <w:sz w:val="20"/>
                <w:szCs w:val="20"/>
                <w:color w:val="auto"/>
              </w:rPr>
            </w:pPr>
            <w:r>
              <w:rPr>
                <w:rFonts w:ascii="Arial" w:cs="Arial" w:eastAsia="Arial" w:hAnsi="Arial"/>
                <w:sz w:val="11"/>
                <w:szCs w:val="11"/>
                <w:color w:val="auto"/>
              </w:rPr>
              <w:t>3/8/24</w:t>
            </w:r>
          </w:p>
        </w:tc>
        <w:tc>
          <w:tcPr>
            <w:tcW w:w="6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163"/>
              <w:spacing w:after="0"/>
              <w:rPr>
                <w:sz w:val="20"/>
                <w:szCs w:val="20"/>
                <w:color w:val="auto"/>
              </w:rPr>
            </w:pPr>
            <w:r>
              <w:rPr>
                <w:rFonts w:ascii="Arial" w:cs="Arial" w:eastAsia="Arial" w:hAnsi="Arial"/>
                <w:sz w:val="11"/>
                <w:szCs w:val="11"/>
                <w:color w:val="auto"/>
              </w:rPr>
              <w:t>100%</w:t>
            </w:r>
          </w:p>
        </w:tc>
        <w:tc>
          <w:tcPr>
            <w:tcW w:w="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235,000</w:t>
            </w: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13,350</w:t>
            </w:r>
          </w:p>
        </w:tc>
      </w:tr>
      <w:tr>
        <w:trPr>
          <w:trHeight w:val="183"/>
        </w:trPr>
        <w:tc>
          <w:tcPr>
            <w:tcW w:w="4800" w:type="dxa"/>
            <w:vAlign w:val="bottom"/>
            <w:tcBorders>
              <w:bottom w:val="single" w:sz="8" w:color="CCEEFF"/>
            </w:tcBorders>
            <w:gridSpan w:val="2"/>
          </w:tcPr>
          <w:p>
            <w:pPr>
              <w:ind w:left="300"/>
              <w:spacing w:after="0"/>
              <w:rPr>
                <w:sz w:val="20"/>
                <w:szCs w:val="20"/>
                <w:color w:val="auto"/>
              </w:rPr>
            </w:pPr>
            <w:r>
              <w:rPr>
                <w:rFonts w:ascii="Arial" w:cs="Arial" w:eastAsia="Arial" w:hAnsi="Arial"/>
                <w:sz w:val="11"/>
                <w:szCs w:val="11"/>
                <w:color w:val="auto"/>
              </w:rPr>
              <w:t>Other</w:t>
            </w:r>
          </w:p>
        </w:tc>
        <w:tc>
          <w:tcPr>
            <w:tcW w:w="232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86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90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8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3,863</w:t>
            </w:r>
          </w:p>
        </w:tc>
      </w:tr>
      <w:tr>
        <w:trPr>
          <w:trHeight w:val="163"/>
        </w:trPr>
        <w:tc>
          <w:tcPr>
            <w:tcW w:w="47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3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17,213</w:t>
            </w:r>
          </w:p>
        </w:tc>
      </w:tr>
      <w:tr>
        <w:trPr>
          <w:trHeight w:val="183"/>
        </w:trPr>
        <w:tc>
          <w:tcPr>
            <w:tcW w:w="4800" w:type="dxa"/>
            <w:vAlign w:val="bottom"/>
            <w:gridSpan w:val="2"/>
          </w:tcPr>
          <w:p>
            <w:pPr>
              <w:ind w:left="40"/>
              <w:spacing w:after="0"/>
              <w:rPr>
                <w:sz w:val="20"/>
                <w:szCs w:val="20"/>
                <w:color w:val="auto"/>
              </w:rPr>
            </w:pPr>
            <w:r>
              <w:rPr>
                <w:rFonts w:ascii="Arial" w:cs="Arial" w:eastAsia="Arial" w:hAnsi="Arial"/>
                <w:sz w:val="11"/>
                <w:szCs w:val="11"/>
                <w:color w:val="auto"/>
              </w:rPr>
              <w:t>Completed in July 2024:</w:t>
            </w:r>
          </w:p>
        </w:tc>
        <w:tc>
          <w:tcPr>
            <w:tcW w:w="2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83"/>
        </w:trPr>
        <w:tc>
          <w:tcPr>
            <w:tcW w:w="4800" w:type="dxa"/>
            <w:vAlign w:val="bottom"/>
            <w:gridSpan w:val="2"/>
            <w:shd w:val="clear" w:color="auto" w:fill="CCEEFF"/>
          </w:tcPr>
          <w:p>
            <w:pPr>
              <w:ind w:left="120"/>
              <w:spacing w:after="0"/>
              <w:rPr>
                <w:sz w:val="20"/>
                <w:szCs w:val="20"/>
                <w:color w:val="auto"/>
              </w:rPr>
            </w:pPr>
            <w:r>
              <w:rPr>
                <w:rFonts w:ascii="Arial" w:cs="Arial" w:eastAsia="Arial" w:hAnsi="Arial"/>
                <w:sz w:val="11"/>
                <w:szCs w:val="11"/>
                <w:color w:val="auto"/>
              </w:rPr>
              <w:t>Other</w:t>
            </w:r>
            <w:r>
              <w:rPr>
                <w:rFonts w:ascii="Arial" w:cs="Arial" w:eastAsia="Arial" w:hAnsi="Arial"/>
                <w:sz w:val="14"/>
                <w:szCs w:val="14"/>
                <w:color w:val="auto"/>
                <w:vertAlign w:val="superscript"/>
              </w:rPr>
              <w:t>(2)</w:t>
            </w:r>
          </w:p>
        </w:tc>
        <w:tc>
          <w:tcPr>
            <w:tcW w:w="23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60,000</w:t>
            </w:r>
          </w:p>
        </w:tc>
      </w:tr>
      <w:tr>
        <w:trPr>
          <w:trHeight w:val="163"/>
        </w:trPr>
        <w:tc>
          <w:tcPr>
            <w:tcW w:w="4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77,213</w:t>
            </w:r>
          </w:p>
        </w:tc>
      </w:tr>
      <w:tr>
        <w:trPr>
          <w:trHeight w:val="166"/>
        </w:trPr>
        <w:tc>
          <w:tcPr>
            <w:tcW w:w="4800" w:type="dxa"/>
            <w:vAlign w:val="bottom"/>
            <w:gridSpan w:val="2"/>
            <w:shd w:val="clear" w:color="auto" w:fill="CCEEFF"/>
          </w:tcPr>
          <w:p>
            <w:pPr>
              <w:ind w:left="40"/>
              <w:spacing w:after="0"/>
              <w:rPr>
                <w:sz w:val="20"/>
                <w:szCs w:val="20"/>
                <w:color w:val="auto"/>
              </w:rPr>
            </w:pPr>
            <w:r>
              <w:rPr>
                <w:rFonts w:ascii="Arial" w:cs="Arial" w:eastAsia="Arial" w:hAnsi="Arial"/>
                <w:sz w:val="11"/>
                <w:szCs w:val="11"/>
                <w:color w:val="auto"/>
              </w:rPr>
              <w:t>Pending transactions subject to letters of intent or purchase and sale agreement</w:t>
            </w:r>
          </w:p>
        </w:tc>
        <w:tc>
          <w:tcPr>
            <w:tcW w:w="23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r>
      <w:tr>
        <w:trPr>
          <w:trHeight w:val="146"/>
        </w:trPr>
        <w:tc>
          <w:tcPr>
            <w:tcW w:w="4800" w:type="dxa"/>
            <w:vAlign w:val="bottom"/>
            <w:gridSpan w:val="2"/>
            <w:shd w:val="clear" w:color="auto" w:fill="CCEEFF"/>
          </w:tcPr>
          <w:p>
            <w:pPr>
              <w:ind w:left="160"/>
              <w:spacing w:after="0"/>
              <w:rPr>
                <w:sz w:val="20"/>
                <w:szCs w:val="20"/>
                <w:color w:val="auto"/>
              </w:rPr>
            </w:pPr>
            <w:r>
              <w:rPr>
                <w:rFonts w:ascii="Arial" w:cs="Arial" w:eastAsia="Arial" w:hAnsi="Arial"/>
                <w:sz w:val="11"/>
                <w:szCs w:val="11"/>
                <w:color w:val="auto"/>
              </w:rPr>
              <w:t>negotiations</w:t>
            </w:r>
          </w:p>
        </w:tc>
        <w:tc>
          <w:tcPr>
            <w:tcW w:w="23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806,728</w:t>
            </w:r>
          </w:p>
        </w:tc>
      </w:tr>
      <w:tr>
        <w:trPr>
          <w:trHeight w:val="163"/>
        </w:trPr>
        <w:tc>
          <w:tcPr>
            <w:tcW w:w="4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883,941</w:t>
            </w:r>
          </w:p>
        </w:tc>
      </w:tr>
      <w:tr>
        <w:trPr>
          <w:trHeight w:val="22"/>
        </w:trPr>
        <w:tc>
          <w:tcPr>
            <w:tcW w:w="4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206"/>
        </w:trPr>
        <w:tc>
          <w:tcPr>
            <w:tcW w:w="4800" w:type="dxa"/>
            <w:vAlign w:val="bottom"/>
            <w:gridSpan w:val="2"/>
            <w:shd w:val="clear" w:color="auto" w:fill="CCEEFF"/>
          </w:tcPr>
          <w:p>
            <w:pPr>
              <w:ind w:left="40"/>
              <w:spacing w:after="0"/>
              <w:rPr>
                <w:sz w:val="20"/>
                <w:szCs w:val="20"/>
                <w:color w:val="auto"/>
              </w:rPr>
            </w:pPr>
            <w:r>
              <w:rPr>
                <w:rFonts w:ascii="Arial" w:cs="Arial" w:eastAsia="Arial" w:hAnsi="Arial"/>
                <w:sz w:val="11"/>
                <w:szCs w:val="11"/>
                <w:color w:val="auto"/>
              </w:rPr>
              <w:t>2024 guidance range for dispositions, sales of partial interests, and common equity</w:t>
            </w:r>
          </w:p>
        </w:tc>
        <w:tc>
          <w:tcPr>
            <w:tcW w:w="23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780" w:type="dxa"/>
            <w:vAlign w:val="bottom"/>
            <w:gridSpan w:val="4"/>
            <w:shd w:val="clear" w:color="auto" w:fill="CCEEFF"/>
          </w:tcPr>
          <w:p>
            <w:pPr>
              <w:jc w:val="right"/>
              <w:spacing w:after="0"/>
              <w:rPr>
                <w:sz w:val="20"/>
                <w:szCs w:val="20"/>
                <w:color w:val="auto"/>
              </w:rPr>
            </w:pPr>
            <w:r>
              <w:rPr>
                <w:rFonts w:ascii="Arial" w:cs="Arial" w:eastAsia="Arial" w:hAnsi="Arial"/>
                <w:sz w:val="11"/>
                <w:szCs w:val="11"/>
                <w:color w:val="auto"/>
              </w:rPr>
              <w:t>$1,050,000 – $2,050,000</w:t>
            </w:r>
          </w:p>
        </w:tc>
      </w:tr>
    </w:tbl>
    <w:p>
      <w:pPr>
        <w:spacing w:after="0" w:line="189" w:lineRule="exact"/>
        <w:rPr>
          <w:sz w:val="20"/>
          <w:szCs w:val="20"/>
          <w:color w:val="auto"/>
        </w:rPr>
      </w:pPr>
    </w:p>
    <w:p>
      <w:pPr>
        <w:ind w:left="266" w:hanging="266"/>
        <w:spacing w:after="0"/>
        <w:tabs>
          <w:tab w:leader="none" w:pos="266" w:val="left"/>
        </w:tabs>
        <w:numPr>
          <w:ilvl w:val="0"/>
          <w:numId w:val="83"/>
        </w:numPr>
        <w:rPr>
          <w:rFonts w:ascii="Arial" w:cs="Arial" w:eastAsia="Arial" w:hAnsi="Arial"/>
          <w:sz w:val="10"/>
          <w:szCs w:val="10"/>
          <w:color w:val="auto"/>
          <w:highlight w:val="white"/>
        </w:rPr>
      </w:pPr>
      <w:r>
        <w:rPr>
          <w:rFonts w:ascii="Arial" w:cs="Arial" w:eastAsia="Arial" w:hAnsi="Arial"/>
          <w:sz w:val="10"/>
          <w:szCs w:val="10"/>
          <w:color w:val="auto"/>
        </w:rPr>
        <w:t>We completed the sale during the three months ended March 31, 2024 and recognized no gain or loss. Refer to Note 3 – “Investments in real estate” to our unaudited consolidated financial statements in Item 1 for additional information.</w:t>
      </w:r>
    </w:p>
    <w:p>
      <w:pPr>
        <w:spacing w:after="0" w:line="13" w:lineRule="exact"/>
        <w:rPr>
          <w:rFonts w:ascii="Arial" w:cs="Arial" w:eastAsia="Arial" w:hAnsi="Arial"/>
          <w:sz w:val="10"/>
          <w:szCs w:val="10"/>
          <w:color w:val="auto"/>
          <w:highlight w:val="white"/>
        </w:rPr>
      </w:pPr>
    </w:p>
    <w:p>
      <w:pPr>
        <w:ind w:left="266" w:right="280" w:hanging="266"/>
        <w:spacing w:after="0" w:line="284" w:lineRule="auto"/>
        <w:tabs>
          <w:tab w:leader="none" w:pos="266" w:val="left"/>
        </w:tabs>
        <w:numPr>
          <w:ilvl w:val="0"/>
          <w:numId w:val="83"/>
        </w:numPr>
        <w:rPr>
          <w:rFonts w:ascii="Arial" w:cs="Arial" w:eastAsia="Arial" w:hAnsi="Arial"/>
          <w:sz w:val="10"/>
          <w:szCs w:val="10"/>
          <w:color w:val="auto"/>
        </w:rPr>
      </w:pPr>
      <w:r>
        <w:rPr>
          <w:rFonts w:ascii="Arial" w:cs="Arial" w:eastAsia="Arial" w:hAnsi="Arial"/>
          <w:sz w:val="10"/>
          <w:szCs w:val="10"/>
          <w:color w:val="auto"/>
        </w:rPr>
        <w:t>The disposition completed in July 2024 was leased to a single tenant with a July 2024 lease expiration and had annual net operating income of $18.6 million based upon three months ended June 30, 2024 annualized. This asset was previously considered to be a potential development project upon expiration of an in-place non-laboratory space lease in July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25"/>
        <w:spacing w:after="0"/>
        <w:rPr>
          <w:sz w:val="20"/>
          <w:szCs w:val="20"/>
          <w:color w:val="auto"/>
        </w:rPr>
      </w:pPr>
      <w:r>
        <w:rPr>
          <w:rFonts w:ascii="Arial" w:cs="Arial" w:eastAsia="Arial" w:hAnsi="Arial"/>
          <w:sz w:val="13"/>
          <w:szCs w:val="13"/>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188595</wp:posOffset>
            </wp:positionV>
            <wp:extent cx="7212965" cy="1803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12965" cy="1803400"/>
                    </a:xfrm>
                    <a:prstGeom prst="rect">
                      <a:avLst/>
                    </a:prstGeom>
                    <a:noFill/>
                  </pic:spPr>
                </pic:pic>
              </a:graphicData>
            </a:graphic>
          </wp:anchor>
        </w:drawing>
      </w:r>
    </w:p>
    <w:p>
      <w:pPr>
        <w:sectPr>
          <w:pgSz w:w="11900" w:h="16838" w:orient="portrait"/>
          <w:cols w:equalWidth="0" w:num="1">
            <w:col w:w="10806"/>
          </w:cols>
          <w:pgMar w:left="574" w:top="116"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6"/>
        <w:spacing w:after="0"/>
        <w:rPr>
          <w:sz w:val="20"/>
          <w:szCs w:val="20"/>
          <w:color w:val="auto"/>
        </w:rPr>
      </w:pPr>
      <w:r>
        <w:rPr>
          <w:rFonts w:ascii="Arial" w:cs="Arial" w:eastAsia="Arial" w:hAnsi="Arial"/>
          <w:sz w:val="12"/>
          <w:szCs w:val="12"/>
          <w:u w:val="single" w:color="auto"/>
          <w:color w:val="auto"/>
        </w:rPr>
        <w:t>New Class A/A+ development and redevelopment properties</w:t>
      </w:r>
    </w:p>
    <w:p>
      <w:pPr>
        <w:sectPr>
          <w:pgSz w:w="11900" w:h="16838" w:orient="portrait"/>
          <w:cols w:equalWidth="0" w:num="1">
            <w:col w:w="10806"/>
          </w:cols>
          <w:pgMar w:left="574" w:top="116" w:right="519" w:bottom="1440" w:gutter="0" w:footer="0" w:header="0"/>
          <w:type w:val="continuous"/>
        </w:sectPr>
      </w:pPr>
    </w:p>
    <w:bookmarkStart w:id="41" w:name="page42"/>
    <w:bookmarkEnd w:id="4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212965" cy="37738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12965" cy="3773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
        <w:spacing w:after="0"/>
        <w:rPr>
          <w:sz w:val="20"/>
          <w:szCs w:val="20"/>
          <w:color w:val="auto"/>
        </w:rPr>
      </w:pPr>
      <w:r>
        <w:rPr>
          <w:rFonts w:ascii="Arial" w:cs="Arial" w:eastAsia="Arial" w:hAnsi="Arial"/>
          <w:sz w:val="10"/>
          <w:szCs w:val="10"/>
          <w:color w:val="auto"/>
        </w:rPr>
        <w:t>Refer to “Net operating income” under “Definitions and reconciliations” in Item 2 for additional details, including its reconciliation from the most directly comparable financial measures presented in accordance with GAAP.</w:t>
      </w:r>
    </w:p>
    <w:p>
      <w:pPr>
        <w:spacing w:after="0" w:line="46" w:lineRule="exact"/>
        <w:rPr>
          <w:sz w:val="20"/>
          <w:szCs w:val="20"/>
          <w:color w:val="auto"/>
        </w:rPr>
      </w:pPr>
    </w:p>
    <w:p>
      <w:pPr>
        <w:ind w:left="266" w:hanging="266"/>
        <w:spacing w:after="0"/>
        <w:tabs>
          <w:tab w:leader="none" w:pos="266" w:val="left"/>
        </w:tabs>
        <w:numPr>
          <w:ilvl w:val="0"/>
          <w:numId w:val="84"/>
        </w:numPr>
        <w:rPr>
          <w:rFonts w:ascii="Arial" w:cs="Arial" w:eastAsia="Arial" w:hAnsi="Arial"/>
          <w:sz w:val="10"/>
          <w:szCs w:val="10"/>
          <w:color w:val="auto"/>
        </w:rPr>
      </w:pPr>
      <w:r>
        <w:rPr>
          <w:rFonts w:ascii="Arial" w:cs="Arial" w:eastAsia="Arial" w:hAnsi="Arial"/>
          <w:sz w:val="10"/>
          <w:szCs w:val="10"/>
          <w:color w:val="auto"/>
        </w:rPr>
        <w:t>Our share of incremental annual net operating income from development and redevelopment projects expected to be placed into service primarily commencing from 3Q24 through 1Q28 is projected to be $380 million.</w:t>
      </w:r>
    </w:p>
    <w:p>
      <w:pPr>
        <w:spacing w:after="0" w:line="13" w:lineRule="exact"/>
        <w:rPr>
          <w:rFonts w:ascii="Arial" w:cs="Arial" w:eastAsia="Arial" w:hAnsi="Arial"/>
          <w:sz w:val="10"/>
          <w:szCs w:val="10"/>
          <w:color w:val="auto"/>
        </w:rPr>
      </w:pPr>
    </w:p>
    <w:p>
      <w:pPr>
        <w:ind w:left="266" w:right="420" w:hanging="266"/>
        <w:spacing w:after="0" w:line="251" w:lineRule="auto"/>
        <w:tabs>
          <w:tab w:leader="none" w:pos="266" w:val="left"/>
        </w:tabs>
        <w:numPr>
          <w:ilvl w:val="0"/>
          <w:numId w:val="84"/>
        </w:numPr>
        <w:rPr>
          <w:rFonts w:ascii="Arial" w:cs="Arial" w:eastAsia="Arial" w:hAnsi="Arial"/>
          <w:sz w:val="10"/>
          <w:szCs w:val="10"/>
          <w:color w:val="auto"/>
        </w:rPr>
      </w:pPr>
      <w:r>
        <w:rPr>
          <w:rFonts w:ascii="Arial" w:cs="Arial" w:eastAsia="Arial" w:hAnsi="Arial"/>
          <w:sz w:val="10"/>
          <w:szCs w:val="10"/>
          <w:color w:val="auto"/>
        </w:rPr>
        <w:t>Represents expected incremental annual net operating income to be placed into service from deliveries of projects undergoing construction and one committed near-term project expected to commence construction in the next two years.</w:t>
      </w:r>
    </w:p>
    <w:p>
      <w:pPr>
        <w:ind w:left="266" w:right="20" w:hanging="266"/>
        <w:spacing w:after="0" w:line="261" w:lineRule="auto"/>
        <w:tabs>
          <w:tab w:leader="none" w:pos="266" w:val="left"/>
        </w:tabs>
        <w:numPr>
          <w:ilvl w:val="0"/>
          <w:numId w:val="84"/>
        </w:numPr>
        <w:rPr>
          <w:rFonts w:ascii="Arial" w:cs="Arial" w:eastAsia="Arial" w:hAnsi="Arial"/>
          <w:sz w:val="10"/>
          <w:szCs w:val="10"/>
          <w:color w:val="auto"/>
        </w:rPr>
      </w:pPr>
      <w:r>
        <w:rPr>
          <w:rFonts w:ascii="Arial" w:cs="Arial" w:eastAsia="Arial" w:hAnsi="Arial"/>
          <w:sz w:val="10"/>
          <w:szCs w:val="10"/>
          <w:color w:val="auto"/>
        </w:rPr>
        <w:t>Includes 1.5 million RSF that is expected to stabilize through 2025 and is 87% leased, and partial deliveries through 4Q25 from projects expected to stabilize in 2026 and beyond. In addition to the projects represented, we are evaluating one priority anticipated development project that could commence active construction in the second half of 2024 and may have initial delivery in 2025. Refer to the initial and stabilized occupancy years under “New Class A/A+ development and redevelopment properties: current projects” in Item 2 for additional details.</w:t>
      </w:r>
    </w:p>
    <w:p>
      <w:pPr>
        <w:spacing w:after="0" w:line="377" w:lineRule="exact"/>
        <w:rPr>
          <w:sz w:val="20"/>
          <w:szCs w:val="20"/>
          <w:color w:val="auto"/>
        </w:rPr>
      </w:pPr>
    </w:p>
    <w:p>
      <w:pPr>
        <w:jc w:val="center"/>
        <w:ind w:right="-25"/>
        <w:spacing w:after="0"/>
        <w:rPr>
          <w:sz w:val="20"/>
          <w:szCs w:val="20"/>
          <w:color w:val="auto"/>
        </w:rPr>
      </w:pPr>
      <w:r>
        <w:rPr>
          <w:rFonts w:ascii="Arial" w:cs="Arial" w:eastAsia="Arial" w:hAnsi="Arial"/>
          <w:sz w:val="13"/>
          <w:szCs w:val="13"/>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188595</wp:posOffset>
            </wp:positionV>
            <wp:extent cx="7212965" cy="55841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12965" cy="5584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6"/>
        <w:spacing w:after="0"/>
        <w:rPr>
          <w:sz w:val="20"/>
          <w:szCs w:val="20"/>
          <w:color w:val="auto"/>
        </w:rPr>
      </w:pPr>
      <w:r>
        <w:rPr>
          <w:rFonts w:ascii="Arial" w:cs="Arial" w:eastAsia="Arial" w:hAnsi="Arial"/>
          <w:sz w:val="13"/>
          <w:szCs w:val="13"/>
          <w:u w:val="single" w:color="auto"/>
          <w:color w:val="auto"/>
        </w:rPr>
        <w:t>New Class A/A+ development and redevelopment properties: recent deliveries</w:t>
      </w:r>
    </w:p>
    <w:p>
      <w:pPr>
        <w:spacing w:after="0" w:line="119" w:lineRule="exact"/>
        <w:rPr>
          <w:sz w:val="20"/>
          <w:szCs w:val="20"/>
          <w:color w:val="auto"/>
        </w:rPr>
      </w:pPr>
    </w:p>
    <w:p>
      <w:pPr>
        <w:ind w:left="6" w:right="40" w:firstLine="515"/>
        <w:spacing w:after="0" w:line="269" w:lineRule="auto"/>
        <w:rPr>
          <w:sz w:val="20"/>
          <w:szCs w:val="20"/>
          <w:color w:val="auto"/>
        </w:rPr>
      </w:pPr>
      <w:r>
        <w:rPr>
          <w:rFonts w:ascii="Arial" w:cs="Arial" w:eastAsia="Arial" w:hAnsi="Arial"/>
          <w:sz w:val="13"/>
          <w:szCs w:val="13"/>
          <w:color w:val="auto"/>
        </w:rPr>
        <w:t>The following table presents value-creation development and redevelopment of new Class A/A+ properties placed into service during the six months ended June 30, 2024 (dollars in thousands):</w:t>
      </w:r>
    </w:p>
    <w:p>
      <w:pPr>
        <w:jc w:val="center"/>
        <w:ind w:right="-25"/>
        <w:spacing w:after="0"/>
        <w:rPr>
          <w:sz w:val="20"/>
          <w:szCs w:val="20"/>
          <w:color w:val="auto"/>
        </w:rPr>
      </w:pPr>
      <w:r>
        <w:rPr>
          <w:rFonts w:ascii="Arial" w:cs="Arial" w:eastAsia="Arial" w:hAnsi="Arial"/>
          <w:sz w:val="24"/>
          <w:szCs w:val="24"/>
          <w:color w:val="1F497D"/>
        </w:rPr>
        <w:t>Incremental Annual Net Operating Income Generated From 1H24 Deliveries</w:t>
      </w:r>
    </w:p>
    <w:p>
      <w:pPr>
        <w:spacing w:after="0" w:line="17" w:lineRule="exact"/>
        <w:rPr>
          <w:sz w:val="20"/>
          <w:szCs w:val="20"/>
          <w:color w:val="auto"/>
        </w:rPr>
      </w:pPr>
    </w:p>
    <w:p>
      <w:pPr>
        <w:jc w:val="center"/>
        <w:ind w:right="-25"/>
        <w:spacing w:after="0"/>
        <w:rPr>
          <w:sz w:val="20"/>
          <w:szCs w:val="20"/>
          <w:color w:val="auto"/>
        </w:rPr>
      </w:pPr>
      <w:r>
        <w:rPr>
          <w:rFonts w:ascii="Arial" w:cs="Arial" w:eastAsia="Arial" w:hAnsi="Arial"/>
          <w:sz w:val="24"/>
          <w:szCs w:val="24"/>
          <w:color w:val="1F497D"/>
        </w:rPr>
        <w:t>Aggregated $42 Million, Including $16 Million in 2Q24</w:t>
      </w:r>
    </w:p>
    <w:p>
      <w:pPr>
        <w:spacing w:after="0" w:line="86" w:lineRule="exact"/>
        <w:rPr>
          <w:sz w:val="20"/>
          <w:szCs w:val="20"/>
          <w:color w:val="auto"/>
        </w:rPr>
      </w:pPr>
    </w:p>
    <w:tbl>
      <w:tblPr>
        <w:tblLayout w:type="fixed"/>
        <w:tblInd w:w="1046" w:type="dxa"/>
        <w:tblCellMar>
          <w:top w:w="0" w:type="dxa"/>
          <w:left w:w="0" w:type="dxa"/>
          <w:bottom w:w="0" w:type="dxa"/>
          <w:right w:w="0" w:type="dxa"/>
        </w:tblCellMar>
      </w:tblPr>
      <w:tr>
        <w:trPr>
          <w:trHeight w:val="126"/>
        </w:trPr>
        <w:tc>
          <w:tcPr>
            <w:tcW w:w="2200" w:type="dxa"/>
            <w:vAlign w:val="bottom"/>
            <w:gridSpan w:val="2"/>
          </w:tcPr>
          <w:p>
            <w:pPr>
              <w:jc w:val="center"/>
              <w:ind w:right="40"/>
              <w:spacing w:after="0"/>
              <w:rPr>
                <w:sz w:val="20"/>
                <w:szCs w:val="20"/>
                <w:color w:val="auto"/>
              </w:rPr>
            </w:pPr>
            <w:r>
              <w:rPr>
                <w:rFonts w:ascii="Arial" w:cs="Arial" w:eastAsia="Arial" w:hAnsi="Arial"/>
                <w:sz w:val="11"/>
                <w:szCs w:val="11"/>
                <w:b w:val="1"/>
                <w:bCs w:val="1"/>
                <w:color w:val="1F497D"/>
              </w:rPr>
              <w:t>500 North Beacon Street and</w:t>
            </w:r>
          </w:p>
        </w:tc>
        <w:tc>
          <w:tcPr>
            <w:tcW w:w="2140" w:type="dxa"/>
            <w:vAlign w:val="bottom"/>
            <w:vMerge w:val="restart"/>
          </w:tcPr>
          <w:p>
            <w:pPr>
              <w:ind w:left="340"/>
              <w:spacing w:after="0"/>
              <w:rPr>
                <w:sz w:val="20"/>
                <w:szCs w:val="20"/>
                <w:color w:val="auto"/>
              </w:rPr>
            </w:pPr>
            <w:r>
              <w:rPr>
                <w:rFonts w:ascii="Arial" w:cs="Arial" w:eastAsia="Arial" w:hAnsi="Arial"/>
                <w:sz w:val="11"/>
                <w:szCs w:val="11"/>
                <w:b w:val="1"/>
                <w:bCs w:val="1"/>
                <w:color w:val="1F497D"/>
              </w:rPr>
              <w:t>1150 Eastlake Avenue East</w:t>
            </w:r>
          </w:p>
        </w:tc>
        <w:tc>
          <w:tcPr>
            <w:tcW w:w="40" w:type="dxa"/>
            <w:vAlign w:val="bottom"/>
            <w:vMerge w:val="restart"/>
          </w:tcPr>
          <w:p>
            <w:pPr>
              <w:spacing w:after="0"/>
              <w:rPr>
                <w:sz w:val="10"/>
                <w:szCs w:val="10"/>
                <w:color w:val="auto"/>
              </w:rPr>
            </w:pPr>
          </w:p>
        </w:tc>
        <w:tc>
          <w:tcPr>
            <w:tcW w:w="2160" w:type="dxa"/>
            <w:vAlign w:val="bottom"/>
            <w:vMerge w:val="restart"/>
          </w:tcPr>
          <w:p>
            <w:pPr>
              <w:jc w:val="center"/>
              <w:spacing w:after="0"/>
              <w:rPr>
                <w:sz w:val="20"/>
                <w:szCs w:val="20"/>
                <w:color w:val="auto"/>
              </w:rPr>
            </w:pPr>
            <w:r>
              <w:rPr>
                <w:rFonts w:ascii="Arial" w:cs="Arial" w:eastAsia="Arial" w:hAnsi="Arial"/>
                <w:sz w:val="11"/>
                <w:szCs w:val="11"/>
                <w:b w:val="1"/>
                <w:bCs w:val="1"/>
                <w:color w:val="1F497D"/>
              </w:rPr>
              <w:t>9810 Darnestown Road</w:t>
            </w:r>
          </w:p>
        </w:tc>
        <w:tc>
          <w:tcPr>
            <w:tcW w:w="40" w:type="dxa"/>
            <w:vAlign w:val="bottom"/>
            <w:vMerge w:val="restart"/>
          </w:tcPr>
          <w:p>
            <w:pPr>
              <w:spacing w:after="0"/>
              <w:rPr>
                <w:sz w:val="10"/>
                <w:szCs w:val="10"/>
                <w:color w:val="auto"/>
              </w:rPr>
            </w:pPr>
          </w:p>
        </w:tc>
        <w:tc>
          <w:tcPr>
            <w:tcW w:w="2140" w:type="dxa"/>
            <w:vAlign w:val="bottom"/>
            <w:vMerge w:val="restart"/>
          </w:tcPr>
          <w:p>
            <w:pPr>
              <w:jc w:val="center"/>
              <w:spacing w:after="0"/>
              <w:rPr>
                <w:sz w:val="20"/>
                <w:szCs w:val="20"/>
                <w:color w:val="auto"/>
              </w:rPr>
            </w:pPr>
            <w:r>
              <w:rPr>
                <w:rFonts w:ascii="Arial" w:cs="Arial" w:eastAsia="Arial" w:hAnsi="Arial"/>
                <w:sz w:val="11"/>
                <w:szCs w:val="11"/>
                <w:b w:val="1"/>
                <w:bCs w:val="1"/>
                <w:color w:val="1F497D"/>
              </w:rPr>
              <w:t>9808 Medical Center Drive</w:t>
            </w:r>
          </w:p>
        </w:tc>
        <w:tc>
          <w:tcPr>
            <w:tcW w:w="0" w:type="dxa"/>
            <w:vAlign w:val="bottom"/>
          </w:tcPr>
          <w:p>
            <w:pPr>
              <w:spacing w:after="0"/>
              <w:rPr>
                <w:sz w:val="1"/>
                <w:szCs w:val="1"/>
                <w:color w:val="auto"/>
              </w:rPr>
            </w:pPr>
          </w:p>
        </w:tc>
      </w:tr>
      <w:tr>
        <w:trPr>
          <w:trHeight w:val="150"/>
        </w:trPr>
        <w:tc>
          <w:tcPr>
            <w:tcW w:w="2160" w:type="dxa"/>
            <w:vAlign w:val="bottom"/>
            <w:tcBorders>
              <w:bottom w:val="single" w:sz="8" w:color="015CAF"/>
            </w:tcBorders>
          </w:tcPr>
          <w:p>
            <w:pPr>
              <w:jc w:val="center"/>
              <w:spacing w:after="0" w:line="151" w:lineRule="exact"/>
              <w:rPr>
                <w:sz w:val="20"/>
                <w:szCs w:val="20"/>
                <w:color w:val="auto"/>
              </w:rPr>
            </w:pPr>
            <w:r>
              <w:rPr>
                <w:rFonts w:ascii="Arial" w:cs="Arial" w:eastAsia="Arial" w:hAnsi="Arial"/>
                <w:sz w:val="11"/>
                <w:szCs w:val="11"/>
                <w:b w:val="1"/>
                <w:bCs w:val="1"/>
                <w:color w:val="1F497D"/>
              </w:rPr>
              <w:t>4 Kingsbury Avenue</w:t>
            </w:r>
            <w:r>
              <w:rPr>
                <w:rFonts w:ascii="Arial" w:cs="Arial" w:eastAsia="Arial" w:hAnsi="Arial"/>
                <w:sz w:val="14"/>
                <w:szCs w:val="14"/>
                <w:b w:val="1"/>
                <w:bCs w:val="1"/>
                <w:color w:val="1F497D"/>
                <w:vertAlign w:val="superscript"/>
              </w:rPr>
              <w:t>(1)</w:t>
            </w:r>
          </w:p>
        </w:tc>
        <w:tc>
          <w:tcPr>
            <w:tcW w:w="40" w:type="dxa"/>
            <w:vAlign w:val="bottom"/>
          </w:tcPr>
          <w:p>
            <w:pPr>
              <w:spacing w:after="0"/>
              <w:rPr>
                <w:sz w:val="13"/>
                <w:szCs w:val="13"/>
                <w:color w:val="auto"/>
              </w:rPr>
            </w:pPr>
          </w:p>
        </w:tc>
        <w:tc>
          <w:tcPr>
            <w:tcW w:w="2140" w:type="dxa"/>
            <w:vAlign w:val="bottom"/>
            <w:tcBorders>
              <w:bottom w:val="single" w:sz="8" w:color="015CAF"/>
            </w:tcBorders>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2160" w:type="dxa"/>
            <w:vAlign w:val="bottom"/>
            <w:tcBorders>
              <w:bottom w:val="single" w:sz="8" w:color="015CAF"/>
            </w:tcBorders>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2140" w:type="dxa"/>
            <w:vAlign w:val="bottom"/>
            <w:tcBorders>
              <w:bottom w:val="single" w:sz="8" w:color="015CAF"/>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2200" w:type="dxa"/>
            <w:vAlign w:val="bottom"/>
            <w:gridSpan w:val="2"/>
          </w:tcPr>
          <w:p>
            <w:pPr>
              <w:jc w:val="center"/>
              <w:ind w:right="20"/>
              <w:spacing w:after="0"/>
              <w:rPr>
                <w:sz w:val="20"/>
                <w:szCs w:val="20"/>
                <w:color w:val="auto"/>
              </w:rPr>
            </w:pPr>
            <w:r>
              <w:rPr>
                <w:rFonts w:ascii="Arial" w:cs="Arial" w:eastAsia="Arial" w:hAnsi="Arial"/>
                <w:sz w:val="12"/>
                <w:szCs w:val="12"/>
                <w:color w:val="auto"/>
              </w:rPr>
              <w:t>Greater Boston/</w:t>
            </w:r>
          </w:p>
        </w:tc>
        <w:tc>
          <w:tcPr>
            <w:tcW w:w="2180" w:type="dxa"/>
            <w:vAlign w:val="bottom"/>
            <w:gridSpan w:val="2"/>
            <w:vMerge w:val="restart"/>
          </w:tcPr>
          <w:p>
            <w:pPr>
              <w:jc w:val="center"/>
              <w:ind w:right="40"/>
              <w:spacing w:after="0"/>
              <w:rPr>
                <w:sz w:val="20"/>
                <w:szCs w:val="20"/>
                <w:color w:val="auto"/>
              </w:rPr>
            </w:pPr>
            <w:r>
              <w:rPr>
                <w:rFonts w:ascii="Arial" w:cs="Arial" w:eastAsia="Arial" w:hAnsi="Arial"/>
                <w:sz w:val="12"/>
                <w:szCs w:val="12"/>
                <w:color w:val="auto"/>
              </w:rPr>
              <w:t>Seattle/Lake Union</w:t>
            </w:r>
          </w:p>
        </w:tc>
        <w:tc>
          <w:tcPr>
            <w:tcW w:w="2200" w:type="dxa"/>
            <w:vAlign w:val="bottom"/>
            <w:gridSpan w:val="2"/>
            <w:vMerge w:val="restart"/>
          </w:tcPr>
          <w:p>
            <w:pPr>
              <w:jc w:val="center"/>
              <w:ind w:right="20"/>
              <w:spacing w:after="0"/>
              <w:rPr>
                <w:sz w:val="20"/>
                <w:szCs w:val="20"/>
                <w:color w:val="auto"/>
              </w:rPr>
            </w:pPr>
            <w:r>
              <w:rPr>
                <w:rFonts w:ascii="Arial" w:cs="Arial" w:eastAsia="Arial" w:hAnsi="Arial"/>
                <w:sz w:val="12"/>
                <w:szCs w:val="12"/>
                <w:color w:val="auto"/>
              </w:rPr>
              <w:t>Maryland/Rockville</w:t>
            </w:r>
          </w:p>
        </w:tc>
        <w:tc>
          <w:tcPr>
            <w:tcW w:w="2140" w:type="dxa"/>
            <w:vAlign w:val="bottom"/>
            <w:vMerge w:val="restart"/>
          </w:tcPr>
          <w:p>
            <w:pPr>
              <w:jc w:val="center"/>
              <w:spacing w:after="0"/>
              <w:rPr>
                <w:sz w:val="20"/>
                <w:szCs w:val="20"/>
                <w:color w:val="auto"/>
              </w:rPr>
            </w:pPr>
            <w:r>
              <w:rPr>
                <w:rFonts w:ascii="Arial" w:cs="Arial" w:eastAsia="Arial" w:hAnsi="Arial"/>
                <w:sz w:val="12"/>
                <w:szCs w:val="12"/>
                <w:color w:val="auto"/>
              </w:rPr>
              <w:t>Maryland/Rockville</w:t>
            </w:r>
          </w:p>
        </w:tc>
        <w:tc>
          <w:tcPr>
            <w:tcW w:w="0" w:type="dxa"/>
            <w:vAlign w:val="bottom"/>
          </w:tcPr>
          <w:p>
            <w:pPr>
              <w:spacing w:after="0"/>
              <w:rPr>
                <w:sz w:val="1"/>
                <w:szCs w:val="1"/>
                <w:color w:val="auto"/>
              </w:rPr>
            </w:pPr>
          </w:p>
        </w:tc>
      </w:tr>
      <w:tr>
        <w:trPr>
          <w:trHeight w:val="102"/>
        </w:trPr>
        <w:tc>
          <w:tcPr>
            <w:tcW w:w="2200" w:type="dxa"/>
            <w:vAlign w:val="bottom"/>
            <w:gridSpan w:val="2"/>
            <w:vMerge w:val="restart"/>
          </w:tcPr>
          <w:p>
            <w:pPr>
              <w:jc w:val="center"/>
              <w:ind w:right="40"/>
              <w:spacing w:after="0"/>
              <w:rPr>
                <w:sz w:val="20"/>
                <w:szCs w:val="20"/>
                <w:color w:val="auto"/>
              </w:rPr>
            </w:pPr>
            <w:r>
              <w:rPr>
                <w:rFonts w:ascii="Arial" w:cs="Arial" w:eastAsia="Arial" w:hAnsi="Arial"/>
                <w:sz w:val="12"/>
                <w:szCs w:val="12"/>
                <w:color w:val="auto"/>
              </w:rPr>
              <w:t>Cambridge/Inner Suburbs</w:t>
            </w:r>
          </w:p>
        </w:tc>
        <w:tc>
          <w:tcPr>
            <w:tcW w:w="2180" w:type="dxa"/>
            <w:vAlign w:val="bottom"/>
            <w:gridSpan w:val="2"/>
            <w:vMerge w:val="continue"/>
          </w:tcPr>
          <w:p>
            <w:pPr>
              <w:spacing w:after="0"/>
              <w:rPr>
                <w:sz w:val="8"/>
                <w:szCs w:val="8"/>
                <w:color w:val="auto"/>
              </w:rPr>
            </w:pPr>
          </w:p>
        </w:tc>
        <w:tc>
          <w:tcPr>
            <w:tcW w:w="2200" w:type="dxa"/>
            <w:vAlign w:val="bottom"/>
            <w:gridSpan w:val="2"/>
            <w:vMerge w:val="continue"/>
          </w:tcPr>
          <w:p>
            <w:pPr>
              <w:spacing w:after="0"/>
              <w:rPr>
                <w:sz w:val="8"/>
                <w:szCs w:val="8"/>
                <w:color w:val="auto"/>
              </w:rPr>
            </w:pPr>
          </w:p>
        </w:tc>
        <w:tc>
          <w:tcPr>
            <w:tcW w:w="21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8"/>
        </w:trPr>
        <w:tc>
          <w:tcPr>
            <w:tcW w:w="2200" w:type="dxa"/>
            <w:vAlign w:val="bottom"/>
            <w:gridSpan w:val="2"/>
            <w:vMerge w:val="continue"/>
          </w:tcPr>
          <w:p>
            <w:pPr>
              <w:spacing w:after="0"/>
              <w:rPr>
                <w:sz w:val="5"/>
                <w:szCs w:val="5"/>
                <w:color w:val="auto"/>
              </w:rPr>
            </w:pPr>
          </w:p>
        </w:tc>
        <w:tc>
          <w:tcPr>
            <w:tcW w:w="2140" w:type="dxa"/>
            <w:vAlign w:val="bottom"/>
          </w:tcPr>
          <w:p>
            <w:pPr>
              <w:spacing w:after="0"/>
              <w:rPr>
                <w:sz w:val="5"/>
                <w:szCs w:val="5"/>
                <w:color w:val="auto"/>
              </w:rPr>
            </w:pPr>
          </w:p>
        </w:tc>
        <w:tc>
          <w:tcPr>
            <w:tcW w:w="40" w:type="dxa"/>
            <w:vAlign w:val="bottom"/>
          </w:tcPr>
          <w:p>
            <w:pPr>
              <w:spacing w:after="0"/>
              <w:rPr>
                <w:sz w:val="5"/>
                <w:szCs w:val="5"/>
                <w:color w:val="auto"/>
              </w:rPr>
            </w:pPr>
          </w:p>
        </w:tc>
        <w:tc>
          <w:tcPr>
            <w:tcW w:w="2160" w:type="dxa"/>
            <w:vAlign w:val="bottom"/>
          </w:tcPr>
          <w:p>
            <w:pPr>
              <w:spacing w:after="0"/>
              <w:rPr>
                <w:sz w:val="5"/>
                <w:szCs w:val="5"/>
                <w:color w:val="auto"/>
              </w:rPr>
            </w:pPr>
          </w:p>
        </w:tc>
        <w:tc>
          <w:tcPr>
            <w:tcW w:w="40" w:type="dxa"/>
            <w:vAlign w:val="bottom"/>
          </w:tcPr>
          <w:p>
            <w:pPr>
              <w:spacing w:after="0"/>
              <w:rPr>
                <w:sz w:val="5"/>
                <w:szCs w:val="5"/>
                <w:color w:val="auto"/>
              </w:rPr>
            </w:pPr>
          </w:p>
        </w:tc>
        <w:tc>
          <w:tcPr>
            <w:tcW w:w="2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0"/>
        </w:trPr>
        <w:tc>
          <w:tcPr>
            <w:tcW w:w="2200" w:type="dxa"/>
            <w:vAlign w:val="bottom"/>
            <w:gridSpan w:val="2"/>
          </w:tcPr>
          <w:p>
            <w:pPr>
              <w:jc w:val="center"/>
              <w:spacing w:after="0"/>
              <w:rPr>
                <w:sz w:val="20"/>
                <w:szCs w:val="20"/>
                <w:color w:val="auto"/>
              </w:rPr>
            </w:pPr>
            <w:r>
              <w:rPr>
                <w:rFonts w:ascii="Arial" w:cs="Arial" w:eastAsia="Arial" w:hAnsi="Arial"/>
                <w:sz w:val="12"/>
                <w:szCs w:val="12"/>
                <w:color w:val="auto"/>
              </w:rPr>
              <w:t>138,537 RSF</w:t>
            </w:r>
          </w:p>
        </w:tc>
        <w:tc>
          <w:tcPr>
            <w:tcW w:w="2180" w:type="dxa"/>
            <w:vAlign w:val="bottom"/>
            <w:gridSpan w:val="2"/>
          </w:tcPr>
          <w:p>
            <w:pPr>
              <w:jc w:val="center"/>
              <w:ind w:right="20"/>
              <w:spacing w:after="0"/>
              <w:rPr>
                <w:sz w:val="20"/>
                <w:szCs w:val="20"/>
                <w:color w:val="auto"/>
              </w:rPr>
            </w:pPr>
            <w:r>
              <w:rPr>
                <w:rFonts w:ascii="Arial" w:cs="Arial" w:eastAsia="Arial" w:hAnsi="Arial"/>
                <w:sz w:val="12"/>
                <w:szCs w:val="12"/>
                <w:color w:val="auto"/>
              </w:rPr>
              <w:t>280,361 RSF</w:t>
            </w:r>
          </w:p>
        </w:tc>
        <w:tc>
          <w:tcPr>
            <w:tcW w:w="2200" w:type="dxa"/>
            <w:vAlign w:val="bottom"/>
            <w:gridSpan w:val="2"/>
          </w:tcPr>
          <w:p>
            <w:pPr>
              <w:jc w:val="center"/>
              <w:spacing w:after="0"/>
              <w:rPr>
                <w:sz w:val="20"/>
                <w:szCs w:val="20"/>
                <w:color w:val="auto"/>
              </w:rPr>
            </w:pPr>
            <w:r>
              <w:rPr>
                <w:rFonts w:ascii="Arial" w:cs="Arial" w:eastAsia="Arial" w:hAnsi="Arial"/>
                <w:sz w:val="12"/>
                <w:szCs w:val="12"/>
                <w:color w:val="auto"/>
              </w:rPr>
              <w:t>195,435 RSF</w:t>
            </w:r>
          </w:p>
        </w:tc>
        <w:tc>
          <w:tcPr>
            <w:tcW w:w="2140" w:type="dxa"/>
            <w:vAlign w:val="bottom"/>
          </w:tcPr>
          <w:p>
            <w:pPr>
              <w:jc w:val="center"/>
              <w:spacing w:after="0"/>
              <w:rPr>
                <w:sz w:val="20"/>
                <w:szCs w:val="20"/>
                <w:color w:val="auto"/>
              </w:rPr>
            </w:pPr>
            <w:r>
              <w:rPr>
                <w:rFonts w:ascii="Arial" w:cs="Arial" w:eastAsia="Arial" w:hAnsi="Arial"/>
                <w:sz w:val="12"/>
                <w:szCs w:val="12"/>
                <w:color w:val="auto"/>
                <w:w w:val="99"/>
              </w:rPr>
              <w:t>52,115 RSF</w:t>
            </w:r>
          </w:p>
        </w:tc>
        <w:tc>
          <w:tcPr>
            <w:tcW w:w="0" w:type="dxa"/>
            <w:vAlign w:val="bottom"/>
          </w:tcPr>
          <w:p>
            <w:pPr>
              <w:spacing w:after="0"/>
              <w:rPr>
                <w:sz w:val="1"/>
                <w:szCs w:val="1"/>
                <w:color w:val="auto"/>
              </w:rPr>
            </w:pPr>
          </w:p>
        </w:tc>
      </w:tr>
      <w:tr>
        <w:trPr>
          <w:trHeight w:val="181"/>
        </w:trPr>
        <w:tc>
          <w:tcPr>
            <w:tcW w:w="2200" w:type="dxa"/>
            <w:vAlign w:val="bottom"/>
            <w:gridSpan w:val="2"/>
          </w:tcPr>
          <w:p>
            <w:pPr>
              <w:jc w:val="center"/>
              <w:ind w:right="20"/>
              <w:spacing w:after="0"/>
              <w:rPr>
                <w:sz w:val="20"/>
                <w:szCs w:val="20"/>
                <w:color w:val="auto"/>
              </w:rPr>
            </w:pPr>
            <w:r>
              <w:rPr>
                <w:rFonts w:ascii="Arial" w:cs="Arial" w:eastAsia="Arial" w:hAnsi="Arial"/>
                <w:sz w:val="11"/>
                <w:szCs w:val="11"/>
                <w:color w:val="auto"/>
              </w:rPr>
              <w:t>100% Occupancy</w:t>
            </w:r>
          </w:p>
        </w:tc>
        <w:tc>
          <w:tcPr>
            <w:tcW w:w="2180" w:type="dxa"/>
            <w:vAlign w:val="bottom"/>
            <w:gridSpan w:val="2"/>
          </w:tcPr>
          <w:p>
            <w:pPr>
              <w:jc w:val="center"/>
              <w:spacing w:after="0"/>
              <w:rPr>
                <w:sz w:val="20"/>
                <w:szCs w:val="20"/>
                <w:color w:val="auto"/>
              </w:rPr>
            </w:pPr>
            <w:r>
              <w:rPr>
                <w:rFonts w:ascii="Arial" w:cs="Arial" w:eastAsia="Arial" w:hAnsi="Arial"/>
                <w:sz w:val="11"/>
                <w:szCs w:val="11"/>
                <w:color w:val="auto"/>
              </w:rPr>
              <w:t>100% Occupancy</w:t>
            </w:r>
          </w:p>
        </w:tc>
        <w:tc>
          <w:tcPr>
            <w:tcW w:w="2200" w:type="dxa"/>
            <w:vAlign w:val="bottom"/>
            <w:gridSpan w:val="2"/>
          </w:tcPr>
          <w:p>
            <w:pPr>
              <w:jc w:val="center"/>
              <w:ind w:right="20"/>
              <w:spacing w:after="0"/>
              <w:rPr>
                <w:sz w:val="20"/>
                <w:szCs w:val="20"/>
                <w:color w:val="auto"/>
              </w:rPr>
            </w:pPr>
            <w:r>
              <w:rPr>
                <w:rFonts w:ascii="Arial" w:cs="Arial" w:eastAsia="Arial" w:hAnsi="Arial"/>
                <w:sz w:val="11"/>
                <w:szCs w:val="11"/>
                <w:color w:val="auto"/>
              </w:rPr>
              <w:t>100% Occupancy</w:t>
            </w:r>
          </w:p>
        </w:tc>
        <w:tc>
          <w:tcPr>
            <w:tcW w:w="2140" w:type="dxa"/>
            <w:vAlign w:val="bottom"/>
          </w:tcPr>
          <w:p>
            <w:pPr>
              <w:jc w:val="center"/>
              <w:spacing w:after="0"/>
              <w:rPr>
                <w:sz w:val="20"/>
                <w:szCs w:val="20"/>
                <w:color w:val="auto"/>
              </w:rPr>
            </w:pPr>
            <w:r>
              <w:rPr>
                <w:rFonts w:ascii="Arial" w:cs="Arial" w:eastAsia="Arial" w:hAnsi="Arial"/>
                <w:sz w:val="11"/>
                <w:szCs w:val="11"/>
                <w:color w:val="auto"/>
              </w:rPr>
              <w:t>100% Occupancy</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6" w:type="dxa"/>
        <w:tblCellMar>
          <w:top w:w="0" w:type="dxa"/>
          <w:left w:w="0" w:type="dxa"/>
          <w:bottom w:w="0" w:type="dxa"/>
          <w:right w:w="0" w:type="dxa"/>
        </w:tblCellMar>
      </w:tblPr>
      <w:tr>
        <w:trPr>
          <w:trHeight w:val="148"/>
        </w:trPr>
        <w:tc>
          <w:tcPr>
            <w:tcW w:w="3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6"/>
          </w:tcPr>
          <w:p>
            <w:pPr>
              <w:ind w:left="20"/>
              <w:spacing w:after="0"/>
              <w:rPr>
                <w:sz w:val="20"/>
                <w:szCs w:val="20"/>
                <w:color w:val="auto"/>
              </w:rPr>
            </w:pPr>
            <w:r>
              <w:rPr>
                <w:rFonts w:ascii="Arial" w:cs="Arial" w:eastAsia="Arial" w:hAnsi="Arial"/>
                <w:sz w:val="11"/>
                <w:szCs w:val="11"/>
                <w:b w:val="1"/>
                <w:bCs w:val="1"/>
                <w:color w:val="auto"/>
              </w:rPr>
              <w:t>RSF Placed in Service</w:t>
            </w:r>
          </w:p>
        </w:tc>
        <w:tc>
          <w:tcPr>
            <w:tcW w:w="60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gridSpan w:val="3"/>
          </w:tcPr>
          <w:p>
            <w:pPr>
              <w:ind w:left="240"/>
              <w:spacing w:after="0"/>
              <w:rPr>
                <w:sz w:val="20"/>
                <w:szCs w:val="20"/>
                <w:color w:val="auto"/>
              </w:rPr>
            </w:pPr>
            <w:r>
              <w:rPr>
                <w:rFonts w:ascii="Arial" w:cs="Arial" w:eastAsia="Arial" w:hAnsi="Arial"/>
                <w:sz w:val="11"/>
                <w:szCs w:val="11"/>
                <w:b w:val="1"/>
                <w:bCs w:val="1"/>
                <w:color w:val="auto"/>
              </w:rPr>
              <w:t>Unlevered Yields</w:t>
            </w:r>
          </w:p>
        </w:tc>
        <w:tc>
          <w:tcPr>
            <w:tcW w:w="0" w:type="dxa"/>
            <w:vAlign w:val="bottom"/>
          </w:tcPr>
          <w:p>
            <w:pPr>
              <w:spacing w:after="0"/>
              <w:rPr>
                <w:sz w:val="1"/>
                <w:szCs w:val="1"/>
                <w:color w:val="auto"/>
              </w:rPr>
            </w:pPr>
          </w:p>
        </w:tc>
      </w:tr>
      <w:tr>
        <w:trPr>
          <w:trHeight w:val="111"/>
        </w:trPr>
        <w:tc>
          <w:tcPr>
            <w:tcW w:w="32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jc w:val="center"/>
              <w:spacing w:after="0" w:line="112" w:lineRule="exact"/>
              <w:rPr>
                <w:sz w:val="20"/>
                <w:szCs w:val="20"/>
                <w:color w:val="auto"/>
              </w:rPr>
            </w:pPr>
            <w:r>
              <w:rPr>
                <w:rFonts w:ascii="Arial" w:cs="Arial" w:eastAsia="Arial" w:hAnsi="Arial"/>
                <w:sz w:val="11"/>
                <w:szCs w:val="11"/>
                <w:b w:val="1"/>
                <w:bCs w:val="1"/>
                <w:color w:val="auto"/>
              </w:rPr>
              <w:t>2Q24</w:t>
            </w:r>
          </w:p>
        </w:tc>
        <w:tc>
          <w:tcPr>
            <w:tcW w:w="40" w:type="dxa"/>
            <w:vAlign w:val="bottom"/>
          </w:tcPr>
          <w:p>
            <w:pPr>
              <w:spacing w:after="0"/>
              <w:rPr>
                <w:sz w:val="9"/>
                <w:szCs w:val="9"/>
                <w:color w:val="auto"/>
              </w:rPr>
            </w:pPr>
          </w:p>
        </w:tc>
        <w:tc>
          <w:tcPr>
            <w:tcW w:w="720" w:type="dxa"/>
            <w:vAlign w:val="bottom"/>
            <w:gridSpan w:val="2"/>
          </w:tcPr>
          <w:p>
            <w:pPr>
              <w:jc w:val="center"/>
              <w:ind w:right="20"/>
              <w:spacing w:after="0" w:line="112" w:lineRule="exact"/>
              <w:rPr>
                <w:sz w:val="20"/>
                <w:szCs w:val="20"/>
                <w:color w:val="auto"/>
              </w:rPr>
            </w:pPr>
            <w:r>
              <w:rPr>
                <w:rFonts w:ascii="Arial" w:cs="Arial" w:eastAsia="Arial" w:hAnsi="Arial"/>
                <w:sz w:val="11"/>
                <w:szCs w:val="11"/>
                <w:b w:val="1"/>
                <w:bCs w:val="1"/>
                <w:color w:val="auto"/>
              </w:rPr>
              <w:t>Our</w:t>
            </w: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1360" w:type="dxa"/>
            <w:vAlign w:val="bottom"/>
            <w:gridSpan w:val="4"/>
            <w:vMerge w:val="restart"/>
          </w:tcPr>
          <w:p>
            <w:pPr>
              <w:ind w:left="340"/>
              <w:spacing w:after="0"/>
              <w:rPr>
                <w:sz w:val="20"/>
                <w:szCs w:val="20"/>
                <w:color w:val="auto"/>
              </w:rPr>
            </w:pPr>
            <w:r>
              <w:rPr>
                <w:rFonts w:ascii="Arial" w:cs="Arial" w:eastAsia="Arial" w:hAnsi="Arial"/>
                <w:sz w:val="11"/>
                <w:szCs w:val="11"/>
                <w:b w:val="1"/>
                <w:bCs w:val="1"/>
                <w:color w:val="auto"/>
              </w:rPr>
              <w:t>Total Project</w:t>
            </w: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jc w:val="center"/>
              <w:spacing w:after="0" w:line="112" w:lineRule="exact"/>
              <w:rPr>
                <w:sz w:val="20"/>
                <w:szCs w:val="20"/>
                <w:color w:val="auto"/>
              </w:rPr>
            </w:pPr>
            <w:r>
              <w:rPr>
                <w:rFonts w:ascii="Arial" w:cs="Arial" w:eastAsia="Arial" w:hAnsi="Arial"/>
                <w:sz w:val="11"/>
                <w:szCs w:val="11"/>
                <w:b w:val="1"/>
                <w:bCs w:val="1"/>
                <w:color w:val="auto"/>
              </w:rPr>
              <w:t>Initial</w:t>
            </w:r>
          </w:p>
        </w:tc>
        <w:tc>
          <w:tcPr>
            <w:tcW w:w="0" w:type="dxa"/>
            <w:vAlign w:val="bottom"/>
          </w:tcPr>
          <w:p>
            <w:pPr>
              <w:spacing w:after="0"/>
              <w:rPr>
                <w:sz w:val="1"/>
                <w:szCs w:val="1"/>
                <w:color w:val="auto"/>
              </w:rPr>
            </w:pPr>
          </w:p>
        </w:tc>
      </w:tr>
      <w:tr>
        <w:trPr>
          <w:trHeight w:val="99"/>
        </w:trPr>
        <w:tc>
          <w:tcPr>
            <w:tcW w:w="32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jc w:val="center"/>
              <w:spacing w:after="0" w:line="94" w:lineRule="exact"/>
              <w:rPr>
                <w:sz w:val="20"/>
                <w:szCs w:val="20"/>
                <w:color w:val="auto"/>
              </w:rPr>
            </w:pPr>
            <w:r>
              <w:rPr>
                <w:rFonts w:ascii="Arial" w:cs="Arial" w:eastAsia="Arial" w:hAnsi="Arial"/>
                <w:sz w:val="10"/>
                <w:szCs w:val="10"/>
                <w:b w:val="1"/>
                <w:bCs w:val="1"/>
                <w:color w:val="auto"/>
              </w:rPr>
              <w:t>Delivery</w:t>
            </w:r>
          </w:p>
        </w:tc>
        <w:tc>
          <w:tcPr>
            <w:tcW w:w="40" w:type="dxa"/>
            <w:vAlign w:val="bottom"/>
          </w:tcPr>
          <w:p>
            <w:pPr>
              <w:spacing w:after="0"/>
              <w:rPr>
                <w:sz w:val="8"/>
                <w:szCs w:val="8"/>
                <w:color w:val="auto"/>
              </w:rPr>
            </w:pPr>
          </w:p>
        </w:tc>
        <w:tc>
          <w:tcPr>
            <w:tcW w:w="720" w:type="dxa"/>
            <w:vAlign w:val="bottom"/>
            <w:gridSpan w:val="2"/>
          </w:tcPr>
          <w:p>
            <w:pPr>
              <w:jc w:val="center"/>
              <w:ind w:right="20"/>
              <w:spacing w:after="0" w:line="94" w:lineRule="exact"/>
              <w:rPr>
                <w:sz w:val="20"/>
                <w:szCs w:val="20"/>
                <w:color w:val="auto"/>
              </w:rPr>
            </w:pPr>
            <w:r>
              <w:rPr>
                <w:rFonts w:ascii="Arial" w:cs="Arial" w:eastAsia="Arial" w:hAnsi="Arial"/>
                <w:sz w:val="10"/>
                <w:szCs w:val="10"/>
                <w:b w:val="1"/>
                <w:bCs w:val="1"/>
                <w:color w:val="auto"/>
              </w:rPr>
              <w:t>Ownership</w:t>
            </w:r>
          </w:p>
        </w:tc>
        <w:tc>
          <w:tcPr>
            <w:tcW w:w="580" w:type="dxa"/>
            <w:vAlign w:val="bottom"/>
          </w:tcPr>
          <w:p>
            <w:pPr>
              <w:jc w:val="right"/>
              <w:ind w:right="3"/>
              <w:spacing w:after="0" w:line="94" w:lineRule="exact"/>
              <w:rPr>
                <w:sz w:val="20"/>
                <w:szCs w:val="20"/>
                <w:color w:val="auto"/>
              </w:rPr>
            </w:pPr>
            <w:r>
              <w:rPr>
                <w:rFonts w:ascii="Arial" w:cs="Arial" w:eastAsia="Arial" w:hAnsi="Arial"/>
                <w:sz w:val="10"/>
                <w:szCs w:val="10"/>
                <w:b w:val="1"/>
                <w:bCs w:val="1"/>
                <w:color w:val="auto"/>
              </w:rPr>
              <w:t>Prior to</w:t>
            </w: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gridSpan w:val="2"/>
          </w:tcPr>
          <w:p>
            <w:pPr>
              <w:jc w:val="center"/>
              <w:ind w:right="60"/>
              <w:spacing w:after="0" w:line="94" w:lineRule="exact"/>
              <w:rPr>
                <w:sz w:val="20"/>
                <w:szCs w:val="20"/>
                <w:color w:val="auto"/>
              </w:rPr>
            </w:pPr>
            <w:r>
              <w:rPr>
                <w:rFonts w:ascii="Arial" w:cs="Arial" w:eastAsia="Arial" w:hAnsi="Arial"/>
                <w:sz w:val="10"/>
                <w:szCs w:val="10"/>
                <w:b w:val="1"/>
                <w:bCs w:val="1"/>
                <w:color w:val="auto"/>
              </w:rPr>
              <w:t>Occupancy</w:t>
            </w:r>
          </w:p>
        </w:tc>
        <w:tc>
          <w:tcPr>
            <w:tcW w:w="1360" w:type="dxa"/>
            <w:vAlign w:val="bottom"/>
            <w:tcBorders>
              <w:bottom w:val="single" w:sz="8" w:color="auto"/>
            </w:tcBorders>
            <w:gridSpan w:val="4"/>
            <w:vMerge w:val="continue"/>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gridSpan w:val="2"/>
          </w:tcPr>
          <w:p>
            <w:pPr>
              <w:jc w:val="center"/>
              <w:ind w:right="80"/>
              <w:spacing w:after="0" w:line="94" w:lineRule="exact"/>
              <w:rPr>
                <w:sz w:val="20"/>
                <w:szCs w:val="20"/>
                <w:color w:val="auto"/>
              </w:rPr>
            </w:pPr>
            <w:r>
              <w:rPr>
                <w:rFonts w:ascii="Arial" w:cs="Arial" w:eastAsia="Arial" w:hAnsi="Arial"/>
                <w:sz w:val="10"/>
                <w:szCs w:val="10"/>
                <w:b w:val="1"/>
                <w:bCs w:val="1"/>
                <w:color w:val="auto"/>
              </w:rPr>
              <w:t>Initial</w:t>
            </w:r>
          </w:p>
        </w:tc>
        <w:tc>
          <w:tcPr>
            <w:tcW w:w="780" w:type="dxa"/>
            <w:vAlign w:val="bottom"/>
          </w:tcPr>
          <w:p>
            <w:pPr>
              <w:jc w:val="center"/>
              <w:spacing w:after="0" w:line="94" w:lineRule="exact"/>
              <w:rPr>
                <w:sz w:val="20"/>
                <w:szCs w:val="20"/>
                <w:color w:val="auto"/>
              </w:rPr>
            </w:pPr>
            <w:r>
              <w:rPr>
                <w:rFonts w:ascii="Arial" w:cs="Arial" w:eastAsia="Arial" w:hAnsi="Arial"/>
                <w:sz w:val="10"/>
                <w:szCs w:val="10"/>
                <w:b w:val="1"/>
                <w:bCs w:val="1"/>
                <w:color w:val="auto"/>
              </w:rPr>
              <w:t>Stabilized</w:t>
            </w:r>
          </w:p>
        </w:tc>
        <w:tc>
          <w:tcPr>
            <w:tcW w:w="0" w:type="dxa"/>
            <w:vAlign w:val="bottom"/>
          </w:tcPr>
          <w:p>
            <w:pPr>
              <w:spacing w:after="0"/>
              <w:rPr>
                <w:sz w:val="1"/>
                <w:szCs w:val="1"/>
                <w:color w:val="auto"/>
              </w:rPr>
            </w:pPr>
          </w:p>
        </w:tc>
      </w:tr>
      <w:tr>
        <w:trPr>
          <w:trHeight w:val="152"/>
        </w:trPr>
        <w:tc>
          <w:tcPr>
            <w:tcW w:w="3280" w:type="dxa"/>
            <w:vAlign w:val="bottom"/>
            <w:tcBorders>
              <w:bottom w:val="single" w:sz="8" w:color="auto"/>
            </w:tcBorders>
          </w:tcPr>
          <w:p>
            <w:pPr>
              <w:ind w:left="40"/>
              <w:spacing w:after="0"/>
              <w:rPr>
                <w:sz w:val="20"/>
                <w:szCs w:val="20"/>
                <w:color w:val="auto"/>
              </w:rPr>
            </w:pPr>
            <w:r>
              <w:rPr>
                <w:rFonts w:ascii="Arial" w:cs="Arial" w:eastAsia="Arial" w:hAnsi="Arial"/>
                <w:sz w:val="11"/>
                <w:szCs w:val="11"/>
                <w:b w:val="1"/>
                <w:bCs w:val="1"/>
                <w:color w:val="auto"/>
              </w:rPr>
              <w:t>Property/Market/Submarket</w:t>
            </w:r>
          </w:p>
        </w:tc>
        <w:tc>
          <w:tcPr>
            <w:tcW w:w="6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tcPr>
          <w:p>
            <w:pPr>
              <w:jc w:val="center"/>
              <w:spacing w:after="0" w:line="152" w:lineRule="exact"/>
              <w:rPr>
                <w:sz w:val="20"/>
                <w:szCs w:val="20"/>
                <w:color w:val="auto"/>
              </w:rPr>
            </w:pPr>
            <w:r>
              <w:rPr>
                <w:rFonts w:ascii="Arial" w:cs="Arial" w:eastAsia="Arial" w:hAnsi="Arial"/>
                <w:sz w:val="11"/>
                <w:szCs w:val="11"/>
                <w:b w:val="1"/>
                <w:bCs w:val="1"/>
                <w:color w:val="auto"/>
                <w:w w:val="96"/>
              </w:rPr>
              <w:t>Date</w:t>
            </w:r>
            <w:r>
              <w:rPr>
                <w:rFonts w:ascii="Arial" w:cs="Arial" w:eastAsia="Arial" w:hAnsi="Arial"/>
                <w:sz w:val="14"/>
                <w:szCs w:val="14"/>
                <w:b w:val="1"/>
                <w:bCs w:val="1"/>
                <w:color w:val="auto"/>
                <w:w w:val="96"/>
                <w:vertAlign w:val="superscript"/>
              </w:rPr>
              <w:t>(2)</w:t>
            </w:r>
          </w:p>
        </w:tc>
        <w:tc>
          <w:tcPr>
            <w:tcW w:w="4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Interest</w:t>
            </w:r>
          </w:p>
        </w:tc>
        <w:tc>
          <w:tcPr>
            <w:tcW w:w="4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b w:val="1"/>
                <w:bCs w:val="1"/>
                <w:color w:val="auto"/>
              </w:rPr>
              <w:t>1/1/24</w:t>
            </w:r>
          </w:p>
        </w:tc>
        <w:tc>
          <w:tcPr>
            <w:tcW w:w="4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b w:val="1"/>
                <w:bCs w:val="1"/>
                <w:color w:val="auto"/>
              </w:rPr>
              <w:t>1Q24</w:t>
            </w:r>
          </w:p>
        </w:tc>
        <w:tc>
          <w:tcPr>
            <w:tcW w:w="4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b w:val="1"/>
                <w:bCs w:val="1"/>
                <w:color w:val="auto"/>
              </w:rPr>
              <w:t>2Q24</w:t>
            </w:r>
          </w:p>
        </w:tc>
        <w:tc>
          <w:tcPr>
            <w:tcW w:w="4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b w:val="1"/>
                <w:bCs w:val="1"/>
                <w:color w:val="auto"/>
              </w:rPr>
              <w:t>Total</w:t>
            </w:r>
          </w:p>
        </w:tc>
        <w:tc>
          <w:tcPr>
            <w:tcW w:w="6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jc w:val="center"/>
              <w:spacing w:after="0" w:line="152" w:lineRule="exact"/>
              <w:rPr>
                <w:sz w:val="20"/>
                <w:szCs w:val="20"/>
                <w:color w:val="auto"/>
              </w:rPr>
            </w:pPr>
            <w:r>
              <w:rPr>
                <w:rFonts w:ascii="Arial" w:cs="Arial" w:eastAsia="Arial" w:hAnsi="Arial"/>
                <w:sz w:val="11"/>
                <w:szCs w:val="11"/>
                <w:b w:val="1"/>
                <w:bCs w:val="1"/>
                <w:color w:val="auto"/>
                <w:w w:val="98"/>
              </w:rPr>
              <w:t>Percentage</w:t>
            </w:r>
            <w:r>
              <w:rPr>
                <w:rFonts w:ascii="Arial" w:cs="Arial" w:eastAsia="Arial" w:hAnsi="Arial"/>
                <w:sz w:val="14"/>
                <w:szCs w:val="14"/>
                <w:b w:val="1"/>
                <w:bCs w:val="1"/>
                <w:color w:val="auto"/>
                <w:w w:val="98"/>
                <w:vertAlign w:val="superscript"/>
              </w:rPr>
              <w:t>(3)</w:t>
            </w:r>
          </w:p>
        </w:tc>
        <w:tc>
          <w:tcPr>
            <w:tcW w:w="6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tcPr>
          <w:p>
            <w:pPr>
              <w:jc w:val="right"/>
              <w:ind w:right="143"/>
              <w:spacing w:after="0"/>
              <w:rPr>
                <w:sz w:val="20"/>
                <w:szCs w:val="20"/>
                <w:color w:val="auto"/>
              </w:rPr>
            </w:pPr>
            <w:r>
              <w:rPr>
                <w:rFonts w:ascii="Arial" w:cs="Arial" w:eastAsia="Arial" w:hAnsi="Arial"/>
                <w:sz w:val="11"/>
                <w:szCs w:val="11"/>
                <w:b w:val="1"/>
                <w:bCs w:val="1"/>
                <w:color w:val="auto"/>
              </w:rPr>
              <w:t>RSF</w:t>
            </w:r>
          </w:p>
        </w:tc>
        <w:tc>
          <w:tcPr>
            <w:tcW w:w="40" w:type="dxa"/>
            <w:vAlign w:val="bottom"/>
            <w:tcBorders>
              <w:bottom w:val="single" w:sz="8" w:color="CCEEFF"/>
            </w:tcBorders>
          </w:tcPr>
          <w:p>
            <w:pPr>
              <w:spacing w:after="0"/>
              <w:rPr>
                <w:sz w:val="13"/>
                <w:szCs w:val="13"/>
                <w:color w:val="auto"/>
              </w:rPr>
            </w:pPr>
          </w:p>
        </w:tc>
        <w:tc>
          <w:tcPr>
            <w:tcW w:w="700" w:type="dxa"/>
            <w:vAlign w:val="bottom"/>
            <w:tcBorders>
              <w:bottom w:val="single" w:sz="8" w:color="auto"/>
            </w:tcBorders>
            <w:gridSpan w:val="2"/>
          </w:tcPr>
          <w:p>
            <w:pPr>
              <w:ind w:left="60"/>
              <w:spacing w:after="0"/>
              <w:rPr>
                <w:sz w:val="20"/>
                <w:szCs w:val="20"/>
                <w:color w:val="auto"/>
              </w:rPr>
            </w:pPr>
            <w:r>
              <w:rPr>
                <w:rFonts w:ascii="Arial" w:cs="Arial" w:eastAsia="Arial" w:hAnsi="Arial"/>
                <w:sz w:val="11"/>
                <w:szCs w:val="11"/>
                <w:b w:val="1"/>
                <w:bCs w:val="1"/>
                <w:color w:val="auto"/>
              </w:rPr>
              <w:t>Investment</w:t>
            </w:r>
          </w:p>
        </w:tc>
        <w:tc>
          <w:tcPr>
            <w:tcW w:w="40" w:type="dxa"/>
            <w:vAlign w:val="bottom"/>
            <w:tcBorders>
              <w:bottom w:val="single" w:sz="8" w:color="CCEEFF"/>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Stabilized</w:t>
            </w:r>
          </w:p>
        </w:tc>
        <w:tc>
          <w:tcPr>
            <w:tcW w:w="4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(Cash Basis)</w:t>
            </w:r>
          </w:p>
        </w:tc>
        <w:tc>
          <w:tcPr>
            <w:tcW w:w="0" w:type="dxa"/>
            <w:vAlign w:val="bottom"/>
          </w:tcPr>
          <w:p>
            <w:pPr>
              <w:spacing w:after="0"/>
              <w:rPr>
                <w:sz w:val="1"/>
                <w:szCs w:val="1"/>
                <w:color w:val="auto"/>
              </w:rPr>
            </w:pPr>
          </w:p>
        </w:tc>
      </w:tr>
      <w:tr>
        <w:trPr>
          <w:trHeight w:val="152"/>
        </w:trPr>
        <w:tc>
          <w:tcPr>
            <w:tcW w:w="3340" w:type="dxa"/>
            <w:vAlign w:val="bottom"/>
            <w:gridSpan w:val="2"/>
            <w:shd w:val="clear" w:color="auto" w:fill="CCEEFF"/>
          </w:tcPr>
          <w:p>
            <w:pPr>
              <w:ind w:left="40"/>
              <w:spacing w:after="0"/>
              <w:rPr>
                <w:sz w:val="20"/>
                <w:szCs w:val="20"/>
                <w:color w:val="auto"/>
              </w:rPr>
            </w:pPr>
            <w:r>
              <w:rPr>
                <w:rFonts w:ascii="Arial" w:cs="Arial" w:eastAsia="Arial" w:hAnsi="Arial"/>
                <w:sz w:val="11"/>
                <w:szCs w:val="11"/>
                <w:b w:val="1"/>
                <w:bCs w:val="1"/>
                <w:color w:val="auto"/>
              </w:rPr>
              <w:t>Development projects</w:t>
            </w: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3340" w:type="dxa"/>
            <w:vAlign w:val="bottom"/>
            <w:gridSpan w:val="2"/>
          </w:tcPr>
          <w:p>
            <w:pPr>
              <w:ind w:left="40"/>
              <w:spacing w:after="0"/>
              <w:rPr>
                <w:sz w:val="20"/>
                <w:szCs w:val="20"/>
                <w:color w:val="auto"/>
              </w:rPr>
            </w:pPr>
            <w:r>
              <w:rPr>
                <w:rFonts w:ascii="Arial" w:cs="Arial" w:eastAsia="Arial" w:hAnsi="Arial"/>
                <w:sz w:val="11"/>
                <w:szCs w:val="11"/>
                <w:color w:val="auto"/>
              </w:rPr>
              <w:t>99 Coolidge Avenue/Greater Boston/Cambridge/Inner Suburbs</w:t>
            </w:r>
          </w:p>
        </w:tc>
        <w:tc>
          <w:tcPr>
            <w:tcW w:w="540" w:type="dxa"/>
            <w:vAlign w:val="bottom"/>
          </w:tcPr>
          <w:p>
            <w:pPr>
              <w:jc w:val="center"/>
              <w:spacing w:after="0"/>
              <w:rPr>
                <w:sz w:val="20"/>
                <w:szCs w:val="20"/>
                <w:color w:val="auto"/>
              </w:rPr>
            </w:pPr>
            <w:r>
              <w:rPr>
                <w:rFonts w:ascii="Arial" w:cs="Arial" w:eastAsia="Arial" w:hAnsi="Arial"/>
                <w:sz w:val="11"/>
                <w:szCs w:val="11"/>
                <w:color w:val="auto"/>
                <w:w w:val="97"/>
              </w:rPr>
              <w:t>N/A</w:t>
            </w:r>
          </w:p>
        </w:tc>
        <w:tc>
          <w:tcPr>
            <w:tcW w:w="720" w:type="dxa"/>
            <w:vAlign w:val="bottom"/>
            <w:gridSpan w:val="2"/>
          </w:tcPr>
          <w:p>
            <w:pPr>
              <w:jc w:val="center"/>
              <w:ind w:left="23"/>
              <w:spacing w:after="0"/>
              <w:rPr>
                <w:sz w:val="20"/>
                <w:szCs w:val="20"/>
                <w:color w:val="auto"/>
              </w:rPr>
            </w:pPr>
            <w:r>
              <w:rPr>
                <w:rFonts w:ascii="Arial" w:cs="Arial" w:eastAsia="Arial" w:hAnsi="Arial"/>
                <w:sz w:val="11"/>
                <w:szCs w:val="11"/>
                <w:color w:val="auto"/>
              </w:rPr>
              <w:t>75.0%</w:t>
            </w:r>
          </w:p>
        </w:tc>
        <w:tc>
          <w:tcPr>
            <w:tcW w:w="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43,568</w:t>
            </w:r>
          </w:p>
        </w:tc>
        <w:tc>
          <w:tcPr>
            <w:tcW w:w="620" w:type="dxa"/>
            <w:vAlign w:val="bottom"/>
            <w:gridSpan w:val="3"/>
          </w:tcPr>
          <w:p>
            <w:pPr>
              <w:jc w:val="right"/>
              <w:spacing w:after="0"/>
              <w:rPr>
                <w:sz w:val="20"/>
                <w:szCs w:val="20"/>
                <w:color w:val="auto"/>
              </w:rPr>
            </w:pPr>
            <w:r>
              <w:rPr>
                <w:rFonts w:ascii="Arial" w:cs="Arial" w:eastAsia="Arial" w:hAnsi="Arial"/>
                <w:sz w:val="11"/>
                <w:szCs w:val="11"/>
                <w:color w:val="auto"/>
              </w:rPr>
              <w:t>72,846</w:t>
            </w:r>
          </w:p>
        </w:tc>
        <w:tc>
          <w:tcPr>
            <w:tcW w:w="40" w:type="dxa"/>
            <w:vAlign w:val="bottom"/>
          </w:tcPr>
          <w:p>
            <w:pPr>
              <w:spacing w:after="0"/>
              <w:rPr>
                <w:sz w:val="14"/>
                <w:szCs w:val="14"/>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600" w:type="dxa"/>
            <w:vAlign w:val="bottom"/>
          </w:tcPr>
          <w:p>
            <w:pPr>
              <w:jc w:val="right"/>
              <w:ind w:right="3"/>
              <w:spacing w:after="0"/>
              <w:rPr>
                <w:sz w:val="20"/>
                <w:szCs w:val="20"/>
                <w:color w:val="auto"/>
              </w:rPr>
            </w:pPr>
            <w:r>
              <w:rPr>
                <w:rFonts w:ascii="Arial" w:cs="Arial" w:eastAsia="Arial" w:hAnsi="Arial"/>
                <w:sz w:val="11"/>
                <w:szCs w:val="11"/>
                <w:color w:val="auto"/>
              </w:rPr>
              <w:t>116,414</w:t>
            </w:r>
          </w:p>
        </w:tc>
        <w:tc>
          <w:tcPr>
            <w:tcW w:w="840" w:type="dxa"/>
            <w:vAlign w:val="bottom"/>
            <w:gridSpan w:val="2"/>
          </w:tcPr>
          <w:p>
            <w:pPr>
              <w:jc w:val="center"/>
              <w:ind w:left="43"/>
              <w:spacing w:after="0"/>
              <w:rPr>
                <w:sz w:val="20"/>
                <w:szCs w:val="20"/>
                <w:color w:val="auto"/>
              </w:rPr>
            </w:pPr>
            <w:r>
              <w:rPr>
                <w:rFonts w:ascii="Arial" w:cs="Arial" w:eastAsia="Arial" w:hAnsi="Arial"/>
                <w:sz w:val="11"/>
                <w:szCs w:val="11"/>
                <w:color w:val="auto"/>
              </w:rPr>
              <w:t>100%</w:t>
            </w:r>
          </w:p>
        </w:tc>
        <w:tc>
          <w:tcPr>
            <w:tcW w:w="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320,809</w:t>
            </w:r>
          </w:p>
        </w:tc>
        <w:tc>
          <w:tcPr>
            <w:tcW w:w="40" w:type="dxa"/>
            <w:vAlign w:val="bottom"/>
          </w:tcPr>
          <w:p>
            <w:pPr>
              <w:spacing w:after="0"/>
              <w:rPr>
                <w:sz w:val="14"/>
                <w:szCs w:val="14"/>
                <w:color w:val="auto"/>
              </w:rPr>
            </w:pPr>
          </w:p>
        </w:tc>
        <w:tc>
          <w:tcPr>
            <w:tcW w:w="120" w:type="dxa"/>
            <w:vAlign w:val="bottom"/>
          </w:tcPr>
          <w:p>
            <w:pPr>
              <w:ind w:left="60"/>
              <w:spacing w:after="0"/>
              <w:rPr>
                <w:sz w:val="20"/>
                <w:szCs w:val="20"/>
                <w:color w:val="auto"/>
              </w:rPr>
            </w:pPr>
            <w:r>
              <w:rPr>
                <w:rFonts w:ascii="Arial" w:cs="Arial" w:eastAsia="Arial" w:hAnsi="Arial"/>
                <w:sz w:val="10"/>
                <w:szCs w:val="10"/>
                <w:color w:val="auto"/>
                <w:w w:val="71"/>
              </w:rPr>
              <w:t>$</w:t>
            </w:r>
          </w:p>
        </w:tc>
        <w:tc>
          <w:tcPr>
            <w:tcW w:w="580" w:type="dxa"/>
            <w:vAlign w:val="bottom"/>
          </w:tcPr>
          <w:p>
            <w:pPr>
              <w:ind w:left="120"/>
              <w:spacing w:after="0"/>
              <w:rPr>
                <w:sz w:val="20"/>
                <w:szCs w:val="20"/>
                <w:color w:val="auto"/>
              </w:rPr>
            </w:pPr>
            <w:r>
              <w:rPr>
                <w:rFonts w:ascii="Arial" w:cs="Arial" w:eastAsia="Arial" w:hAnsi="Arial"/>
                <w:sz w:val="11"/>
                <w:szCs w:val="11"/>
                <w:color w:val="auto"/>
              </w:rPr>
              <w:t>468,000</w:t>
            </w:r>
          </w:p>
        </w:tc>
        <w:tc>
          <w:tcPr>
            <w:tcW w:w="40" w:type="dxa"/>
            <w:vAlign w:val="bottom"/>
          </w:tcPr>
          <w:p>
            <w:pPr>
              <w:spacing w:after="0"/>
              <w:rPr>
                <w:sz w:val="14"/>
                <w:szCs w:val="14"/>
                <w:color w:val="auto"/>
              </w:rPr>
            </w:pPr>
          </w:p>
        </w:tc>
        <w:tc>
          <w:tcPr>
            <w:tcW w:w="640" w:type="dxa"/>
            <w:vAlign w:val="bottom"/>
            <w:gridSpan w:val="2"/>
          </w:tcPr>
          <w:p>
            <w:pPr>
              <w:ind w:left="200"/>
              <w:spacing w:after="0"/>
              <w:rPr>
                <w:sz w:val="20"/>
                <w:szCs w:val="20"/>
                <w:color w:val="auto"/>
              </w:rPr>
            </w:pPr>
            <w:r>
              <w:rPr>
                <w:rFonts w:ascii="Arial" w:cs="Arial" w:eastAsia="Arial" w:hAnsi="Arial"/>
                <w:sz w:val="11"/>
                <w:szCs w:val="11"/>
                <w:color w:val="auto"/>
              </w:rPr>
              <w:t>7.1%</w:t>
            </w:r>
          </w:p>
        </w:tc>
        <w:tc>
          <w:tcPr>
            <w:tcW w:w="40" w:type="dxa"/>
            <w:vAlign w:val="bottom"/>
          </w:tcPr>
          <w:p>
            <w:pPr>
              <w:spacing w:after="0"/>
              <w:rPr>
                <w:sz w:val="14"/>
                <w:szCs w:val="14"/>
                <w:color w:val="auto"/>
              </w:rPr>
            </w:pPr>
          </w:p>
        </w:tc>
        <w:tc>
          <w:tcPr>
            <w:tcW w:w="780" w:type="dxa"/>
            <w:vAlign w:val="bottom"/>
          </w:tcPr>
          <w:p>
            <w:pPr>
              <w:ind w:left="320"/>
              <w:spacing w:after="0"/>
              <w:rPr>
                <w:sz w:val="20"/>
                <w:szCs w:val="20"/>
                <w:color w:val="auto"/>
              </w:rPr>
            </w:pPr>
            <w:r>
              <w:rPr>
                <w:rFonts w:ascii="Arial" w:cs="Arial" w:eastAsia="Arial" w:hAnsi="Arial"/>
                <w:sz w:val="11"/>
                <w:szCs w:val="11"/>
                <w:color w:val="auto"/>
              </w:rPr>
              <w:t>7.0%</w:t>
            </w:r>
          </w:p>
        </w:tc>
        <w:tc>
          <w:tcPr>
            <w:tcW w:w="0" w:type="dxa"/>
            <w:vAlign w:val="bottom"/>
          </w:tcPr>
          <w:p>
            <w:pPr>
              <w:spacing w:after="0"/>
              <w:rPr>
                <w:sz w:val="1"/>
                <w:szCs w:val="1"/>
                <w:color w:val="auto"/>
              </w:rPr>
            </w:pPr>
          </w:p>
        </w:tc>
      </w:tr>
      <w:tr>
        <w:trPr>
          <w:trHeight w:val="155"/>
        </w:trPr>
        <w:tc>
          <w:tcPr>
            <w:tcW w:w="3340" w:type="dxa"/>
            <w:vAlign w:val="bottom"/>
            <w:gridSpan w:val="2"/>
            <w:shd w:val="clear" w:color="auto" w:fill="CCEEFF"/>
          </w:tcPr>
          <w:p>
            <w:pPr>
              <w:ind w:left="40"/>
              <w:spacing w:after="0"/>
              <w:rPr>
                <w:sz w:val="20"/>
                <w:szCs w:val="20"/>
                <w:color w:val="auto"/>
              </w:rPr>
            </w:pPr>
            <w:r>
              <w:rPr>
                <w:rFonts w:ascii="Arial" w:cs="Arial" w:eastAsia="Arial" w:hAnsi="Arial"/>
                <w:sz w:val="11"/>
                <w:szCs w:val="11"/>
                <w:color w:val="auto"/>
              </w:rPr>
              <w:t>500 North Beacon Street and 4 Kingsbury Avenue/Greater</w:t>
            </w:r>
          </w:p>
        </w:tc>
        <w:tc>
          <w:tcPr>
            <w:tcW w:w="540" w:type="dxa"/>
            <w:vAlign w:val="bottom"/>
            <w:vMerge w:val="restart"/>
            <w:shd w:val="clear" w:color="auto" w:fill="CCEEFF"/>
          </w:tcPr>
          <w:p>
            <w:pPr>
              <w:jc w:val="center"/>
              <w:spacing w:after="0"/>
              <w:rPr>
                <w:sz w:val="20"/>
                <w:szCs w:val="20"/>
                <w:color w:val="auto"/>
              </w:rPr>
            </w:pPr>
            <w:r>
              <w:rPr>
                <w:rFonts w:ascii="Arial" w:cs="Arial" w:eastAsia="Arial" w:hAnsi="Arial"/>
                <w:sz w:val="11"/>
                <w:szCs w:val="11"/>
                <w:color w:val="auto"/>
              </w:rPr>
              <w:t>5/10/24</w:t>
            </w:r>
          </w:p>
        </w:tc>
        <w:tc>
          <w:tcPr>
            <w:tcW w:w="720" w:type="dxa"/>
            <w:vAlign w:val="bottom"/>
            <w:gridSpan w:val="2"/>
            <w:vMerge w:val="restart"/>
            <w:shd w:val="clear" w:color="auto" w:fill="CCEEFF"/>
          </w:tcPr>
          <w:p>
            <w:pPr>
              <w:jc w:val="center"/>
              <w:ind w:left="23"/>
              <w:spacing w:after="0"/>
              <w:rPr>
                <w:sz w:val="20"/>
                <w:szCs w:val="20"/>
                <w:color w:val="auto"/>
              </w:rPr>
            </w:pPr>
            <w:r>
              <w:rPr>
                <w:rFonts w:ascii="Arial" w:cs="Arial" w:eastAsia="Arial" w:hAnsi="Arial"/>
                <w:sz w:val="11"/>
                <w:szCs w:val="11"/>
                <w:color w:val="auto"/>
                <w:w w:val="99"/>
              </w:rPr>
              <w:t>100%</w:t>
            </w:r>
          </w:p>
        </w:tc>
        <w:tc>
          <w:tcPr>
            <w:tcW w:w="4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20" w:type="dxa"/>
            <w:vAlign w:val="bottom"/>
            <w:gridSpan w:val="3"/>
            <w:vMerge w:val="restart"/>
            <w:shd w:val="clear" w:color="auto" w:fill="CCEEFF"/>
          </w:tcPr>
          <w:p>
            <w:pPr>
              <w:jc w:val="right"/>
              <w:spacing w:after="0"/>
              <w:rPr>
                <w:sz w:val="20"/>
                <w:szCs w:val="20"/>
                <w:color w:val="auto"/>
              </w:rPr>
            </w:pPr>
            <w:r>
              <w:rPr>
                <w:rFonts w:ascii="Arial" w:cs="Arial" w:eastAsia="Arial" w:hAnsi="Arial"/>
                <w:sz w:val="11"/>
                <w:szCs w:val="11"/>
                <w:color w:val="auto"/>
              </w:rPr>
              <w:t>100,624</w:t>
            </w:r>
          </w:p>
        </w:tc>
        <w:tc>
          <w:tcPr>
            <w:tcW w:w="40" w:type="dxa"/>
            <w:vAlign w:val="bottom"/>
            <w:shd w:val="clear" w:color="auto" w:fill="CCEEFF"/>
          </w:tcPr>
          <w:p>
            <w:pPr>
              <w:spacing w:after="0"/>
              <w:rPr>
                <w:sz w:val="13"/>
                <w:szCs w:val="13"/>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37,913</w:t>
            </w:r>
          </w:p>
        </w:tc>
        <w:tc>
          <w:tcPr>
            <w:tcW w:w="40" w:type="dxa"/>
            <w:vAlign w:val="bottom"/>
            <w:shd w:val="clear" w:color="auto" w:fill="CCEEFF"/>
          </w:tcPr>
          <w:p>
            <w:pPr>
              <w:spacing w:after="0"/>
              <w:rPr>
                <w:sz w:val="13"/>
                <w:szCs w:val="13"/>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138,537</w:t>
            </w:r>
          </w:p>
        </w:tc>
        <w:tc>
          <w:tcPr>
            <w:tcW w:w="840" w:type="dxa"/>
            <w:vAlign w:val="bottom"/>
            <w:gridSpan w:val="2"/>
            <w:vMerge w:val="restart"/>
            <w:shd w:val="clear" w:color="auto" w:fill="CCEEFF"/>
          </w:tcPr>
          <w:p>
            <w:pPr>
              <w:jc w:val="center"/>
              <w:ind w:left="43"/>
              <w:spacing w:after="0"/>
              <w:rPr>
                <w:sz w:val="20"/>
                <w:szCs w:val="20"/>
                <w:color w:val="auto"/>
              </w:rPr>
            </w:pPr>
            <w:r>
              <w:rPr>
                <w:rFonts w:ascii="Arial" w:cs="Arial" w:eastAsia="Arial" w:hAnsi="Arial"/>
                <w:sz w:val="11"/>
                <w:szCs w:val="11"/>
                <w:color w:val="auto"/>
              </w:rPr>
              <w:t>100%</w:t>
            </w:r>
          </w:p>
        </w:tc>
        <w:tc>
          <w:tcPr>
            <w:tcW w:w="6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248,018</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ind w:left="120"/>
              <w:spacing w:after="0"/>
              <w:rPr>
                <w:sz w:val="20"/>
                <w:szCs w:val="20"/>
                <w:color w:val="auto"/>
              </w:rPr>
            </w:pPr>
            <w:r>
              <w:rPr>
                <w:rFonts w:ascii="Arial" w:cs="Arial" w:eastAsia="Arial" w:hAnsi="Arial"/>
                <w:sz w:val="11"/>
                <w:szCs w:val="11"/>
                <w:color w:val="auto"/>
              </w:rPr>
              <w:t>427,000</w:t>
            </w:r>
          </w:p>
        </w:tc>
        <w:tc>
          <w:tcPr>
            <w:tcW w:w="40" w:type="dxa"/>
            <w:vAlign w:val="bottom"/>
            <w:shd w:val="clear" w:color="auto" w:fill="CCEEFF"/>
          </w:tcPr>
          <w:p>
            <w:pPr>
              <w:spacing w:after="0"/>
              <w:rPr>
                <w:sz w:val="13"/>
                <w:szCs w:val="13"/>
                <w:color w:val="auto"/>
              </w:rPr>
            </w:pPr>
          </w:p>
        </w:tc>
        <w:tc>
          <w:tcPr>
            <w:tcW w:w="640" w:type="dxa"/>
            <w:vAlign w:val="bottom"/>
            <w:gridSpan w:val="2"/>
            <w:vMerge w:val="restart"/>
            <w:shd w:val="clear" w:color="auto" w:fill="CCEEFF"/>
          </w:tcPr>
          <w:p>
            <w:pPr>
              <w:ind w:left="200"/>
              <w:spacing w:after="0"/>
              <w:rPr>
                <w:sz w:val="20"/>
                <w:szCs w:val="20"/>
                <w:color w:val="auto"/>
              </w:rPr>
            </w:pPr>
            <w:r>
              <w:rPr>
                <w:rFonts w:ascii="Arial" w:cs="Arial" w:eastAsia="Arial" w:hAnsi="Arial"/>
                <w:sz w:val="11"/>
                <w:szCs w:val="11"/>
                <w:color w:val="auto"/>
              </w:rPr>
              <w:t>6.2</w:t>
            </w:r>
          </w:p>
        </w:tc>
        <w:tc>
          <w:tcPr>
            <w:tcW w:w="4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ind w:left="320"/>
              <w:spacing w:after="0"/>
              <w:rPr>
                <w:sz w:val="20"/>
                <w:szCs w:val="20"/>
                <w:color w:val="auto"/>
              </w:rPr>
            </w:pPr>
            <w:r>
              <w:rPr>
                <w:rFonts w:ascii="Arial" w:cs="Arial" w:eastAsia="Arial" w:hAnsi="Arial"/>
                <w:sz w:val="11"/>
                <w:szCs w:val="11"/>
                <w:color w:val="auto"/>
              </w:rPr>
              <w:t>5.5</w:t>
            </w:r>
          </w:p>
        </w:tc>
        <w:tc>
          <w:tcPr>
            <w:tcW w:w="0" w:type="dxa"/>
            <w:vAlign w:val="bottom"/>
          </w:tcPr>
          <w:p>
            <w:pPr>
              <w:spacing w:after="0"/>
              <w:rPr>
                <w:sz w:val="1"/>
                <w:szCs w:val="1"/>
                <w:color w:val="auto"/>
              </w:rPr>
            </w:pPr>
          </w:p>
        </w:tc>
      </w:tr>
      <w:tr>
        <w:trPr>
          <w:trHeight w:val="146"/>
        </w:trPr>
        <w:tc>
          <w:tcPr>
            <w:tcW w:w="3340" w:type="dxa"/>
            <w:vAlign w:val="bottom"/>
            <w:gridSpan w:val="2"/>
            <w:shd w:val="clear" w:color="auto" w:fill="CCEEFF"/>
          </w:tcPr>
          <w:p>
            <w:pPr>
              <w:ind w:left="160"/>
              <w:spacing w:after="0"/>
              <w:rPr>
                <w:sz w:val="20"/>
                <w:szCs w:val="20"/>
                <w:color w:val="auto"/>
              </w:rPr>
            </w:pPr>
            <w:r>
              <w:rPr>
                <w:rFonts w:ascii="Arial" w:cs="Arial" w:eastAsia="Arial" w:hAnsi="Arial"/>
                <w:sz w:val="11"/>
                <w:szCs w:val="11"/>
                <w:color w:val="auto"/>
              </w:rPr>
              <w:t>Boston/Cambridge/Inner Suburbs</w:t>
            </w:r>
          </w:p>
        </w:tc>
        <w:tc>
          <w:tcPr>
            <w:tcW w:w="540" w:type="dxa"/>
            <w:vAlign w:val="bottom"/>
            <w:vMerge w:val="continue"/>
            <w:shd w:val="clear" w:color="auto" w:fill="CCEEFF"/>
          </w:tcPr>
          <w:p>
            <w:pPr>
              <w:spacing w:after="0"/>
              <w:rPr>
                <w:sz w:val="12"/>
                <w:szCs w:val="12"/>
                <w:color w:val="auto"/>
              </w:rPr>
            </w:pPr>
          </w:p>
        </w:tc>
        <w:tc>
          <w:tcPr>
            <w:tcW w:w="720" w:type="dxa"/>
            <w:vAlign w:val="bottom"/>
            <w:gridSpan w:val="2"/>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vMerge w:val="continue"/>
            <w:shd w:val="clear" w:color="auto" w:fill="CCEEFF"/>
          </w:tcPr>
          <w:p>
            <w:pPr>
              <w:spacing w:after="0"/>
              <w:rPr>
                <w:sz w:val="12"/>
                <w:szCs w:val="12"/>
                <w:color w:val="auto"/>
              </w:rPr>
            </w:pPr>
          </w:p>
        </w:tc>
        <w:tc>
          <w:tcPr>
            <w:tcW w:w="620" w:type="dxa"/>
            <w:vAlign w:val="bottom"/>
            <w:gridSpan w:val="3"/>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0" w:type="dxa"/>
            <w:vAlign w:val="bottom"/>
            <w:vMerge w:val="continue"/>
            <w:shd w:val="clear" w:color="auto" w:fill="CCEEFF"/>
          </w:tcPr>
          <w:p>
            <w:pPr>
              <w:spacing w:after="0"/>
              <w:rPr>
                <w:sz w:val="12"/>
                <w:szCs w:val="12"/>
                <w:color w:val="auto"/>
              </w:rPr>
            </w:pPr>
          </w:p>
        </w:tc>
        <w:tc>
          <w:tcPr>
            <w:tcW w:w="840" w:type="dxa"/>
            <w:vAlign w:val="bottom"/>
            <w:gridSpan w:val="2"/>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gridSpan w:val="2"/>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340" w:type="dxa"/>
            <w:vAlign w:val="bottom"/>
            <w:gridSpan w:val="2"/>
          </w:tcPr>
          <w:p>
            <w:pPr>
              <w:ind w:left="40"/>
              <w:spacing w:after="0"/>
              <w:rPr>
                <w:sz w:val="20"/>
                <w:szCs w:val="20"/>
                <w:color w:val="auto"/>
              </w:rPr>
            </w:pPr>
            <w:r>
              <w:rPr>
                <w:rFonts w:ascii="Arial" w:cs="Arial" w:eastAsia="Arial" w:hAnsi="Arial"/>
                <w:sz w:val="11"/>
                <w:szCs w:val="11"/>
                <w:color w:val="auto"/>
              </w:rPr>
              <w:t>1150 Eastlake Avenue East/Seattle/Lake Union</w:t>
            </w:r>
          </w:p>
        </w:tc>
        <w:tc>
          <w:tcPr>
            <w:tcW w:w="540" w:type="dxa"/>
            <w:vAlign w:val="bottom"/>
          </w:tcPr>
          <w:p>
            <w:pPr>
              <w:jc w:val="center"/>
              <w:spacing w:after="0"/>
              <w:rPr>
                <w:sz w:val="20"/>
                <w:szCs w:val="20"/>
                <w:color w:val="auto"/>
              </w:rPr>
            </w:pPr>
            <w:r>
              <w:rPr>
                <w:rFonts w:ascii="Arial" w:cs="Arial" w:eastAsia="Arial" w:hAnsi="Arial"/>
                <w:sz w:val="11"/>
                <w:szCs w:val="11"/>
                <w:color w:val="auto"/>
              </w:rPr>
              <w:t>4/13/24</w:t>
            </w:r>
          </w:p>
        </w:tc>
        <w:tc>
          <w:tcPr>
            <w:tcW w:w="720" w:type="dxa"/>
            <w:vAlign w:val="bottom"/>
            <w:gridSpan w:val="2"/>
          </w:tcPr>
          <w:p>
            <w:pPr>
              <w:jc w:val="center"/>
              <w:ind w:left="23"/>
              <w:spacing w:after="0"/>
              <w:rPr>
                <w:sz w:val="20"/>
                <w:szCs w:val="20"/>
                <w:color w:val="auto"/>
              </w:rPr>
            </w:pPr>
            <w:r>
              <w:rPr>
                <w:rFonts w:ascii="Arial" w:cs="Arial" w:eastAsia="Arial" w:hAnsi="Arial"/>
                <w:sz w:val="11"/>
                <w:szCs w:val="11"/>
                <w:color w:val="auto"/>
                <w:w w:val="99"/>
              </w:rPr>
              <w:t>100%</w:t>
            </w:r>
          </w:p>
        </w:tc>
        <w:tc>
          <w:tcPr>
            <w:tcW w:w="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278,282</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2,079</w:t>
            </w:r>
          </w:p>
        </w:tc>
        <w:tc>
          <w:tcPr>
            <w:tcW w:w="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280,361</w:t>
            </w:r>
          </w:p>
        </w:tc>
        <w:tc>
          <w:tcPr>
            <w:tcW w:w="840" w:type="dxa"/>
            <w:vAlign w:val="bottom"/>
            <w:gridSpan w:val="2"/>
          </w:tcPr>
          <w:p>
            <w:pPr>
              <w:jc w:val="center"/>
              <w:ind w:left="43"/>
              <w:spacing w:after="0"/>
              <w:rPr>
                <w:sz w:val="20"/>
                <w:szCs w:val="20"/>
                <w:color w:val="auto"/>
              </w:rPr>
            </w:pPr>
            <w:r>
              <w:rPr>
                <w:rFonts w:ascii="Arial" w:cs="Arial" w:eastAsia="Arial" w:hAnsi="Arial"/>
                <w:sz w:val="11"/>
                <w:szCs w:val="11"/>
                <w:color w:val="auto"/>
              </w:rPr>
              <w:t>100%</w:t>
            </w:r>
          </w:p>
        </w:tc>
        <w:tc>
          <w:tcPr>
            <w:tcW w:w="60" w:type="dxa"/>
            <w:vAlign w:val="bottom"/>
          </w:tcPr>
          <w:p>
            <w:pPr>
              <w:spacing w:after="0"/>
              <w:rPr>
                <w:sz w:val="14"/>
                <w:szCs w:val="14"/>
                <w:color w:val="auto"/>
              </w:rPr>
            </w:pPr>
          </w:p>
        </w:tc>
        <w:tc>
          <w:tcPr>
            <w:tcW w:w="620" w:type="dxa"/>
            <w:vAlign w:val="bottom"/>
          </w:tcPr>
          <w:p>
            <w:pPr>
              <w:jc w:val="right"/>
              <w:ind w:right="3"/>
              <w:spacing w:after="0"/>
              <w:rPr>
                <w:sz w:val="20"/>
                <w:szCs w:val="20"/>
                <w:color w:val="auto"/>
              </w:rPr>
            </w:pPr>
            <w:r>
              <w:rPr>
                <w:rFonts w:ascii="Arial" w:cs="Arial" w:eastAsia="Arial" w:hAnsi="Arial"/>
                <w:sz w:val="11"/>
                <w:szCs w:val="11"/>
                <w:color w:val="auto"/>
              </w:rPr>
              <w:t>311,631</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ind w:left="120"/>
              <w:spacing w:after="0"/>
              <w:rPr>
                <w:sz w:val="20"/>
                <w:szCs w:val="20"/>
                <w:color w:val="auto"/>
              </w:rPr>
            </w:pPr>
            <w:r>
              <w:rPr>
                <w:rFonts w:ascii="Arial" w:cs="Arial" w:eastAsia="Arial" w:hAnsi="Arial"/>
                <w:sz w:val="11"/>
                <w:szCs w:val="11"/>
                <w:color w:val="auto"/>
              </w:rPr>
              <w:t>443,000</w:t>
            </w:r>
          </w:p>
        </w:tc>
        <w:tc>
          <w:tcPr>
            <w:tcW w:w="40" w:type="dxa"/>
            <w:vAlign w:val="bottom"/>
          </w:tcPr>
          <w:p>
            <w:pPr>
              <w:spacing w:after="0"/>
              <w:rPr>
                <w:sz w:val="14"/>
                <w:szCs w:val="14"/>
                <w:color w:val="auto"/>
              </w:rPr>
            </w:pPr>
          </w:p>
        </w:tc>
        <w:tc>
          <w:tcPr>
            <w:tcW w:w="640" w:type="dxa"/>
            <w:vAlign w:val="bottom"/>
            <w:gridSpan w:val="2"/>
          </w:tcPr>
          <w:p>
            <w:pPr>
              <w:ind w:left="200"/>
              <w:spacing w:after="0"/>
              <w:rPr>
                <w:sz w:val="20"/>
                <w:szCs w:val="20"/>
                <w:color w:val="auto"/>
              </w:rPr>
            </w:pPr>
            <w:r>
              <w:rPr>
                <w:rFonts w:ascii="Arial" w:cs="Arial" w:eastAsia="Arial" w:hAnsi="Arial"/>
                <w:sz w:val="11"/>
                <w:szCs w:val="11"/>
                <w:color w:val="auto"/>
              </w:rPr>
              <w:t>6.6</w:t>
            </w:r>
          </w:p>
        </w:tc>
        <w:tc>
          <w:tcPr>
            <w:tcW w:w="40" w:type="dxa"/>
            <w:vAlign w:val="bottom"/>
          </w:tcPr>
          <w:p>
            <w:pPr>
              <w:spacing w:after="0"/>
              <w:rPr>
                <w:sz w:val="14"/>
                <w:szCs w:val="14"/>
                <w:color w:val="auto"/>
              </w:rPr>
            </w:pPr>
          </w:p>
        </w:tc>
        <w:tc>
          <w:tcPr>
            <w:tcW w:w="780" w:type="dxa"/>
            <w:vAlign w:val="bottom"/>
          </w:tcPr>
          <w:p>
            <w:pPr>
              <w:ind w:left="320"/>
              <w:spacing w:after="0"/>
              <w:rPr>
                <w:sz w:val="20"/>
                <w:szCs w:val="20"/>
                <w:color w:val="auto"/>
              </w:rPr>
            </w:pPr>
            <w:r>
              <w:rPr>
                <w:rFonts w:ascii="Arial" w:cs="Arial" w:eastAsia="Arial" w:hAnsi="Arial"/>
                <w:sz w:val="11"/>
                <w:szCs w:val="11"/>
                <w:color w:val="auto"/>
              </w:rPr>
              <w:t>6.7</w:t>
            </w:r>
          </w:p>
        </w:tc>
        <w:tc>
          <w:tcPr>
            <w:tcW w:w="0" w:type="dxa"/>
            <w:vAlign w:val="bottom"/>
          </w:tcPr>
          <w:p>
            <w:pPr>
              <w:spacing w:after="0"/>
              <w:rPr>
                <w:sz w:val="1"/>
                <w:szCs w:val="1"/>
                <w:color w:val="auto"/>
              </w:rPr>
            </w:pPr>
          </w:p>
        </w:tc>
      </w:tr>
      <w:tr>
        <w:trPr>
          <w:trHeight w:val="172"/>
        </w:trPr>
        <w:tc>
          <w:tcPr>
            <w:tcW w:w="3340" w:type="dxa"/>
            <w:vAlign w:val="bottom"/>
            <w:gridSpan w:val="2"/>
            <w:shd w:val="clear" w:color="auto" w:fill="CCEEFF"/>
          </w:tcPr>
          <w:p>
            <w:pPr>
              <w:ind w:left="40"/>
              <w:spacing w:after="0"/>
              <w:rPr>
                <w:sz w:val="20"/>
                <w:szCs w:val="20"/>
                <w:color w:val="auto"/>
              </w:rPr>
            </w:pPr>
            <w:r>
              <w:rPr>
                <w:rFonts w:ascii="Arial" w:cs="Arial" w:eastAsia="Arial" w:hAnsi="Arial"/>
                <w:sz w:val="11"/>
                <w:szCs w:val="11"/>
                <w:color w:val="auto"/>
              </w:rPr>
              <w:t>9810 Darnestown Road/Maryland/Rockville</w:t>
            </w:r>
          </w:p>
        </w:tc>
        <w:tc>
          <w:tcPr>
            <w:tcW w:w="54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4/1/24</w:t>
            </w:r>
          </w:p>
        </w:tc>
        <w:tc>
          <w:tcPr>
            <w:tcW w:w="720" w:type="dxa"/>
            <w:vAlign w:val="bottom"/>
            <w:gridSpan w:val="2"/>
            <w:shd w:val="clear" w:color="auto" w:fill="CCEEFF"/>
          </w:tcPr>
          <w:p>
            <w:pPr>
              <w:jc w:val="center"/>
              <w:ind w:left="23"/>
              <w:spacing w:after="0"/>
              <w:rPr>
                <w:sz w:val="20"/>
                <w:szCs w:val="20"/>
                <w:color w:val="auto"/>
              </w:rPr>
            </w:pPr>
            <w:r>
              <w:rPr>
                <w:rFonts w:ascii="Arial" w:cs="Arial" w:eastAsia="Arial" w:hAnsi="Arial"/>
                <w:sz w:val="11"/>
                <w:szCs w:val="11"/>
                <w:color w:val="auto"/>
                <w:w w:val="99"/>
              </w:rPr>
              <w:t>100%</w:t>
            </w:r>
          </w:p>
        </w:tc>
        <w:tc>
          <w:tcPr>
            <w:tcW w:w="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195,435</w:t>
            </w:r>
          </w:p>
        </w:tc>
        <w:tc>
          <w:tcPr>
            <w:tcW w:w="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195,435</w:t>
            </w:r>
          </w:p>
        </w:tc>
        <w:tc>
          <w:tcPr>
            <w:tcW w:w="840" w:type="dxa"/>
            <w:vAlign w:val="bottom"/>
            <w:gridSpan w:val="2"/>
            <w:shd w:val="clear" w:color="auto" w:fill="CCEEFF"/>
          </w:tcPr>
          <w:p>
            <w:pPr>
              <w:jc w:val="center"/>
              <w:ind w:left="43"/>
              <w:spacing w:after="0"/>
              <w:rPr>
                <w:sz w:val="20"/>
                <w:szCs w:val="20"/>
                <w:color w:val="auto"/>
              </w:rPr>
            </w:pPr>
            <w:r>
              <w:rPr>
                <w:rFonts w:ascii="Arial" w:cs="Arial" w:eastAsia="Arial" w:hAnsi="Arial"/>
                <w:sz w:val="11"/>
                <w:szCs w:val="11"/>
                <w:color w:val="auto"/>
              </w:rPr>
              <w:t>100%</w:t>
            </w:r>
          </w:p>
        </w:tc>
        <w:tc>
          <w:tcPr>
            <w:tcW w:w="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195,435</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ind w:left="120"/>
              <w:spacing w:after="0"/>
              <w:rPr>
                <w:sz w:val="20"/>
                <w:szCs w:val="20"/>
                <w:color w:val="auto"/>
              </w:rPr>
            </w:pPr>
            <w:r>
              <w:rPr>
                <w:rFonts w:ascii="Arial" w:cs="Arial" w:eastAsia="Arial" w:hAnsi="Arial"/>
                <w:sz w:val="11"/>
                <w:szCs w:val="11"/>
                <w:color w:val="auto"/>
              </w:rPr>
              <w:t>135,000</w:t>
            </w:r>
          </w:p>
        </w:tc>
        <w:tc>
          <w:tcPr>
            <w:tcW w:w="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ind w:left="200"/>
              <w:spacing w:after="0"/>
              <w:rPr>
                <w:sz w:val="20"/>
                <w:szCs w:val="20"/>
                <w:color w:val="auto"/>
              </w:rPr>
            </w:pPr>
            <w:r>
              <w:rPr>
                <w:rFonts w:ascii="Arial" w:cs="Arial" w:eastAsia="Arial" w:hAnsi="Arial"/>
                <w:sz w:val="11"/>
                <w:szCs w:val="11"/>
                <w:color w:val="auto"/>
              </w:rPr>
              <w:t>7.1</w:t>
            </w:r>
          </w:p>
        </w:tc>
        <w:tc>
          <w:tcPr>
            <w:tcW w:w="40" w:type="dxa"/>
            <w:vAlign w:val="bottom"/>
            <w:shd w:val="clear" w:color="auto" w:fill="CCEEFF"/>
          </w:tcPr>
          <w:p>
            <w:pPr>
              <w:spacing w:after="0"/>
              <w:rPr>
                <w:sz w:val="14"/>
                <w:szCs w:val="14"/>
                <w:color w:val="auto"/>
              </w:rPr>
            </w:pPr>
          </w:p>
        </w:tc>
        <w:tc>
          <w:tcPr>
            <w:tcW w:w="780" w:type="dxa"/>
            <w:vAlign w:val="bottom"/>
            <w:shd w:val="clear" w:color="auto" w:fill="CCEEFF"/>
          </w:tcPr>
          <w:p>
            <w:pPr>
              <w:ind w:left="320"/>
              <w:spacing w:after="0"/>
              <w:rPr>
                <w:sz w:val="20"/>
                <w:szCs w:val="20"/>
                <w:color w:val="auto"/>
              </w:rPr>
            </w:pPr>
            <w:r>
              <w:rPr>
                <w:rFonts w:ascii="Arial" w:cs="Arial" w:eastAsia="Arial" w:hAnsi="Arial"/>
                <w:sz w:val="11"/>
                <w:szCs w:val="11"/>
                <w:color w:val="auto"/>
              </w:rPr>
              <w:t>6.2</w:t>
            </w:r>
          </w:p>
        </w:tc>
        <w:tc>
          <w:tcPr>
            <w:tcW w:w="0" w:type="dxa"/>
            <w:vAlign w:val="bottom"/>
          </w:tcPr>
          <w:p>
            <w:pPr>
              <w:spacing w:after="0"/>
              <w:rPr>
                <w:sz w:val="1"/>
                <w:szCs w:val="1"/>
                <w:color w:val="auto"/>
              </w:rPr>
            </w:pPr>
          </w:p>
        </w:tc>
      </w:tr>
      <w:tr>
        <w:trPr>
          <w:trHeight w:val="172"/>
        </w:trPr>
        <w:tc>
          <w:tcPr>
            <w:tcW w:w="3340" w:type="dxa"/>
            <w:vAlign w:val="bottom"/>
            <w:gridSpan w:val="2"/>
          </w:tcPr>
          <w:p>
            <w:pPr>
              <w:ind w:left="40"/>
              <w:spacing w:after="0"/>
              <w:rPr>
                <w:sz w:val="20"/>
                <w:szCs w:val="20"/>
                <w:color w:val="auto"/>
              </w:rPr>
            </w:pPr>
            <w:r>
              <w:rPr>
                <w:rFonts w:ascii="Arial" w:cs="Arial" w:eastAsia="Arial" w:hAnsi="Arial"/>
                <w:sz w:val="11"/>
                <w:szCs w:val="11"/>
                <w:color w:val="auto"/>
              </w:rPr>
              <w:t>9808 Medical Center Drive/Maryland/Rockville</w:t>
            </w:r>
          </w:p>
        </w:tc>
        <w:tc>
          <w:tcPr>
            <w:tcW w:w="540" w:type="dxa"/>
            <w:vAlign w:val="bottom"/>
          </w:tcPr>
          <w:p>
            <w:pPr>
              <w:jc w:val="center"/>
              <w:spacing w:after="0"/>
              <w:rPr>
                <w:sz w:val="20"/>
                <w:szCs w:val="20"/>
                <w:color w:val="auto"/>
              </w:rPr>
            </w:pPr>
            <w:r>
              <w:rPr>
                <w:rFonts w:ascii="Arial" w:cs="Arial" w:eastAsia="Arial" w:hAnsi="Arial"/>
                <w:sz w:val="11"/>
                <w:szCs w:val="11"/>
                <w:color w:val="auto"/>
              </w:rPr>
              <w:t>6/18/24</w:t>
            </w:r>
          </w:p>
        </w:tc>
        <w:tc>
          <w:tcPr>
            <w:tcW w:w="720" w:type="dxa"/>
            <w:vAlign w:val="bottom"/>
            <w:gridSpan w:val="2"/>
          </w:tcPr>
          <w:p>
            <w:pPr>
              <w:jc w:val="center"/>
              <w:ind w:left="23"/>
              <w:spacing w:after="0"/>
              <w:rPr>
                <w:sz w:val="20"/>
                <w:szCs w:val="20"/>
                <w:color w:val="auto"/>
              </w:rPr>
            </w:pPr>
            <w:r>
              <w:rPr>
                <w:rFonts w:ascii="Arial" w:cs="Arial" w:eastAsia="Arial" w:hAnsi="Arial"/>
                <w:sz w:val="11"/>
                <w:szCs w:val="11"/>
                <w:color w:val="auto"/>
                <w:w w:val="99"/>
              </w:rPr>
              <w:t>100%</w:t>
            </w:r>
          </w:p>
        </w:tc>
        <w:tc>
          <w:tcPr>
            <w:tcW w:w="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26,460</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25,655</w:t>
            </w:r>
          </w:p>
        </w:tc>
        <w:tc>
          <w:tcPr>
            <w:tcW w:w="40" w:type="dxa"/>
            <w:vAlign w:val="bottom"/>
          </w:tcPr>
          <w:p>
            <w:pPr>
              <w:spacing w:after="0"/>
              <w:rPr>
                <w:sz w:val="14"/>
                <w:szCs w:val="14"/>
                <w:color w:val="auto"/>
              </w:rPr>
            </w:pPr>
          </w:p>
        </w:tc>
        <w:tc>
          <w:tcPr>
            <w:tcW w:w="600" w:type="dxa"/>
            <w:vAlign w:val="bottom"/>
          </w:tcPr>
          <w:p>
            <w:pPr>
              <w:jc w:val="right"/>
              <w:ind w:right="3"/>
              <w:spacing w:after="0"/>
              <w:rPr>
                <w:sz w:val="20"/>
                <w:szCs w:val="20"/>
                <w:color w:val="auto"/>
              </w:rPr>
            </w:pPr>
            <w:r>
              <w:rPr>
                <w:rFonts w:ascii="Arial" w:cs="Arial" w:eastAsia="Arial" w:hAnsi="Arial"/>
                <w:sz w:val="11"/>
                <w:szCs w:val="11"/>
                <w:color w:val="auto"/>
              </w:rPr>
              <w:t>52,115</w:t>
            </w:r>
          </w:p>
        </w:tc>
        <w:tc>
          <w:tcPr>
            <w:tcW w:w="840" w:type="dxa"/>
            <w:vAlign w:val="bottom"/>
            <w:gridSpan w:val="2"/>
          </w:tcPr>
          <w:p>
            <w:pPr>
              <w:jc w:val="center"/>
              <w:ind w:left="43"/>
              <w:spacing w:after="0"/>
              <w:rPr>
                <w:sz w:val="20"/>
                <w:szCs w:val="20"/>
                <w:color w:val="auto"/>
              </w:rPr>
            </w:pPr>
            <w:r>
              <w:rPr>
                <w:rFonts w:ascii="Arial" w:cs="Arial" w:eastAsia="Arial" w:hAnsi="Arial"/>
                <w:sz w:val="11"/>
                <w:szCs w:val="11"/>
                <w:color w:val="auto"/>
              </w:rPr>
              <w:t>100%</w:t>
            </w:r>
          </w:p>
        </w:tc>
        <w:tc>
          <w:tcPr>
            <w:tcW w:w="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95,061</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ind w:left="120"/>
              <w:spacing w:after="0"/>
              <w:rPr>
                <w:sz w:val="20"/>
                <w:szCs w:val="20"/>
                <w:color w:val="auto"/>
              </w:rPr>
            </w:pPr>
            <w:r>
              <w:rPr>
                <w:rFonts w:ascii="Arial" w:cs="Arial" w:eastAsia="Arial" w:hAnsi="Arial"/>
                <w:sz w:val="11"/>
                <w:szCs w:val="11"/>
                <w:color w:val="auto"/>
              </w:rPr>
              <w:t>113,000</w:t>
            </w:r>
          </w:p>
        </w:tc>
        <w:tc>
          <w:tcPr>
            <w:tcW w:w="40" w:type="dxa"/>
            <w:vAlign w:val="bottom"/>
          </w:tcPr>
          <w:p>
            <w:pPr>
              <w:spacing w:after="0"/>
              <w:rPr>
                <w:sz w:val="14"/>
                <w:szCs w:val="14"/>
                <w:color w:val="auto"/>
              </w:rPr>
            </w:pPr>
          </w:p>
        </w:tc>
        <w:tc>
          <w:tcPr>
            <w:tcW w:w="640" w:type="dxa"/>
            <w:vAlign w:val="bottom"/>
            <w:gridSpan w:val="2"/>
          </w:tcPr>
          <w:p>
            <w:pPr>
              <w:ind w:left="200"/>
              <w:spacing w:after="0"/>
              <w:rPr>
                <w:sz w:val="20"/>
                <w:szCs w:val="20"/>
                <w:color w:val="auto"/>
              </w:rPr>
            </w:pPr>
            <w:r>
              <w:rPr>
                <w:rFonts w:ascii="Arial" w:cs="Arial" w:eastAsia="Arial" w:hAnsi="Arial"/>
                <w:sz w:val="11"/>
                <w:szCs w:val="11"/>
                <w:color w:val="auto"/>
              </w:rPr>
              <w:t>5.5</w:t>
            </w:r>
          </w:p>
        </w:tc>
        <w:tc>
          <w:tcPr>
            <w:tcW w:w="40" w:type="dxa"/>
            <w:vAlign w:val="bottom"/>
          </w:tcPr>
          <w:p>
            <w:pPr>
              <w:spacing w:after="0"/>
              <w:rPr>
                <w:sz w:val="14"/>
                <w:szCs w:val="14"/>
                <w:color w:val="auto"/>
              </w:rPr>
            </w:pPr>
          </w:p>
        </w:tc>
        <w:tc>
          <w:tcPr>
            <w:tcW w:w="780" w:type="dxa"/>
            <w:vAlign w:val="bottom"/>
          </w:tcPr>
          <w:p>
            <w:pPr>
              <w:ind w:left="320"/>
              <w:spacing w:after="0"/>
              <w:rPr>
                <w:sz w:val="20"/>
                <w:szCs w:val="20"/>
                <w:color w:val="auto"/>
              </w:rPr>
            </w:pPr>
            <w:r>
              <w:rPr>
                <w:rFonts w:ascii="Arial" w:cs="Arial" w:eastAsia="Arial" w:hAnsi="Arial"/>
                <w:sz w:val="11"/>
                <w:szCs w:val="11"/>
                <w:color w:val="auto"/>
              </w:rPr>
              <w:t>5.5</w:t>
            </w:r>
          </w:p>
        </w:tc>
        <w:tc>
          <w:tcPr>
            <w:tcW w:w="0" w:type="dxa"/>
            <w:vAlign w:val="bottom"/>
          </w:tcPr>
          <w:p>
            <w:pPr>
              <w:spacing w:after="0"/>
              <w:rPr>
                <w:sz w:val="1"/>
                <w:szCs w:val="1"/>
                <w:color w:val="auto"/>
              </w:rPr>
            </w:pPr>
          </w:p>
        </w:tc>
      </w:tr>
      <w:tr>
        <w:trPr>
          <w:trHeight w:val="172"/>
        </w:trPr>
        <w:tc>
          <w:tcPr>
            <w:tcW w:w="32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340" w:type="dxa"/>
            <w:vAlign w:val="bottom"/>
            <w:gridSpan w:val="2"/>
          </w:tcPr>
          <w:p>
            <w:pPr>
              <w:ind w:left="40"/>
              <w:spacing w:after="0"/>
              <w:rPr>
                <w:sz w:val="20"/>
                <w:szCs w:val="20"/>
                <w:color w:val="auto"/>
              </w:rPr>
            </w:pPr>
            <w:r>
              <w:rPr>
                <w:rFonts w:ascii="Arial" w:cs="Arial" w:eastAsia="Arial" w:hAnsi="Arial"/>
                <w:sz w:val="11"/>
                <w:szCs w:val="11"/>
                <w:b w:val="1"/>
                <w:bCs w:val="1"/>
                <w:color w:val="auto"/>
              </w:rPr>
              <w:t>Redevelopment projects</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340" w:type="dxa"/>
            <w:vAlign w:val="bottom"/>
            <w:gridSpan w:val="2"/>
            <w:shd w:val="clear" w:color="auto" w:fill="CCEEFF"/>
          </w:tcPr>
          <w:p>
            <w:pPr>
              <w:ind w:left="40"/>
              <w:spacing w:after="0"/>
              <w:rPr>
                <w:sz w:val="20"/>
                <w:szCs w:val="20"/>
                <w:color w:val="auto"/>
              </w:rPr>
            </w:pPr>
            <w:r>
              <w:rPr>
                <w:rFonts w:ascii="Arial" w:cs="Arial" w:eastAsia="Arial" w:hAnsi="Arial"/>
                <w:sz w:val="11"/>
                <w:szCs w:val="11"/>
                <w:color w:val="auto"/>
              </w:rPr>
              <w:t>651 Gateway Boulevard/San Francisco Bay Area/South San</w:t>
            </w:r>
          </w:p>
        </w:tc>
        <w:tc>
          <w:tcPr>
            <w:tcW w:w="540" w:type="dxa"/>
            <w:vAlign w:val="bottom"/>
            <w:vMerge w:val="restart"/>
            <w:shd w:val="clear" w:color="auto" w:fill="CCEEFF"/>
          </w:tcPr>
          <w:p>
            <w:pPr>
              <w:jc w:val="center"/>
              <w:spacing w:after="0"/>
              <w:rPr>
                <w:sz w:val="20"/>
                <w:szCs w:val="20"/>
                <w:color w:val="auto"/>
              </w:rPr>
            </w:pPr>
            <w:r>
              <w:rPr>
                <w:rFonts w:ascii="Arial" w:cs="Arial" w:eastAsia="Arial" w:hAnsi="Arial"/>
                <w:sz w:val="11"/>
                <w:szCs w:val="11"/>
                <w:color w:val="auto"/>
                <w:w w:val="97"/>
              </w:rPr>
              <w:t>N/A</w:t>
            </w:r>
          </w:p>
        </w:tc>
        <w:tc>
          <w:tcPr>
            <w:tcW w:w="720" w:type="dxa"/>
            <w:vAlign w:val="bottom"/>
            <w:gridSpan w:val="2"/>
            <w:vMerge w:val="restart"/>
            <w:shd w:val="clear" w:color="auto" w:fill="CCEEFF"/>
          </w:tcPr>
          <w:p>
            <w:pPr>
              <w:jc w:val="center"/>
              <w:ind w:left="23"/>
              <w:spacing w:after="0"/>
              <w:rPr>
                <w:sz w:val="20"/>
                <w:szCs w:val="20"/>
                <w:color w:val="auto"/>
              </w:rPr>
            </w:pPr>
            <w:r>
              <w:rPr>
                <w:rFonts w:ascii="Arial" w:cs="Arial" w:eastAsia="Arial" w:hAnsi="Arial"/>
                <w:sz w:val="11"/>
                <w:szCs w:val="11"/>
                <w:color w:val="auto"/>
              </w:rPr>
              <w:t>50.0%</w:t>
            </w:r>
          </w:p>
        </w:tc>
        <w:tc>
          <w:tcPr>
            <w:tcW w:w="4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20" w:type="dxa"/>
            <w:vAlign w:val="bottom"/>
            <w:gridSpan w:val="3"/>
            <w:vMerge w:val="restart"/>
            <w:shd w:val="clear" w:color="auto" w:fill="CCEEFF"/>
          </w:tcPr>
          <w:p>
            <w:pPr>
              <w:jc w:val="right"/>
              <w:spacing w:after="0"/>
              <w:rPr>
                <w:sz w:val="20"/>
                <w:szCs w:val="20"/>
                <w:color w:val="auto"/>
              </w:rPr>
            </w:pPr>
            <w:r>
              <w:rPr>
                <w:rFonts w:ascii="Arial" w:cs="Arial" w:eastAsia="Arial" w:hAnsi="Arial"/>
                <w:sz w:val="11"/>
                <w:szCs w:val="11"/>
                <w:color w:val="auto"/>
              </w:rPr>
              <w:t>44,652</w:t>
            </w:r>
          </w:p>
        </w:tc>
        <w:tc>
          <w:tcPr>
            <w:tcW w:w="40" w:type="dxa"/>
            <w:vAlign w:val="bottom"/>
            <w:shd w:val="clear" w:color="auto" w:fill="CCEEFF"/>
          </w:tcPr>
          <w:p>
            <w:pPr>
              <w:spacing w:after="0"/>
              <w:rPr>
                <w:sz w:val="13"/>
                <w:szCs w:val="13"/>
                <w:color w:val="auto"/>
              </w:rPr>
            </w:pPr>
          </w:p>
        </w:tc>
        <w:tc>
          <w:tcPr>
            <w:tcW w:w="5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44,652</w:t>
            </w:r>
          </w:p>
        </w:tc>
        <w:tc>
          <w:tcPr>
            <w:tcW w:w="840" w:type="dxa"/>
            <w:vAlign w:val="bottom"/>
            <w:gridSpan w:val="2"/>
            <w:vMerge w:val="restart"/>
            <w:shd w:val="clear" w:color="auto" w:fill="CCEEFF"/>
          </w:tcPr>
          <w:p>
            <w:pPr>
              <w:jc w:val="center"/>
              <w:ind w:left="43"/>
              <w:spacing w:after="0"/>
              <w:rPr>
                <w:sz w:val="20"/>
                <w:szCs w:val="20"/>
                <w:color w:val="auto"/>
              </w:rPr>
            </w:pPr>
            <w:r>
              <w:rPr>
                <w:rFonts w:ascii="Arial" w:cs="Arial" w:eastAsia="Arial" w:hAnsi="Arial"/>
                <w:sz w:val="11"/>
                <w:szCs w:val="11"/>
                <w:color w:val="auto"/>
              </w:rPr>
              <w:t>100%</w:t>
            </w:r>
          </w:p>
        </w:tc>
        <w:tc>
          <w:tcPr>
            <w:tcW w:w="6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326,706</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ind w:left="120"/>
              <w:spacing w:after="0"/>
              <w:rPr>
                <w:sz w:val="20"/>
                <w:szCs w:val="20"/>
                <w:color w:val="auto"/>
              </w:rPr>
            </w:pPr>
            <w:r>
              <w:rPr>
                <w:rFonts w:ascii="Arial" w:cs="Arial" w:eastAsia="Arial" w:hAnsi="Arial"/>
                <w:sz w:val="11"/>
                <w:szCs w:val="11"/>
                <w:color w:val="auto"/>
              </w:rPr>
              <w:t>487,000</w:t>
            </w:r>
          </w:p>
        </w:tc>
        <w:tc>
          <w:tcPr>
            <w:tcW w:w="40" w:type="dxa"/>
            <w:vAlign w:val="bottom"/>
            <w:shd w:val="clear" w:color="auto" w:fill="CCEEFF"/>
          </w:tcPr>
          <w:p>
            <w:pPr>
              <w:spacing w:after="0"/>
              <w:rPr>
                <w:sz w:val="13"/>
                <w:szCs w:val="13"/>
                <w:color w:val="auto"/>
              </w:rPr>
            </w:pPr>
          </w:p>
        </w:tc>
        <w:tc>
          <w:tcPr>
            <w:tcW w:w="640" w:type="dxa"/>
            <w:vAlign w:val="bottom"/>
            <w:gridSpan w:val="2"/>
            <w:vMerge w:val="restart"/>
            <w:shd w:val="clear" w:color="auto" w:fill="CCEEFF"/>
          </w:tcPr>
          <w:p>
            <w:pPr>
              <w:ind w:left="200"/>
              <w:spacing w:after="0"/>
              <w:rPr>
                <w:sz w:val="20"/>
                <w:szCs w:val="20"/>
                <w:color w:val="auto"/>
              </w:rPr>
            </w:pPr>
            <w:r>
              <w:rPr>
                <w:rFonts w:ascii="Arial" w:cs="Arial" w:eastAsia="Arial" w:hAnsi="Arial"/>
                <w:sz w:val="11"/>
                <w:szCs w:val="11"/>
                <w:color w:val="auto"/>
              </w:rPr>
              <w:t>5.0</w:t>
            </w:r>
          </w:p>
        </w:tc>
        <w:tc>
          <w:tcPr>
            <w:tcW w:w="4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ind w:left="320"/>
              <w:spacing w:after="0"/>
              <w:rPr>
                <w:sz w:val="20"/>
                <w:szCs w:val="20"/>
                <w:color w:val="auto"/>
              </w:rPr>
            </w:pPr>
            <w:r>
              <w:rPr>
                <w:rFonts w:ascii="Arial" w:cs="Arial" w:eastAsia="Arial" w:hAnsi="Arial"/>
                <w:sz w:val="11"/>
                <w:szCs w:val="11"/>
                <w:color w:val="auto"/>
              </w:rPr>
              <w:t>5.1</w:t>
            </w:r>
          </w:p>
        </w:tc>
        <w:tc>
          <w:tcPr>
            <w:tcW w:w="0" w:type="dxa"/>
            <w:vAlign w:val="bottom"/>
          </w:tcPr>
          <w:p>
            <w:pPr>
              <w:spacing w:after="0"/>
              <w:rPr>
                <w:sz w:val="1"/>
                <w:szCs w:val="1"/>
                <w:color w:val="auto"/>
              </w:rPr>
            </w:pPr>
          </w:p>
        </w:tc>
      </w:tr>
      <w:tr>
        <w:trPr>
          <w:trHeight w:val="146"/>
        </w:trPr>
        <w:tc>
          <w:tcPr>
            <w:tcW w:w="3340" w:type="dxa"/>
            <w:vAlign w:val="bottom"/>
            <w:gridSpan w:val="2"/>
            <w:shd w:val="clear" w:color="auto" w:fill="CCEEFF"/>
          </w:tcPr>
          <w:p>
            <w:pPr>
              <w:ind w:left="160"/>
              <w:spacing w:after="0"/>
              <w:rPr>
                <w:sz w:val="20"/>
                <w:szCs w:val="20"/>
                <w:color w:val="auto"/>
              </w:rPr>
            </w:pPr>
            <w:r>
              <w:rPr>
                <w:rFonts w:ascii="Arial" w:cs="Arial" w:eastAsia="Arial" w:hAnsi="Arial"/>
                <w:sz w:val="11"/>
                <w:szCs w:val="11"/>
                <w:color w:val="auto"/>
              </w:rPr>
              <w:t>Francisco</w:t>
            </w:r>
          </w:p>
        </w:tc>
        <w:tc>
          <w:tcPr>
            <w:tcW w:w="540" w:type="dxa"/>
            <w:vAlign w:val="bottom"/>
            <w:vMerge w:val="continue"/>
            <w:shd w:val="clear" w:color="auto" w:fill="CCEEFF"/>
          </w:tcPr>
          <w:p>
            <w:pPr>
              <w:spacing w:after="0"/>
              <w:rPr>
                <w:sz w:val="12"/>
                <w:szCs w:val="12"/>
                <w:color w:val="auto"/>
              </w:rPr>
            </w:pPr>
          </w:p>
        </w:tc>
        <w:tc>
          <w:tcPr>
            <w:tcW w:w="720" w:type="dxa"/>
            <w:vAlign w:val="bottom"/>
            <w:gridSpan w:val="2"/>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vMerge w:val="continue"/>
            <w:shd w:val="clear" w:color="auto" w:fill="CCEEFF"/>
          </w:tcPr>
          <w:p>
            <w:pPr>
              <w:spacing w:after="0"/>
              <w:rPr>
                <w:sz w:val="12"/>
                <w:szCs w:val="12"/>
                <w:color w:val="auto"/>
              </w:rPr>
            </w:pPr>
          </w:p>
        </w:tc>
        <w:tc>
          <w:tcPr>
            <w:tcW w:w="620" w:type="dxa"/>
            <w:vAlign w:val="bottom"/>
            <w:gridSpan w:val="3"/>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gridSpan w:val="2"/>
            <w:vMerge w:val="continue"/>
            <w:shd w:val="clear" w:color="auto" w:fill="CCEEFF"/>
          </w:tcPr>
          <w:p>
            <w:pPr>
              <w:spacing w:after="0"/>
              <w:rPr>
                <w:sz w:val="12"/>
                <w:szCs w:val="12"/>
                <w:color w:val="auto"/>
              </w:rPr>
            </w:pPr>
          </w:p>
        </w:tc>
        <w:tc>
          <w:tcPr>
            <w:tcW w:w="600" w:type="dxa"/>
            <w:vAlign w:val="bottom"/>
            <w:vMerge w:val="continue"/>
            <w:shd w:val="clear" w:color="auto" w:fill="CCEEFF"/>
          </w:tcPr>
          <w:p>
            <w:pPr>
              <w:spacing w:after="0"/>
              <w:rPr>
                <w:sz w:val="12"/>
                <w:szCs w:val="12"/>
                <w:color w:val="auto"/>
              </w:rPr>
            </w:pPr>
          </w:p>
        </w:tc>
        <w:tc>
          <w:tcPr>
            <w:tcW w:w="840" w:type="dxa"/>
            <w:vAlign w:val="bottom"/>
            <w:gridSpan w:val="2"/>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gridSpan w:val="2"/>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340" w:type="dxa"/>
            <w:vAlign w:val="bottom"/>
            <w:gridSpan w:val="2"/>
          </w:tcPr>
          <w:p>
            <w:pPr>
              <w:ind w:left="40"/>
              <w:spacing w:after="0" w:line="144" w:lineRule="exact"/>
              <w:rPr>
                <w:sz w:val="20"/>
                <w:szCs w:val="20"/>
                <w:color w:val="auto"/>
              </w:rPr>
            </w:pPr>
            <w:r>
              <w:rPr>
                <w:rFonts w:ascii="Arial" w:cs="Arial" w:eastAsia="Arial" w:hAnsi="Arial"/>
                <w:sz w:val="11"/>
                <w:szCs w:val="11"/>
                <w:color w:val="auto"/>
              </w:rPr>
              <w:t>Alexandria Center</w:t>
            </w:r>
            <w:r>
              <w:rPr>
                <w:rFonts w:ascii="Arial" w:cs="Arial" w:eastAsia="Arial" w:hAnsi="Arial"/>
                <w:sz w:val="14"/>
                <w:szCs w:val="14"/>
                <w:color w:val="auto"/>
                <w:vertAlign w:val="superscript"/>
              </w:rPr>
              <w:t>®</w:t>
            </w:r>
            <w:r>
              <w:rPr>
                <w:rFonts w:ascii="Arial" w:cs="Arial" w:eastAsia="Arial" w:hAnsi="Arial"/>
                <w:sz w:val="11"/>
                <w:szCs w:val="11"/>
                <w:color w:val="auto"/>
              </w:rPr>
              <w:t xml:space="preserve"> for Advanced Technologies – Monte Villa</w:t>
            </w:r>
          </w:p>
        </w:tc>
        <w:tc>
          <w:tcPr>
            <w:tcW w:w="540" w:type="dxa"/>
            <w:vAlign w:val="bottom"/>
            <w:vMerge w:val="restart"/>
          </w:tcPr>
          <w:p>
            <w:pPr>
              <w:jc w:val="center"/>
              <w:spacing w:after="0"/>
              <w:rPr>
                <w:sz w:val="20"/>
                <w:szCs w:val="20"/>
                <w:color w:val="auto"/>
              </w:rPr>
            </w:pPr>
            <w:r>
              <w:rPr>
                <w:rFonts w:ascii="Arial" w:cs="Arial" w:eastAsia="Arial" w:hAnsi="Arial"/>
                <w:sz w:val="11"/>
                <w:szCs w:val="11"/>
                <w:color w:val="auto"/>
                <w:w w:val="97"/>
              </w:rPr>
              <w:t>N/A</w:t>
            </w:r>
          </w:p>
        </w:tc>
        <w:tc>
          <w:tcPr>
            <w:tcW w:w="720" w:type="dxa"/>
            <w:vAlign w:val="bottom"/>
            <w:gridSpan w:val="2"/>
            <w:vMerge w:val="restart"/>
          </w:tcPr>
          <w:p>
            <w:pPr>
              <w:jc w:val="center"/>
              <w:ind w:left="23"/>
              <w:spacing w:after="0"/>
              <w:rPr>
                <w:sz w:val="20"/>
                <w:szCs w:val="20"/>
                <w:color w:val="auto"/>
              </w:rPr>
            </w:pPr>
            <w:r>
              <w:rPr>
                <w:rFonts w:ascii="Arial" w:cs="Arial" w:eastAsia="Arial" w:hAnsi="Arial"/>
                <w:sz w:val="11"/>
                <w:szCs w:val="11"/>
                <w:color w:val="auto"/>
                <w:w w:val="99"/>
              </w:rPr>
              <w:t>100%</w:t>
            </w:r>
          </w:p>
        </w:tc>
        <w:tc>
          <w:tcPr>
            <w:tcW w:w="4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Arial" w:cs="Arial" w:eastAsia="Arial" w:hAnsi="Arial"/>
                <w:sz w:val="11"/>
                <w:szCs w:val="11"/>
                <w:color w:val="auto"/>
              </w:rPr>
              <w:t>65,086</w:t>
            </w:r>
          </w:p>
        </w:tc>
        <w:tc>
          <w:tcPr>
            <w:tcW w:w="620" w:type="dxa"/>
            <w:vAlign w:val="bottom"/>
            <w:gridSpan w:val="3"/>
            <w:vMerge w:val="restart"/>
          </w:tcPr>
          <w:p>
            <w:pPr>
              <w:jc w:val="right"/>
              <w:ind w:right="3"/>
              <w:spacing w:after="0"/>
              <w:rPr>
                <w:sz w:val="20"/>
                <w:szCs w:val="20"/>
                <w:color w:val="auto"/>
              </w:rPr>
            </w:pPr>
            <w:r>
              <w:rPr>
                <w:rFonts w:ascii="Arial" w:cs="Arial" w:eastAsia="Arial" w:hAnsi="Arial"/>
                <w:sz w:val="11"/>
                <w:szCs w:val="11"/>
                <w:color w:val="auto"/>
              </w:rPr>
              <w:t>115,598</w:t>
            </w:r>
          </w:p>
        </w:tc>
        <w:tc>
          <w:tcPr>
            <w:tcW w:w="40" w:type="dxa"/>
            <w:vAlign w:val="bottom"/>
          </w:tcPr>
          <w:p>
            <w:pPr>
              <w:spacing w:after="0"/>
              <w:rPr>
                <w:sz w:val="12"/>
                <w:szCs w:val="12"/>
                <w:color w:val="auto"/>
              </w:rPr>
            </w:pPr>
          </w:p>
        </w:tc>
        <w:tc>
          <w:tcPr>
            <w:tcW w:w="560" w:type="dxa"/>
            <w:vAlign w:val="bottom"/>
            <w:gridSpan w:val="2"/>
            <w:vMerge w:val="restart"/>
          </w:tcPr>
          <w:p>
            <w:pPr>
              <w:jc w:val="right"/>
              <w:ind w:right="80"/>
              <w:spacing w:after="0"/>
              <w:rPr>
                <w:sz w:val="20"/>
                <w:szCs w:val="20"/>
                <w:color w:val="auto"/>
              </w:rPr>
            </w:pPr>
            <w:r>
              <w:rPr>
                <w:rFonts w:ascii="Arial" w:cs="Arial" w:eastAsia="Arial" w:hAnsi="Arial"/>
                <w:sz w:val="11"/>
                <w:szCs w:val="11"/>
                <w:color w:val="auto"/>
              </w:rPr>
              <w:t>—</w:t>
            </w:r>
          </w:p>
        </w:tc>
        <w:tc>
          <w:tcPr>
            <w:tcW w:w="600" w:type="dxa"/>
            <w:vAlign w:val="bottom"/>
            <w:vMerge w:val="restart"/>
          </w:tcPr>
          <w:p>
            <w:pPr>
              <w:jc w:val="right"/>
              <w:spacing w:after="0"/>
              <w:rPr>
                <w:sz w:val="20"/>
                <w:szCs w:val="20"/>
                <w:color w:val="auto"/>
              </w:rPr>
            </w:pPr>
            <w:r>
              <w:rPr>
                <w:rFonts w:ascii="Arial" w:cs="Arial" w:eastAsia="Arial" w:hAnsi="Arial"/>
                <w:sz w:val="11"/>
                <w:szCs w:val="11"/>
                <w:color w:val="auto"/>
              </w:rPr>
              <w:t>180,684</w:t>
            </w:r>
          </w:p>
        </w:tc>
        <w:tc>
          <w:tcPr>
            <w:tcW w:w="840" w:type="dxa"/>
            <w:vAlign w:val="bottom"/>
            <w:gridSpan w:val="2"/>
            <w:vMerge w:val="restart"/>
          </w:tcPr>
          <w:p>
            <w:pPr>
              <w:jc w:val="center"/>
              <w:ind w:left="43"/>
              <w:spacing w:after="0"/>
              <w:rPr>
                <w:sz w:val="20"/>
                <w:szCs w:val="20"/>
                <w:color w:val="auto"/>
              </w:rPr>
            </w:pPr>
            <w:r>
              <w:rPr>
                <w:rFonts w:ascii="Arial" w:cs="Arial" w:eastAsia="Arial" w:hAnsi="Arial"/>
                <w:sz w:val="11"/>
                <w:szCs w:val="11"/>
                <w:color w:val="auto"/>
              </w:rPr>
              <w:t>100%</w:t>
            </w:r>
          </w:p>
        </w:tc>
        <w:tc>
          <w:tcPr>
            <w:tcW w:w="6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Arial" w:cs="Arial" w:eastAsia="Arial" w:hAnsi="Arial"/>
                <w:sz w:val="11"/>
                <w:szCs w:val="11"/>
                <w:color w:val="auto"/>
              </w:rPr>
              <w:t>460,934</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restart"/>
          </w:tcPr>
          <w:p>
            <w:pPr>
              <w:ind w:left="120"/>
              <w:spacing w:after="0"/>
              <w:rPr>
                <w:sz w:val="20"/>
                <w:szCs w:val="20"/>
                <w:color w:val="auto"/>
              </w:rPr>
            </w:pPr>
            <w:r>
              <w:rPr>
                <w:rFonts w:ascii="Arial" w:cs="Arial" w:eastAsia="Arial" w:hAnsi="Arial"/>
                <w:sz w:val="11"/>
                <w:szCs w:val="11"/>
                <w:color w:val="auto"/>
              </w:rPr>
              <w:t>229,000</w:t>
            </w:r>
          </w:p>
        </w:tc>
        <w:tc>
          <w:tcPr>
            <w:tcW w:w="40" w:type="dxa"/>
            <w:vAlign w:val="bottom"/>
          </w:tcPr>
          <w:p>
            <w:pPr>
              <w:spacing w:after="0"/>
              <w:rPr>
                <w:sz w:val="12"/>
                <w:szCs w:val="12"/>
                <w:color w:val="auto"/>
              </w:rPr>
            </w:pPr>
          </w:p>
        </w:tc>
        <w:tc>
          <w:tcPr>
            <w:tcW w:w="640" w:type="dxa"/>
            <w:vAlign w:val="bottom"/>
            <w:gridSpan w:val="2"/>
            <w:vMerge w:val="restart"/>
          </w:tcPr>
          <w:p>
            <w:pPr>
              <w:ind w:left="200"/>
              <w:spacing w:after="0"/>
              <w:rPr>
                <w:sz w:val="20"/>
                <w:szCs w:val="20"/>
                <w:color w:val="auto"/>
              </w:rPr>
            </w:pPr>
            <w:r>
              <w:rPr>
                <w:rFonts w:ascii="Arial" w:cs="Arial" w:eastAsia="Arial" w:hAnsi="Arial"/>
                <w:sz w:val="11"/>
                <w:szCs w:val="11"/>
                <w:color w:val="auto"/>
              </w:rPr>
              <w:t>6.3</w:t>
            </w:r>
          </w:p>
        </w:tc>
        <w:tc>
          <w:tcPr>
            <w:tcW w:w="40" w:type="dxa"/>
            <w:vAlign w:val="bottom"/>
          </w:tcPr>
          <w:p>
            <w:pPr>
              <w:spacing w:after="0"/>
              <w:rPr>
                <w:sz w:val="12"/>
                <w:szCs w:val="12"/>
                <w:color w:val="auto"/>
              </w:rPr>
            </w:pPr>
          </w:p>
        </w:tc>
        <w:tc>
          <w:tcPr>
            <w:tcW w:w="780" w:type="dxa"/>
            <w:vAlign w:val="bottom"/>
            <w:vMerge w:val="restart"/>
          </w:tcPr>
          <w:p>
            <w:pPr>
              <w:ind w:left="320"/>
              <w:spacing w:after="0"/>
              <w:rPr>
                <w:sz w:val="20"/>
                <w:szCs w:val="20"/>
                <w:color w:val="auto"/>
              </w:rPr>
            </w:pPr>
            <w:r>
              <w:rPr>
                <w:rFonts w:ascii="Arial" w:cs="Arial" w:eastAsia="Arial" w:hAnsi="Arial"/>
                <w:sz w:val="11"/>
                <w:szCs w:val="11"/>
                <w:color w:val="auto"/>
              </w:rPr>
              <w:t>6.2</w:t>
            </w:r>
          </w:p>
        </w:tc>
        <w:tc>
          <w:tcPr>
            <w:tcW w:w="0" w:type="dxa"/>
            <w:vAlign w:val="bottom"/>
          </w:tcPr>
          <w:p>
            <w:pPr>
              <w:spacing w:after="0"/>
              <w:rPr>
                <w:sz w:val="1"/>
                <w:szCs w:val="1"/>
                <w:color w:val="auto"/>
              </w:rPr>
            </w:pPr>
          </w:p>
        </w:tc>
      </w:tr>
      <w:tr>
        <w:trPr>
          <w:trHeight w:val="146"/>
        </w:trPr>
        <w:tc>
          <w:tcPr>
            <w:tcW w:w="3340" w:type="dxa"/>
            <w:vAlign w:val="bottom"/>
            <w:gridSpan w:val="2"/>
          </w:tcPr>
          <w:p>
            <w:pPr>
              <w:ind w:left="160"/>
              <w:spacing w:after="0"/>
              <w:rPr>
                <w:sz w:val="20"/>
                <w:szCs w:val="20"/>
                <w:color w:val="auto"/>
              </w:rPr>
            </w:pPr>
            <w:r>
              <w:rPr>
                <w:rFonts w:ascii="Arial" w:cs="Arial" w:eastAsia="Arial" w:hAnsi="Arial"/>
                <w:sz w:val="11"/>
                <w:szCs w:val="11"/>
                <w:color w:val="auto"/>
              </w:rPr>
              <w:t>Parkway/Seattle/Bothell</w:t>
            </w:r>
          </w:p>
        </w:tc>
        <w:tc>
          <w:tcPr>
            <w:tcW w:w="540" w:type="dxa"/>
            <w:vAlign w:val="bottom"/>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62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340" w:type="dxa"/>
            <w:vAlign w:val="bottom"/>
            <w:gridSpan w:val="2"/>
            <w:shd w:val="clear" w:color="auto" w:fill="CCEEFF"/>
          </w:tcPr>
          <w:p>
            <w:pPr>
              <w:ind w:left="40"/>
              <w:spacing w:after="0"/>
              <w:rPr>
                <w:sz w:val="20"/>
                <w:szCs w:val="20"/>
                <w:color w:val="auto"/>
              </w:rPr>
            </w:pPr>
            <w:r>
              <w:rPr>
                <w:rFonts w:ascii="Arial" w:cs="Arial" w:eastAsia="Arial" w:hAnsi="Arial"/>
                <w:sz w:val="11"/>
                <w:szCs w:val="11"/>
                <w:color w:val="auto"/>
              </w:rPr>
              <w:t>Canada</w:t>
            </w:r>
          </w:p>
        </w:tc>
        <w:tc>
          <w:tcPr>
            <w:tcW w:w="5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1"/>
                <w:szCs w:val="11"/>
                <w:color w:val="auto"/>
              </w:rPr>
              <w:t>4/17/24</w:t>
            </w:r>
          </w:p>
        </w:tc>
        <w:tc>
          <w:tcPr>
            <w:tcW w:w="720" w:type="dxa"/>
            <w:vAlign w:val="bottom"/>
            <w:gridSpan w:val="2"/>
            <w:shd w:val="clear" w:color="auto" w:fill="CCEEFF"/>
          </w:tcPr>
          <w:p>
            <w:pPr>
              <w:jc w:val="center"/>
              <w:ind w:left="23"/>
              <w:spacing w:after="0"/>
              <w:rPr>
                <w:sz w:val="20"/>
                <w:szCs w:val="20"/>
                <w:color w:val="auto"/>
              </w:rPr>
            </w:pPr>
            <w:r>
              <w:rPr>
                <w:rFonts w:ascii="Arial" w:cs="Arial" w:eastAsia="Arial" w:hAnsi="Arial"/>
                <w:sz w:val="11"/>
                <w:szCs w:val="11"/>
                <w:color w:val="auto"/>
                <w:w w:val="99"/>
              </w:rPr>
              <w:t>100%</w:t>
            </w:r>
          </w:p>
        </w:tc>
        <w:tc>
          <w:tcPr>
            <w:tcW w:w="40" w:type="dxa"/>
            <w:vAlign w:val="bottom"/>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44,862</w:t>
            </w:r>
          </w:p>
        </w:tc>
        <w:tc>
          <w:tcPr>
            <w:tcW w:w="40" w:type="dxa"/>
            <w:vAlign w:val="bottom"/>
            <w:tcBorders>
              <w:bottom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9,725</w:t>
            </w:r>
          </w:p>
        </w:tc>
        <w:tc>
          <w:tcPr>
            <w:tcW w:w="40" w:type="dxa"/>
            <w:vAlign w:val="bottom"/>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23,900</w:t>
            </w:r>
          </w:p>
        </w:tc>
        <w:tc>
          <w:tcPr>
            <w:tcW w:w="40" w:type="dxa"/>
            <w:vAlign w:val="bottom"/>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78,487</w:t>
            </w:r>
          </w:p>
        </w:tc>
        <w:tc>
          <w:tcPr>
            <w:tcW w:w="840" w:type="dxa"/>
            <w:vAlign w:val="bottom"/>
            <w:gridSpan w:val="2"/>
            <w:shd w:val="clear" w:color="auto" w:fill="CCEEFF"/>
          </w:tcPr>
          <w:p>
            <w:pPr>
              <w:jc w:val="center"/>
              <w:ind w:left="43"/>
              <w:spacing w:after="0"/>
              <w:rPr>
                <w:sz w:val="20"/>
                <w:szCs w:val="20"/>
                <w:color w:val="auto"/>
              </w:rPr>
            </w:pPr>
            <w:r>
              <w:rPr>
                <w:rFonts w:ascii="Arial" w:cs="Arial" w:eastAsia="Arial" w:hAnsi="Arial"/>
                <w:sz w:val="11"/>
                <w:szCs w:val="11"/>
                <w:color w:val="auto"/>
              </w:rPr>
              <w:t>100%</w:t>
            </w:r>
          </w:p>
        </w:tc>
        <w:tc>
          <w:tcPr>
            <w:tcW w:w="60" w:type="dxa"/>
            <w:vAlign w:val="bottom"/>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250,790</w:t>
            </w:r>
          </w:p>
        </w:tc>
        <w:tc>
          <w:tcPr>
            <w:tcW w:w="4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1"/>
                <w:szCs w:val="11"/>
                <w:color w:val="auto"/>
              </w:rPr>
              <w:t>113,000</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1"/>
                <w:szCs w:val="11"/>
                <w:color w:val="auto"/>
              </w:rPr>
              <w:t>6.4</w:t>
            </w:r>
          </w:p>
        </w:tc>
        <w:tc>
          <w:tcPr>
            <w:tcW w:w="40" w:type="dxa"/>
            <w:vAlign w:val="bottom"/>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1"/>
                <w:szCs w:val="11"/>
                <w:color w:val="auto"/>
              </w:rPr>
              <w:t>6.3</w:t>
            </w:r>
          </w:p>
        </w:tc>
        <w:tc>
          <w:tcPr>
            <w:tcW w:w="0" w:type="dxa"/>
            <w:vAlign w:val="bottom"/>
          </w:tcPr>
          <w:p>
            <w:pPr>
              <w:spacing w:after="0"/>
              <w:rPr>
                <w:sz w:val="1"/>
                <w:szCs w:val="1"/>
                <w:color w:val="auto"/>
              </w:rPr>
            </w:pPr>
          </w:p>
        </w:tc>
      </w:tr>
      <w:tr>
        <w:trPr>
          <w:trHeight w:val="130"/>
        </w:trPr>
        <w:tc>
          <w:tcPr>
            <w:tcW w:w="3340" w:type="dxa"/>
            <w:vAlign w:val="bottom"/>
            <w:gridSpan w:val="2"/>
          </w:tcPr>
          <w:p>
            <w:pPr>
              <w:ind w:left="160"/>
              <w:spacing w:after="0"/>
              <w:rPr>
                <w:sz w:val="20"/>
                <w:szCs w:val="20"/>
                <w:color w:val="auto"/>
              </w:rPr>
            </w:pPr>
            <w:r>
              <w:rPr>
                <w:rFonts w:ascii="Arial" w:cs="Arial" w:eastAsia="Arial" w:hAnsi="Arial"/>
                <w:sz w:val="11"/>
                <w:szCs w:val="11"/>
                <w:color w:val="auto"/>
              </w:rPr>
              <w:t>Weighted average/total</w:t>
            </w:r>
          </w:p>
        </w:tc>
        <w:tc>
          <w:tcPr>
            <w:tcW w:w="540" w:type="dxa"/>
            <w:vAlign w:val="bottom"/>
          </w:tcPr>
          <w:p>
            <w:pPr>
              <w:jc w:val="center"/>
              <w:spacing w:after="0"/>
              <w:rPr>
                <w:sz w:val="20"/>
                <w:szCs w:val="20"/>
                <w:color w:val="auto"/>
              </w:rPr>
            </w:pPr>
            <w:r>
              <w:rPr>
                <w:rFonts w:ascii="Arial" w:cs="Arial" w:eastAsia="Arial" w:hAnsi="Arial"/>
                <w:sz w:val="11"/>
                <w:szCs w:val="11"/>
                <w:color w:val="auto"/>
              </w:rPr>
              <w:t>4/21/24</w:t>
            </w: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458,258</w:t>
            </w:r>
          </w:p>
        </w:tc>
        <w:tc>
          <w:tcPr>
            <w:tcW w:w="620" w:type="dxa"/>
            <w:vAlign w:val="bottom"/>
            <w:gridSpan w:val="3"/>
          </w:tcPr>
          <w:p>
            <w:pPr>
              <w:jc w:val="right"/>
              <w:spacing w:after="0"/>
              <w:rPr>
                <w:sz w:val="20"/>
                <w:szCs w:val="20"/>
                <w:color w:val="auto"/>
              </w:rPr>
            </w:pPr>
            <w:r>
              <w:rPr>
                <w:rFonts w:ascii="Arial" w:cs="Arial" w:eastAsia="Arial" w:hAnsi="Arial"/>
                <w:sz w:val="11"/>
                <w:szCs w:val="11"/>
                <w:color w:val="auto"/>
              </w:rPr>
              <w:t>343,445</w:t>
            </w:r>
          </w:p>
        </w:tc>
        <w:tc>
          <w:tcPr>
            <w:tcW w:w="4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284,982</w:t>
            </w:r>
          </w:p>
        </w:tc>
        <w:tc>
          <w:tcPr>
            <w:tcW w:w="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1,086,685</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2,209,384</w:t>
            </w:r>
          </w:p>
        </w:tc>
        <w:tc>
          <w:tcPr>
            <w:tcW w:w="40" w:type="dxa"/>
            <w:vAlign w:val="bottom"/>
          </w:tcPr>
          <w:p>
            <w:pPr>
              <w:spacing w:after="0"/>
              <w:rPr>
                <w:sz w:val="11"/>
                <w:szCs w:val="11"/>
                <w:color w:val="auto"/>
              </w:rPr>
            </w:pPr>
          </w:p>
        </w:tc>
        <w:tc>
          <w:tcPr>
            <w:tcW w:w="120" w:type="dxa"/>
            <w:vAlign w:val="bottom"/>
          </w:tcPr>
          <w:p>
            <w:pPr>
              <w:ind w:left="60"/>
              <w:spacing w:after="0"/>
              <w:rPr>
                <w:sz w:val="20"/>
                <w:szCs w:val="20"/>
                <w:color w:val="auto"/>
              </w:rPr>
            </w:pPr>
            <w:r>
              <w:rPr>
                <w:rFonts w:ascii="Arial" w:cs="Arial" w:eastAsia="Arial" w:hAnsi="Arial"/>
                <w:sz w:val="10"/>
                <w:szCs w:val="10"/>
                <w:color w:val="auto"/>
                <w:w w:val="71"/>
              </w:rPr>
              <w:t>$</w:t>
            </w:r>
          </w:p>
        </w:tc>
        <w:tc>
          <w:tcPr>
            <w:tcW w:w="580" w:type="dxa"/>
            <w:vAlign w:val="bottom"/>
          </w:tcPr>
          <w:p>
            <w:pPr>
              <w:ind w:left="20"/>
              <w:spacing w:after="0"/>
              <w:rPr>
                <w:sz w:val="20"/>
                <w:szCs w:val="20"/>
                <w:color w:val="auto"/>
              </w:rPr>
            </w:pPr>
            <w:r>
              <w:rPr>
                <w:rFonts w:ascii="Arial" w:cs="Arial" w:eastAsia="Arial" w:hAnsi="Arial"/>
                <w:sz w:val="11"/>
                <w:szCs w:val="11"/>
                <w:color w:val="auto"/>
              </w:rPr>
              <w:t>2,415,000</w:t>
            </w:r>
          </w:p>
        </w:tc>
        <w:tc>
          <w:tcPr>
            <w:tcW w:w="40" w:type="dxa"/>
            <w:vAlign w:val="bottom"/>
          </w:tcPr>
          <w:p>
            <w:pPr>
              <w:spacing w:after="0"/>
              <w:rPr>
                <w:sz w:val="11"/>
                <w:szCs w:val="11"/>
                <w:color w:val="auto"/>
              </w:rPr>
            </w:pPr>
          </w:p>
        </w:tc>
        <w:tc>
          <w:tcPr>
            <w:tcW w:w="640" w:type="dxa"/>
            <w:vAlign w:val="bottom"/>
            <w:gridSpan w:val="2"/>
          </w:tcPr>
          <w:p>
            <w:pPr>
              <w:ind w:left="200"/>
              <w:spacing w:after="0"/>
              <w:rPr>
                <w:sz w:val="20"/>
                <w:szCs w:val="20"/>
                <w:color w:val="auto"/>
              </w:rPr>
            </w:pPr>
            <w:r>
              <w:rPr>
                <w:rFonts w:ascii="Arial" w:cs="Arial" w:eastAsia="Arial" w:hAnsi="Arial"/>
                <w:sz w:val="11"/>
                <w:szCs w:val="11"/>
                <w:color w:val="auto"/>
              </w:rPr>
              <w:t>6.2%</w:t>
            </w:r>
          </w:p>
        </w:tc>
        <w:tc>
          <w:tcPr>
            <w:tcW w:w="40" w:type="dxa"/>
            <w:vAlign w:val="bottom"/>
          </w:tcPr>
          <w:p>
            <w:pPr>
              <w:spacing w:after="0"/>
              <w:rPr>
                <w:sz w:val="11"/>
                <w:szCs w:val="11"/>
                <w:color w:val="auto"/>
              </w:rPr>
            </w:pPr>
          </w:p>
        </w:tc>
        <w:tc>
          <w:tcPr>
            <w:tcW w:w="780" w:type="dxa"/>
            <w:vAlign w:val="bottom"/>
          </w:tcPr>
          <w:p>
            <w:pPr>
              <w:ind w:left="320"/>
              <w:spacing w:after="0"/>
              <w:rPr>
                <w:sz w:val="20"/>
                <w:szCs w:val="20"/>
                <w:color w:val="auto"/>
              </w:rPr>
            </w:pPr>
            <w:r>
              <w:rPr>
                <w:rFonts w:ascii="Arial" w:cs="Arial" w:eastAsia="Arial" w:hAnsi="Arial"/>
                <w:sz w:val="11"/>
                <w:szCs w:val="11"/>
                <w:color w:val="auto"/>
              </w:rPr>
              <w:t>6.1%</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6" w:lineRule="exact"/>
        <w:rPr>
          <w:sz w:val="20"/>
          <w:szCs w:val="20"/>
          <w:color w:val="auto"/>
        </w:rPr>
      </w:pPr>
    </w:p>
    <w:p>
      <w:pPr>
        <w:ind w:left="266" w:hanging="266"/>
        <w:spacing w:after="0"/>
        <w:tabs>
          <w:tab w:leader="none" w:pos="266" w:val="left"/>
        </w:tabs>
        <w:numPr>
          <w:ilvl w:val="0"/>
          <w:numId w:val="85"/>
        </w:numPr>
        <w:rPr>
          <w:rFonts w:ascii="Arial" w:cs="Arial" w:eastAsia="Arial" w:hAnsi="Arial"/>
          <w:sz w:val="10"/>
          <w:szCs w:val="10"/>
          <w:color w:val="auto"/>
        </w:rPr>
      </w:pPr>
      <w:r>
        <w:rPr>
          <w:rFonts w:ascii="Arial" w:cs="Arial" w:eastAsia="Arial" w:hAnsi="Arial"/>
          <w:sz w:val="10"/>
          <w:szCs w:val="10"/>
          <w:color w:val="auto"/>
        </w:rPr>
        <w:t>Image represents 500 North Beacon Street on the Arsenal on the Charles mega campus.</w:t>
      </w:r>
    </w:p>
    <w:p>
      <w:pPr>
        <w:spacing w:after="0" w:line="13" w:lineRule="exact"/>
        <w:rPr>
          <w:rFonts w:ascii="Arial" w:cs="Arial" w:eastAsia="Arial" w:hAnsi="Arial"/>
          <w:sz w:val="10"/>
          <w:szCs w:val="10"/>
          <w:color w:val="auto"/>
        </w:rPr>
      </w:pPr>
    </w:p>
    <w:p>
      <w:pPr>
        <w:ind w:left="266" w:hanging="266"/>
        <w:spacing w:after="0"/>
        <w:tabs>
          <w:tab w:leader="none" w:pos="266" w:val="left"/>
        </w:tabs>
        <w:numPr>
          <w:ilvl w:val="0"/>
          <w:numId w:val="85"/>
        </w:numPr>
        <w:rPr>
          <w:rFonts w:ascii="Arial" w:cs="Arial" w:eastAsia="Arial" w:hAnsi="Arial"/>
          <w:sz w:val="10"/>
          <w:szCs w:val="10"/>
          <w:color w:val="auto"/>
        </w:rPr>
      </w:pPr>
      <w:r>
        <w:rPr>
          <w:rFonts w:ascii="Arial" w:cs="Arial" w:eastAsia="Arial" w:hAnsi="Arial"/>
          <w:sz w:val="10"/>
          <w:szCs w:val="10"/>
          <w:color w:val="auto"/>
        </w:rPr>
        <w:t>Represents the average delivery date for deliveries that occurred during the three months ended June 30, 2024, weighted by annual rental revenue.</w:t>
      </w:r>
    </w:p>
    <w:p>
      <w:pPr>
        <w:spacing w:after="0" w:line="7" w:lineRule="exact"/>
        <w:rPr>
          <w:rFonts w:ascii="Arial" w:cs="Arial" w:eastAsia="Arial" w:hAnsi="Arial"/>
          <w:sz w:val="10"/>
          <w:szCs w:val="10"/>
          <w:color w:val="auto"/>
        </w:rPr>
      </w:pPr>
    </w:p>
    <w:p>
      <w:pPr>
        <w:ind w:left="266" w:hanging="266"/>
        <w:spacing w:after="0"/>
        <w:tabs>
          <w:tab w:leader="none" w:pos="266" w:val="left"/>
        </w:tabs>
        <w:numPr>
          <w:ilvl w:val="0"/>
          <w:numId w:val="85"/>
        </w:numPr>
        <w:rPr>
          <w:rFonts w:ascii="Arial" w:cs="Arial" w:eastAsia="Arial" w:hAnsi="Arial"/>
          <w:sz w:val="10"/>
          <w:szCs w:val="10"/>
          <w:color w:val="auto"/>
        </w:rPr>
      </w:pPr>
      <w:r>
        <w:rPr>
          <w:rFonts w:ascii="Arial" w:cs="Arial" w:eastAsia="Arial" w:hAnsi="Arial"/>
          <w:sz w:val="10"/>
          <w:szCs w:val="10"/>
          <w:color w:val="auto"/>
        </w:rPr>
        <w:t>Occupancy relates to total operating RSF placed in service as of the most recent delivery.</w:t>
      </w:r>
    </w:p>
    <w:p>
      <w:pPr>
        <w:spacing w:after="0" w:line="390" w:lineRule="exact"/>
        <w:rPr>
          <w:sz w:val="20"/>
          <w:szCs w:val="20"/>
          <w:color w:val="auto"/>
        </w:rPr>
      </w:pPr>
    </w:p>
    <w:p>
      <w:pPr>
        <w:jc w:val="center"/>
        <w:ind w:right="-25"/>
        <w:spacing w:after="0"/>
        <w:rPr>
          <w:sz w:val="20"/>
          <w:szCs w:val="20"/>
          <w:color w:val="auto"/>
        </w:rPr>
      </w:pPr>
      <w:r>
        <w:rPr>
          <w:rFonts w:ascii="Arial" w:cs="Arial" w:eastAsia="Arial" w:hAnsi="Arial"/>
          <w:sz w:val="13"/>
          <w:szCs w:val="13"/>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188595</wp:posOffset>
            </wp:positionV>
            <wp:extent cx="7212965" cy="10325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12965" cy="1032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6"/>
        <w:spacing w:after="0"/>
        <w:rPr>
          <w:sz w:val="20"/>
          <w:szCs w:val="20"/>
          <w:color w:val="auto"/>
        </w:rPr>
      </w:pPr>
      <w:r>
        <w:rPr>
          <w:rFonts w:ascii="Arial" w:cs="Arial" w:eastAsia="Arial" w:hAnsi="Arial"/>
          <w:sz w:val="13"/>
          <w:szCs w:val="13"/>
          <w:u w:val="single" w:color="auto"/>
          <w:color w:val="auto"/>
        </w:rPr>
        <w:t>New Class A/A+ development and redevelopment properties: current projects</w:t>
      </w:r>
    </w:p>
    <w:p>
      <w:pPr>
        <w:spacing w:after="0" w:line="175" w:lineRule="exact"/>
        <w:rPr>
          <w:sz w:val="20"/>
          <w:szCs w:val="20"/>
          <w:color w:val="auto"/>
        </w:rPr>
      </w:pPr>
    </w:p>
    <w:tbl>
      <w:tblPr>
        <w:tblLayout w:type="fixed"/>
        <w:tblInd w:w="386" w:type="dxa"/>
        <w:tblCellMar>
          <w:top w:w="0" w:type="dxa"/>
          <w:left w:w="0" w:type="dxa"/>
          <w:bottom w:w="0" w:type="dxa"/>
          <w:right w:w="0" w:type="dxa"/>
        </w:tblCellMar>
      </w:tblPr>
      <w:tr>
        <w:trPr>
          <w:trHeight w:val="126"/>
        </w:trPr>
        <w:tc>
          <w:tcPr>
            <w:tcW w:w="1740" w:type="dxa"/>
            <w:vAlign w:val="bottom"/>
            <w:vMerge w:val="restart"/>
          </w:tcPr>
          <w:p>
            <w:pPr>
              <w:jc w:val="center"/>
              <w:ind w:right="300"/>
              <w:spacing w:after="0"/>
              <w:rPr>
                <w:sz w:val="20"/>
                <w:szCs w:val="20"/>
                <w:color w:val="auto"/>
              </w:rPr>
            </w:pPr>
            <w:r>
              <w:rPr>
                <w:rFonts w:ascii="Arial" w:cs="Arial" w:eastAsia="Arial" w:hAnsi="Arial"/>
                <w:sz w:val="11"/>
                <w:szCs w:val="11"/>
                <w:b w:val="1"/>
                <w:bCs w:val="1"/>
                <w:color w:val="1F497D"/>
              </w:rPr>
              <w:t>99 Coolidge Avenue</w:t>
            </w:r>
          </w:p>
        </w:tc>
        <w:tc>
          <w:tcPr>
            <w:tcW w:w="2240" w:type="dxa"/>
            <w:vAlign w:val="bottom"/>
          </w:tcPr>
          <w:p>
            <w:pPr>
              <w:jc w:val="center"/>
              <w:spacing w:after="0"/>
              <w:rPr>
                <w:sz w:val="20"/>
                <w:szCs w:val="20"/>
                <w:color w:val="auto"/>
              </w:rPr>
            </w:pPr>
            <w:r>
              <w:rPr>
                <w:rFonts w:ascii="Arial" w:cs="Arial" w:eastAsia="Arial" w:hAnsi="Arial"/>
                <w:sz w:val="11"/>
                <w:szCs w:val="11"/>
                <w:b w:val="1"/>
                <w:bCs w:val="1"/>
                <w:color w:val="1F497D"/>
              </w:rPr>
              <w:t>500 North Beacon Street and</w:t>
            </w:r>
          </w:p>
        </w:tc>
        <w:tc>
          <w:tcPr>
            <w:tcW w:w="2160" w:type="dxa"/>
            <w:vAlign w:val="bottom"/>
            <w:vMerge w:val="restart"/>
          </w:tcPr>
          <w:p>
            <w:pPr>
              <w:jc w:val="center"/>
              <w:ind w:right="20"/>
              <w:spacing w:after="0"/>
              <w:rPr>
                <w:sz w:val="20"/>
                <w:szCs w:val="20"/>
                <w:color w:val="auto"/>
              </w:rPr>
            </w:pPr>
            <w:r>
              <w:rPr>
                <w:rFonts w:ascii="Arial" w:cs="Arial" w:eastAsia="Arial" w:hAnsi="Arial"/>
                <w:sz w:val="11"/>
                <w:szCs w:val="11"/>
                <w:b w:val="1"/>
                <w:bCs w:val="1"/>
                <w:color w:val="1F497D"/>
              </w:rPr>
              <w:t>311 Arsenal Street</w:t>
            </w:r>
          </w:p>
        </w:tc>
        <w:tc>
          <w:tcPr>
            <w:tcW w:w="2140" w:type="dxa"/>
            <w:vAlign w:val="bottom"/>
            <w:vMerge w:val="restart"/>
          </w:tcPr>
          <w:p>
            <w:pPr>
              <w:jc w:val="center"/>
              <w:spacing w:after="0"/>
              <w:rPr>
                <w:sz w:val="20"/>
                <w:szCs w:val="20"/>
                <w:color w:val="auto"/>
              </w:rPr>
            </w:pPr>
            <w:r>
              <w:rPr>
                <w:rFonts w:ascii="Arial" w:cs="Arial" w:eastAsia="Arial" w:hAnsi="Arial"/>
                <w:sz w:val="11"/>
                <w:szCs w:val="11"/>
                <w:b w:val="1"/>
                <w:bCs w:val="1"/>
                <w:color w:val="1F497D"/>
              </w:rPr>
              <w:t>201 Brookline Avenue</w:t>
            </w:r>
          </w:p>
        </w:tc>
        <w:tc>
          <w:tcPr>
            <w:tcW w:w="1720" w:type="dxa"/>
            <w:vAlign w:val="bottom"/>
            <w:vMerge w:val="restart"/>
          </w:tcPr>
          <w:p>
            <w:pPr>
              <w:jc w:val="center"/>
              <w:ind w:left="400"/>
              <w:spacing w:after="0"/>
              <w:rPr>
                <w:sz w:val="20"/>
                <w:szCs w:val="20"/>
                <w:color w:val="auto"/>
              </w:rPr>
            </w:pPr>
            <w:r>
              <w:rPr>
                <w:rFonts w:ascii="Arial" w:cs="Arial" w:eastAsia="Arial" w:hAnsi="Arial"/>
                <w:sz w:val="11"/>
                <w:szCs w:val="11"/>
                <w:b w:val="1"/>
                <w:bCs w:val="1"/>
                <w:color w:val="1F497D"/>
              </w:rPr>
              <w:t>401 Park Drive</w:t>
            </w:r>
          </w:p>
        </w:tc>
        <w:tc>
          <w:tcPr>
            <w:tcW w:w="0" w:type="dxa"/>
            <w:vAlign w:val="bottom"/>
          </w:tcPr>
          <w:p>
            <w:pPr>
              <w:spacing w:after="0"/>
              <w:rPr>
                <w:sz w:val="1"/>
                <w:szCs w:val="1"/>
                <w:color w:val="auto"/>
              </w:rPr>
            </w:pPr>
          </w:p>
        </w:tc>
      </w:tr>
      <w:tr>
        <w:trPr>
          <w:trHeight w:val="189"/>
        </w:trPr>
        <w:tc>
          <w:tcPr>
            <w:tcW w:w="1740" w:type="dxa"/>
            <w:vAlign w:val="bottom"/>
            <w:vMerge w:val="continue"/>
          </w:tcPr>
          <w:p>
            <w:pPr>
              <w:spacing w:after="0"/>
              <w:rPr>
                <w:sz w:val="16"/>
                <w:szCs w:val="16"/>
                <w:color w:val="auto"/>
              </w:rPr>
            </w:pPr>
          </w:p>
        </w:tc>
        <w:tc>
          <w:tcPr>
            <w:tcW w:w="2240" w:type="dxa"/>
            <w:vAlign w:val="bottom"/>
          </w:tcPr>
          <w:p>
            <w:pPr>
              <w:jc w:val="center"/>
              <w:spacing w:after="0"/>
              <w:rPr>
                <w:sz w:val="20"/>
                <w:szCs w:val="20"/>
                <w:color w:val="auto"/>
              </w:rPr>
            </w:pPr>
            <w:r>
              <w:rPr>
                <w:rFonts w:ascii="Arial" w:cs="Arial" w:eastAsia="Arial" w:hAnsi="Arial"/>
                <w:sz w:val="11"/>
                <w:szCs w:val="11"/>
                <w:b w:val="1"/>
                <w:bCs w:val="1"/>
                <w:color w:val="1F497D"/>
              </w:rPr>
              <w:t>4 Kingsbury Avenue</w:t>
            </w:r>
            <w:r>
              <w:rPr>
                <w:rFonts w:ascii="Arial" w:cs="Arial" w:eastAsia="Arial" w:hAnsi="Arial"/>
                <w:sz w:val="14"/>
                <w:szCs w:val="14"/>
                <w:b w:val="1"/>
                <w:bCs w:val="1"/>
                <w:color w:val="1F497D"/>
                <w:vertAlign w:val="superscript"/>
              </w:rPr>
              <w:t>(1)</w:t>
            </w:r>
          </w:p>
        </w:tc>
        <w:tc>
          <w:tcPr>
            <w:tcW w:w="2160" w:type="dxa"/>
            <w:vAlign w:val="bottom"/>
            <w:vMerge w:val="continue"/>
          </w:tcPr>
          <w:p>
            <w:pPr>
              <w:spacing w:after="0"/>
              <w:rPr>
                <w:sz w:val="16"/>
                <w:szCs w:val="16"/>
                <w:color w:val="auto"/>
              </w:rPr>
            </w:pPr>
          </w:p>
        </w:tc>
        <w:tc>
          <w:tcPr>
            <w:tcW w:w="2140" w:type="dxa"/>
            <w:vAlign w:val="bottom"/>
            <w:vMerge w:val="continue"/>
          </w:tcPr>
          <w:p>
            <w:pPr>
              <w:spacing w:after="0"/>
              <w:rPr>
                <w:sz w:val="16"/>
                <w:szCs w:val="16"/>
                <w:color w:val="auto"/>
              </w:rPr>
            </w:pPr>
          </w:p>
        </w:tc>
        <w:tc>
          <w:tcPr>
            <w:tcW w:w="1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740" w:type="dxa"/>
            <w:vAlign w:val="bottom"/>
          </w:tcPr>
          <w:p>
            <w:pPr>
              <w:jc w:val="center"/>
              <w:ind w:right="300"/>
              <w:spacing w:after="0" w:line="122" w:lineRule="exact"/>
              <w:rPr>
                <w:sz w:val="20"/>
                <w:szCs w:val="20"/>
                <w:color w:val="auto"/>
              </w:rPr>
            </w:pPr>
            <w:r>
              <w:rPr>
                <w:rFonts w:ascii="Arial" w:cs="Arial" w:eastAsia="Arial" w:hAnsi="Arial"/>
                <w:sz w:val="12"/>
                <w:szCs w:val="12"/>
                <w:color w:val="auto"/>
              </w:rPr>
              <w:t>Greater Boston/</w:t>
            </w:r>
          </w:p>
        </w:tc>
        <w:tc>
          <w:tcPr>
            <w:tcW w:w="2240" w:type="dxa"/>
            <w:vAlign w:val="bottom"/>
          </w:tcPr>
          <w:p>
            <w:pPr>
              <w:jc w:val="center"/>
              <w:spacing w:after="0" w:line="122" w:lineRule="exact"/>
              <w:rPr>
                <w:sz w:val="20"/>
                <w:szCs w:val="20"/>
                <w:color w:val="auto"/>
              </w:rPr>
            </w:pPr>
            <w:r>
              <w:rPr>
                <w:rFonts w:ascii="Arial" w:cs="Arial" w:eastAsia="Arial" w:hAnsi="Arial"/>
                <w:sz w:val="12"/>
                <w:szCs w:val="12"/>
                <w:color w:val="auto"/>
              </w:rPr>
              <w:t>Greater Boston/</w:t>
            </w:r>
          </w:p>
        </w:tc>
        <w:tc>
          <w:tcPr>
            <w:tcW w:w="2160" w:type="dxa"/>
            <w:vAlign w:val="bottom"/>
          </w:tcPr>
          <w:p>
            <w:pPr>
              <w:jc w:val="center"/>
              <w:spacing w:after="0" w:line="122" w:lineRule="exact"/>
              <w:rPr>
                <w:sz w:val="20"/>
                <w:szCs w:val="20"/>
                <w:color w:val="auto"/>
              </w:rPr>
            </w:pPr>
            <w:r>
              <w:rPr>
                <w:rFonts w:ascii="Arial" w:cs="Arial" w:eastAsia="Arial" w:hAnsi="Arial"/>
                <w:sz w:val="12"/>
                <w:szCs w:val="12"/>
                <w:color w:val="auto"/>
              </w:rPr>
              <w:t>Greater Boston/</w:t>
            </w:r>
          </w:p>
        </w:tc>
        <w:tc>
          <w:tcPr>
            <w:tcW w:w="2140" w:type="dxa"/>
            <w:vAlign w:val="bottom"/>
            <w:vMerge w:val="restart"/>
          </w:tcPr>
          <w:p>
            <w:pPr>
              <w:jc w:val="center"/>
              <w:spacing w:after="0"/>
              <w:rPr>
                <w:sz w:val="20"/>
                <w:szCs w:val="20"/>
                <w:color w:val="auto"/>
              </w:rPr>
            </w:pPr>
            <w:r>
              <w:rPr>
                <w:rFonts w:ascii="Arial" w:cs="Arial" w:eastAsia="Arial" w:hAnsi="Arial"/>
                <w:sz w:val="12"/>
                <w:szCs w:val="12"/>
                <w:color w:val="auto"/>
              </w:rPr>
              <w:t>Greater Boston/Fenway</w:t>
            </w:r>
          </w:p>
        </w:tc>
        <w:tc>
          <w:tcPr>
            <w:tcW w:w="1720" w:type="dxa"/>
            <w:vAlign w:val="bottom"/>
            <w:vMerge w:val="restart"/>
          </w:tcPr>
          <w:p>
            <w:pPr>
              <w:jc w:val="center"/>
              <w:ind w:left="380"/>
              <w:spacing w:after="0"/>
              <w:rPr>
                <w:sz w:val="20"/>
                <w:szCs w:val="20"/>
                <w:color w:val="auto"/>
              </w:rPr>
            </w:pPr>
            <w:r>
              <w:rPr>
                <w:rFonts w:ascii="Arial" w:cs="Arial" w:eastAsia="Arial" w:hAnsi="Arial"/>
                <w:sz w:val="12"/>
                <w:szCs w:val="12"/>
                <w:color w:val="auto"/>
              </w:rPr>
              <w:t>Greater Boston/Fenway</w:t>
            </w:r>
          </w:p>
        </w:tc>
        <w:tc>
          <w:tcPr>
            <w:tcW w:w="0" w:type="dxa"/>
            <w:vAlign w:val="bottom"/>
          </w:tcPr>
          <w:p>
            <w:pPr>
              <w:spacing w:after="0"/>
              <w:rPr>
                <w:sz w:val="1"/>
                <w:szCs w:val="1"/>
                <w:color w:val="auto"/>
              </w:rPr>
            </w:pPr>
          </w:p>
        </w:tc>
      </w:tr>
      <w:tr>
        <w:trPr>
          <w:trHeight w:val="102"/>
        </w:trPr>
        <w:tc>
          <w:tcPr>
            <w:tcW w:w="1740" w:type="dxa"/>
            <w:vAlign w:val="bottom"/>
            <w:vMerge w:val="restart"/>
          </w:tcPr>
          <w:p>
            <w:pPr>
              <w:jc w:val="center"/>
              <w:ind w:right="300"/>
              <w:spacing w:after="0"/>
              <w:rPr>
                <w:sz w:val="20"/>
                <w:szCs w:val="20"/>
                <w:color w:val="auto"/>
              </w:rPr>
            </w:pPr>
            <w:r>
              <w:rPr>
                <w:rFonts w:ascii="Arial" w:cs="Arial" w:eastAsia="Arial" w:hAnsi="Arial"/>
                <w:sz w:val="12"/>
                <w:szCs w:val="12"/>
                <w:color w:val="auto"/>
              </w:rPr>
              <w:t>Cambridge/Inner Suburbs</w:t>
            </w:r>
          </w:p>
        </w:tc>
        <w:tc>
          <w:tcPr>
            <w:tcW w:w="2240" w:type="dxa"/>
            <w:vAlign w:val="bottom"/>
            <w:vMerge w:val="restart"/>
          </w:tcPr>
          <w:p>
            <w:pPr>
              <w:jc w:val="center"/>
              <w:spacing w:after="0"/>
              <w:rPr>
                <w:sz w:val="20"/>
                <w:szCs w:val="20"/>
                <w:color w:val="auto"/>
              </w:rPr>
            </w:pPr>
            <w:r>
              <w:rPr>
                <w:rFonts w:ascii="Arial" w:cs="Arial" w:eastAsia="Arial" w:hAnsi="Arial"/>
                <w:sz w:val="12"/>
                <w:szCs w:val="12"/>
                <w:color w:val="auto"/>
              </w:rPr>
              <w:t>Cambridge/Inner Suburbs</w:t>
            </w:r>
          </w:p>
        </w:tc>
        <w:tc>
          <w:tcPr>
            <w:tcW w:w="2160" w:type="dxa"/>
            <w:vAlign w:val="bottom"/>
            <w:vMerge w:val="restart"/>
          </w:tcPr>
          <w:p>
            <w:pPr>
              <w:jc w:val="center"/>
              <w:spacing w:after="0"/>
              <w:rPr>
                <w:sz w:val="20"/>
                <w:szCs w:val="20"/>
                <w:color w:val="auto"/>
              </w:rPr>
            </w:pPr>
            <w:r>
              <w:rPr>
                <w:rFonts w:ascii="Arial" w:cs="Arial" w:eastAsia="Arial" w:hAnsi="Arial"/>
                <w:sz w:val="12"/>
                <w:szCs w:val="12"/>
                <w:color w:val="auto"/>
              </w:rPr>
              <w:t>Cambridge/Inner Suburbs</w:t>
            </w:r>
          </w:p>
        </w:tc>
        <w:tc>
          <w:tcPr>
            <w:tcW w:w="2140" w:type="dxa"/>
            <w:vAlign w:val="bottom"/>
            <w:vMerge w:val="continue"/>
          </w:tcPr>
          <w:p>
            <w:pPr>
              <w:spacing w:after="0"/>
              <w:rPr>
                <w:sz w:val="8"/>
                <w:szCs w:val="8"/>
                <w:color w:val="auto"/>
              </w:rPr>
            </w:pPr>
          </w:p>
        </w:tc>
        <w:tc>
          <w:tcPr>
            <w:tcW w:w="17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8"/>
        </w:trPr>
        <w:tc>
          <w:tcPr>
            <w:tcW w:w="1740" w:type="dxa"/>
            <w:vAlign w:val="bottom"/>
            <w:vMerge w:val="continue"/>
          </w:tcPr>
          <w:p>
            <w:pPr>
              <w:spacing w:after="0"/>
              <w:rPr>
                <w:sz w:val="5"/>
                <w:szCs w:val="5"/>
                <w:color w:val="auto"/>
              </w:rPr>
            </w:pPr>
          </w:p>
        </w:tc>
        <w:tc>
          <w:tcPr>
            <w:tcW w:w="2240" w:type="dxa"/>
            <w:vAlign w:val="bottom"/>
            <w:vMerge w:val="continue"/>
          </w:tcPr>
          <w:p>
            <w:pPr>
              <w:spacing w:after="0"/>
              <w:rPr>
                <w:sz w:val="5"/>
                <w:szCs w:val="5"/>
                <w:color w:val="auto"/>
              </w:rPr>
            </w:pPr>
          </w:p>
        </w:tc>
        <w:tc>
          <w:tcPr>
            <w:tcW w:w="2160" w:type="dxa"/>
            <w:vAlign w:val="bottom"/>
            <w:vMerge w:val="continue"/>
          </w:tcPr>
          <w:p>
            <w:pPr>
              <w:spacing w:after="0"/>
              <w:rPr>
                <w:sz w:val="5"/>
                <w:szCs w:val="5"/>
                <w:color w:val="auto"/>
              </w:rPr>
            </w:pPr>
          </w:p>
        </w:tc>
        <w:tc>
          <w:tcPr>
            <w:tcW w:w="2140" w:type="dxa"/>
            <w:vAlign w:val="bottom"/>
          </w:tcPr>
          <w:p>
            <w:pPr>
              <w:spacing w:after="0"/>
              <w:rPr>
                <w:sz w:val="5"/>
                <w:szCs w:val="5"/>
                <w:color w:val="auto"/>
              </w:rPr>
            </w:pPr>
          </w:p>
        </w:tc>
        <w:tc>
          <w:tcPr>
            <w:tcW w:w="1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0"/>
        </w:trPr>
        <w:tc>
          <w:tcPr>
            <w:tcW w:w="1740" w:type="dxa"/>
            <w:vAlign w:val="bottom"/>
          </w:tcPr>
          <w:p>
            <w:pPr>
              <w:jc w:val="center"/>
              <w:ind w:right="280"/>
              <w:spacing w:after="0"/>
              <w:rPr>
                <w:sz w:val="20"/>
                <w:szCs w:val="20"/>
                <w:color w:val="auto"/>
              </w:rPr>
            </w:pPr>
            <w:r>
              <w:rPr>
                <w:rFonts w:ascii="Arial" w:cs="Arial" w:eastAsia="Arial" w:hAnsi="Arial"/>
                <w:sz w:val="12"/>
                <w:szCs w:val="12"/>
                <w:color w:val="auto"/>
              </w:rPr>
              <w:t>204,395 RSF</w:t>
            </w:r>
          </w:p>
        </w:tc>
        <w:tc>
          <w:tcPr>
            <w:tcW w:w="2240" w:type="dxa"/>
            <w:vAlign w:val="bottom"/>
          </w:tcPr>
          <w:p>
            <w:pPr>
              <w:jc w:val="center"/>
              <w:spacing w:after="0"/>
              <w:rPr>
                <w:sz w:val="20"/>
                <w:szCs w:val="20"/>
                <w:color w:val="auto"/>
              </w:rPr>
            </w:pPr>
            <w:r>
              <w:rPr>
                <w:rFonts w:ascii="Arial" w:cs="Arial" w:eastAsia="Arial" w:hAnsi="Arial"/>
                <w:sz w:val="12"/>
                <w:szCs w:val="12"/>
                <w:color w:val="auto"/>
                <w:w w:val="98"/>
              </w:rPr>
              <w:t>109,481 RSF</w:t>
            </w:r>
          </w:p>
        </w:tc>
        <w:tc>
          <w:tcPr>
            <w:tcW w:w="2160" w:type="dxa"/>
            <w:vAlign w:val="bottom"/>
          </w:tcPr>
          <w:p>
            <w:pPr>
              <w:jc w:val="center"/>
              <w:spacing w:after="0"/>
              <w:rPr>
                <w:sz w:val="20"/>
                <w:szCs w:val="20"/>
                <w:color w:val="auto"/>
              </w:rPr>
            </w:pPr>
            <w:r>
              <w:rPr>
                <w:rFonts w:ascii="Arial" w:cs="Arial" w:eastAsia="Arial" w:hAnsi="Arial"/>
                <w:sz w:val="12"/>
                <w:szCs w:val="12"/>
                <w:color w:val="auto"/>
              </w:rPr>
              <w:t>308,446 RSF</w:t>
            </w:r>
          </w:p>
        </w:tc>
        <w:tc>
          <w:tcPr>
            <w:tcW w:w="2140" w:type="dxa"/>
            <w:vAlign w:val="bottom"/>
          </w:tcPr>
          <w:p>
            <w:pPr>
              <w:jc w:val="center"/>
              <w:spacing w:after="0"/>
              <w:rPr>
                <w:sz w:val="20"/>
                <w:szCs w:val="20"/>
                <w:color w:val="auto"/>
              </w:rPr>
            </w:pPr>
            <w:r>
              <w:rPr>
                <w:rFonts w:ascii="Arial" w:cs="Arial" w:eastAsia="Arial" w:hAnsi="Arial"/>
                <w:sz w:val="12"/>
                <w:szCs w:val="12"/>
                <w:color w:val="auto"/>
              </w:rPr>
              <w:t>58,149 RSF</w:t>
            </w:r>
          </w:p>
        </w:tc>
        <w:tc>
          <w:tcPr>
            <w:tcW w:w="1720" w:type="dxa"/>
            <w:vAlign w:val="bottom"/>
          </w:tcPr>
          <w:p>
            <w:pPr>
              <w:jc w:val="center"/>
              <w:ind w:left="420"/>
              <w:spacing w:after="0"/>
              <w:rPr>
                <w:sz w:val="20"/>
                <w:szCs w:val="20"/>
                <w:color w:val="auto"/>
              </w:rPr>
            </w:pPr>
            <w:r>
              <w:rPr>
                <w:rFonts w:ascii="Arial" w:cs="Arial" w:eastAsia="Arial" w:hAnsi="Arial"/>
                <w:sz w:val="12"/>
                <w:szCs w:val="12"/>
                <w:color w:val="auto"/>
              </w:rPr>
              <w:t>159,959 RSF</w:t>
            </w:r>
          </w:p>
        </w:tc>
        <w:tc>
          <w:tcPr>
            <w:tcW w:w="0" w:type="dxa"/>
            <w:vAlign w:val="bottom"/>
          </w:tcPr>
          <w:p>
            <w:pPr>
              <w:spacing w:after="0"/>
              <w:rPr>
                <w:sz w:val="1"/>
                <w:szCs w:val="1"/>
                <w:color w:val="auto"/>
              </w:rPr>
            </w:pPr>
          </w:p>
        </w:tc>
      </w:tr>
    </w:tbl>
    <w:p>
      <w:pPr>
        <w:sectPr>
          <w:pgSz w:w="11900" w:h="16895" w:orient="portrait"/>
          <w:cols w:equalWidth="0" w:num="1">
            <w:col w:w="10806"/>
          </w:cols>
          <w:pgMar w:left="574" w:top="1440" w:right="519" w:bottom="0" w:gutter="0" w:footer="0" w:header="0"/>
        </w:sectPr>
      </w:pPr>
    </w:p>
    <w:bookmarkStart w:id="42" w:name="page43"/>
    <w:bookmarkEnd w:id="42"/>
    <w:p>
      <w:pPr>
        <w:ind w:left="766"/>
        <w:spacing w:after="0"/>
        <w:tabs>
          <w:tab w:leader="none" w:pos="2605" w:val="left"/>
          <w:tab w:leader="none" w:pos="5085" w:val="left"/>
          <w:tab w:leader="none" w:pos="6945" w:val="left"/>
          <w:tab w:leader="none" w:pos="9425" w:val="left"/>
        </w:tabs>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212965" cy="454469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12965" cy="4544695"/>
                    </a:xfrm>
                    <a:prstGeom prst="rect">
                      <a:avLst/>
                    </a:prstGeom>
                    <a:noFill/>
                  </pic:spPr>
                </pic:pic>
              </a:graphicData>
            </a:graphic>
          </wp:anchor>
        </w:drawing>
        <w:t>36% Leased</w:t>
      </w:r>
      <w:r>
        <w:rPr>
          <w:sz w:val="20"/>
          <w:szCs w:val="20"/>
          <w:color w:val="auto"/>
        </w:rPr>
        <w:tab/>
      </w:r>
      <w:r>
        <w:rPr>
          <w:rFonts w:ascii="Arial" w:cs="Arial" w:eastAsia="Arial" w:hAnsi="Arial"/>
          <w:sz w:val="11"/>
          <w:szCs w:val="11"/>
          <w:color w:val="auto"/>
        </w:rPr>
        <w:t>92% Leased/Negotiating</w:t>
      </w:r>
      <w:r>
        <w:rPr>
          <w:sz w:val="20"/>
          <w:szCs w:val="20"/>
          <w:color w:val="auto"/>
        </w:rPr>
        <w:tab/>
      </w:r>
      <w:r>
        <w:rPr>
          <w:rFonts w:ascii="Arial" w:cs="Arial" w:eastAsia="Arial" w:hAnsi="Arial"/>
          <w:sz w:val="11"/>
          <w:szCs w:val="11"/>
          <w:color w:val="auto"/>
        </w:rPr>
        <w:t>21% Leased</w:t>
      </w:r>
      <w:r>
        <w:rPr>
          <w:sz w:val="20"/>
          <w:szCs w:val="20"/>
          <w:color w:val="auto"/>
        </w:rPr>
        <w:tab/>
      </w:r>
      <w:r>
        <w:rPr>
          <w:rFonts w:ascii="Arial" w:cs="Arial" w:eastAsia="Arial" w:hAnsi="Arial"/>
          <w:sz w:val="11"/>
          <w:szCs w:val="11"/>
          <w:color w:val="auto"/>
        </w:rPr>
        <w:t>99% Leased/Negotiating</w:t>
      </w:r>
      <w:r>
        <w:rPr>
          <w:sz w:val="20"/>
          <w:szCs w:val="20"/>
          <w:color w:val="auto"/>
        </w:rPr>
        <w:tab/>
      </w:r>
      <w:r>
        <w:rPr>
          <w:rFonts w:ascii="Arial" w:cs="Arial" w:eastAsia="Arial" w:hAnsi="Arial"/>
          <w:sz w:val="11"/>
          <w:szCs w:val="11"/>
          <w:color w:val="auto"/>
        </w:rPr>
        <w:t>14% Leased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26" w:type="dxa"/>
        <w:tblCellMar>
          <w:top w:w="0" w:type="dxa"/>
          <w:left w:w="0" w:type="dxa"/>
          <w:bottom w:w="0" w:type="dxa"/>
          <w:right w:w="0" w:type="dxa"/>
        </w:tblCellMar>
      </w:tblPr>
      <w:tr>
        <w:trPr>
          <w:trHeight w:val="161"/>
        </w:trPr>
        <w:tc>
          <w:tcPr>
            <w:tcW w:w="2120" w:type="dxa"/>
            <w:vAlign w:val="bottom"/>
            <w:tcBorders>
              <w:bottom w:val="single" w:sz="8" w:color="015CAF"/>
            </w:tcBorders>
          </w:tcPr>
          <w:p>
            <w:pPr>
              <w:jc w:val="center"/>
              <w:spacing w:after="0"/>
              <w:rPr>
                <w:sz w:val="20"/>
                <w:szCs w:val="20"/>
                <w:color w:val="auto"/>
              </w:rPr>
            </w:pPr>
            <w:r>
              <w:rPr>
                <w:rFonts w:ascii="Arial" w:cs="Arial" w:eastAsia="Arial" w:hAnsi="Arial"/>
                <w:sz w:val="11"/>
                <w:szCs w:val="11"/>
                <w:b w:val="1"/>
                <w:bCs w:val="1"/>
                <w:color w:val="1F497D"/>
              </w:rPr>
              <w:t>421 Park Drive</w:t>
            </w:r>
          </w:p>
        </w:tc>
        <w:tc>
          <w:tcPr>
            <w:tcW w:w="40" w:type="dxa"/>
            <w:vAlign w:val="bottom"/>
          </w:tcPr>
          <w:p>
            <w:pPr>
              <w:spacing w:after="0"/>
              <w:rPr>
                <w:sz w:val="14"/>
                <w:szCs w:val="14"/>
                <w:color w:val="auto"/>
              </w:rPr>
            </w:pPr>
          </w:p>
        </w:tc>
        <w:tc>
          <w:tcPr>
            <w:tcW w:w="2120" w:type="dxa"/>
            <w:vAlign w:val="bottom"/>
            <w:tcBorders>
              <w:bottom w:val="single" w:sz="8" w:color="015CAF"/>
            </w:tcBorders>
          </w:tcPr>
          <w:p>
            <w:pPr>
              <w:jc w:val="center"/>
              <w:spacing w:after="0"/>
              <w:rPr>
                <w:sz w:val="20"/>
                <w:szCs w:val="20"/>
                <w:color w:val="auto"/>
              </w:rPr>
            </w:pPr>
            <w:r>
              <w:rPr>
                <w:rFonts w:ascii="Arial" w:cs="Arial" w:eastAsia="Arial" w:hAnsi="Arial"/>
                <w:sz w:val="11"/>
                <w:szCs w:val="11"/>
                <w:b w:val="1"/>
                <w:bCs w:val="1"/>
                <w:color w:val="1F497D"/>
              </w:rPr>
              <w:t>40, 50, and 60 Sylvan Road</w:t>
            </w:r>
            <w:r>
              <w:rPr>
                <w:rFonts w:ascii="Arial" w:cs="Arial" w:eastAsia="Arial" w:hAnsi="Arial"/>
                <w:sz w:val="14"/>
                <w:szCs w:val="14"/>
                <w:b w:val="1"/>
                <w:bCs w:val="1"/>
                <w:color w:val="1F497D"/>
                <w:vertAlign w:val="superscript"/>
              </w:rPr>
              <w:t>(2)</w:t>
            </w:r>
          </w:p>
        </w:tc>
        <w:tc>
          <w:tcPr>
            <w:tcW w:w="40" w:type="dxa"/>
            <w:vAlign w:val="bottom"/>
          </w:tcPr>
          <w:p>
            <w:pPr>
              <w:spacing w:after="0"/>
              <w:rPr>
                <w:sz w:val="14"/>
                <w:szCs w:val="14"/>
                <w:color w:val="auto"/>
              </w:rPr>
            </w:pPr>
          </w:p>
        </w:tc>
        <w:tc>
          <w:tcPr>
            <w:tcW w:w="2120" w:type="dxa"/>
            <w:vAlign w:val="bottom"/>
            <w:tcBorders>
              <w:bottom w:val="single" w:sz="8" w:color="015CAF"/>
            </w:tcBorders>
          </w:tcPr>
          <w:p>
            <w:pPr>
              <w:jc w:val="center"/>
              <w:spacing w:after="0"/>
              <w:rPr>
                <w:sz w:val="20"/>
                <w:szCs w:val="20"/>
                <w:color w:val="auto"/>
              </w:rPr>
            </w:pPr>
            <w:r>
              <w:rPr>
                <w:rFonts w:ascii="Arial" w:cs="Arial" w:eastAsia="Arial" w:hAnsi="Arial"/>
                <w:sz w:val="11"/>
                <w:szCs w:val="11"/>
                <w:b w:val="1"/>
                <w:bCs w:val="1"/>
                <w:color w:val="1F497D"/>
              </w:rPr>
              <w:t>840 Winter Street</w:t>
            </w:r>
          </w:p>
        </w:tc>
        <w:tc>
          <w:tcPr>
            <w:tcW w:w="40" w:type="dxa"/>
            <w:vAlign w:val="bottom"/>
          </w:tcPr>
          <w:p>
            <w:pPr>
              <w:spacing w:after="0"/>
              <w:rPr>
                <w:sz w:val="14"/>
                <w:szCs w:val="14"/>
                <w:color w:val="auto"/>
              </w:rPr>
            </w:pPr>
          </w:p>
        </w:tc>
        <w:tc>
          <w:tcPr>
            <w:tcW w:w="2120" w:type="dxa"/>
            <w:vAlign w:val="bottom"/>
            <w:tcBorders>
              <w:bottom w:val="single" w:sz="8" w:color="015CAF"/>
            </w:tcBorders>
          </w:tcPr>
          <w:p>
            <w:pPr>
              <w:jc w:val="center"/>
              <w:spacing w:after="0"/>
              <w:rPr>
                <w:sz w:val="20"/>
                <w:szCs w:val="20"/>
                <w:color w:val="auto"/>
              </w:rPr>
            </w:pPr>
            <w:r>
              <w:rPr>
                <w:rFonts w:ascii="Arial" w:cs="Arial" w:eastAsia="Arial" w:hAnsi="Arial"/>
                <w:sz w:val="11"/>
                <w:szCs w:val="11"/>
                <w:b w:val="1"/>
                <w:bCs w:val="1"/>
                <w:color w:val="1F497D"/>
              </w:rPr>
              <w:t>1450 Owens Street</w:t>
            </w:r>
            <w:r>
              <w:rPr>
                <w:rFonts w:ascii="Arial" w:cs="Arial" w:eastAsia="Arial" w:hAnsi="Arial"/>
                <w:sz w:val="14"/>
                <w:szCs w:val="14"/>
                <w:b w:val="1"/>
                <w:bCs w:val="1"/>
                <w:color w:val="1F497D"/>
                <w:vertAlign w:val="superscript"/>
              </w:rPr>
              <w:t>(3)</w:t>
            </w:r>
          </w:p>
        </w:tc>
        <w:tc>
          <w:tcPr>
            <w:tcW w:w="60" w:type="dxa"/>
            <w:vAlign w:val="bottom"/>
          </w:tcPr>
          <w:p>
            <w:pPr>
              <w:spacing w:after="0"/>
              <w:rPr>
                <w:sz w:val="14"/>
                <w:szCs w:val="14"/>
                <w:color w:val="auto"/>
              </w:rPr>
            </w:pPr>
          </w:p>
        </w:tc>
        <w:tc>
          <w:tcPr>
            <w:tcW w:w="2100" w:type="dxa"/>
            <w:vAlign w:val="bottom"/>
            <w:tcBorders>
              <w:bottom w:val="single" w:sz="8" w:color="015CAF"/>
            </w:tcBorders>
          </w:tcPr>
          <w:p>
            <w:pPr>
              <w:jc w:val="center"/>
              <w:spacing w:after="0"/>
              <w:rPr>
                <w:sz w:val="20"/>
                <w:szCs w:val="20"/>
                <w:color w:val="auto"/>
              </w:rPr>
            </w:pPr>
            <w:r>
              <w:rPr>
                <w:rFonts w:ascii="Arial" w:cs="Arial" w:eastAsia="Arial" w:hAnsi="Arial"/>
                <w:sz w:val="11"/>
                <w:szCs w:val="11"/>
                <w:b w:val="1"/>
                <w:bCs w:val="1"/>
                <w:color w:val="1F497D"/>
              </w:rPr>
              <w:t>651 Gateway Boulevard</w:t>
            </w:r>
          </w:p>
        </w:tc>
        <w:tc>
          <w:tcPr>
            <w:tcW w:w="0" w:type="dxa"/>
            <w:vAlign w:val="bottom"/>
          </w:tcPr>
          <w:p>
            <w:pPr>
              <w:spacing w:after="0"/>
              <w:rPr>
                <w:sz w:val="1"/>
                <w:szCs w:val="1"/>
                <w:color w:val="auto"/>
              </w:rPr>
            </w:pPr>
          </w:p>
        </w:tc>
      </w:tr>
      <w:tr>
        <w:trPr>
          <w:trHeight w:val="141"/>
        </w:trPr>
        <w:tc>
          <w:tcPr>
            <w:tcW w:w="2160" w:type="dxa"/>
            <w:vAlign w:val="bottom"/>
            <w:gridSpan w:val="2"/>
            <w:vMerge w:val="restart"/>
          </w:tcPr>
          <w:p>
            <w:pPr>
              <w:jc w:val="center"/>
              <w:ind w:right="40"/>
              <w:spacing w:after="0"/>
              <w:rPr>
                <w:sz w:val="20"/>
                <w:szCs w:val="20"/>
                <w:color w:val="auto"/>
              </w:rPr>
            </w:pPr>
            <w:r>
              <w:rPr>
                <w:rFonts w:ascii="Arial" w:cs="Arial" w:eastAsia="Arial" w:hAnsi="Arial"/>
                <w:sz w:val="12"/>
                <w:szCs w:val="12"/>
                <w:color w:val="auto"/>
              </w:rPr>
              <w:t>Greater Boston/Fenway</w:t>
            </w:r>
          </w:p>
        </w:tc>
        <w:tc>
          <w:tcPr>
            <w:tcW w:w="2160" w:type="dxa"/>
            <w:vAlign w:val="bottom"/>
            <w:gridSpan w:val="2"/>
            <w:vMerge w:val="restart"/>
          </w:tcPr>
          <w:p>
            <w:pPr>
              <w:jc w:val="center"/>
              <w:ind w:right="20"/>
              <w:spacing w:after="0"/>
              <w:rPr>
                <w:sz w:val="20"/>
                <w:szCs w:val="20"/>
                <w:color w:val="auto"/>
              </w:rPr>
            </w:pPr>
            <w:r>
              <w:rPr>
                <w:rFonts w:ascii="Arial" w:cs="Arial" w:eastAsia="Arial" w:hAnsi="Arial"/>
                <w:sz w:val="12"/>
                <w:szCs w:val="12"/>
                <w:color w:val="auto"/>
              </w:rPr>
              <w:t>Greater Boston/Route 128</w:t>
            </w:r>
          </w:p>
        </w:tc>
        <w:tc>
          <w:tcPr>
            <w:tcW w:w="2160" w:type="dxa"/>
            <w:vAlign w:val="bottom"/>
            <w:gridSpan w:val="2"/>
            <w:vMerge w:val="restart"/>
          </w:tcPr>
          <w:p>
            <w:pPr>
              <w:jc w:val="center"/>
              <w:ind w:right="20"/>
              <w:spacing w:after="0"/>
              <w:rPr>
                <w:sz w:val="20"/>
                <w:szCs w:val="20"/>
                <w:color w:val="auto"/>
              </w:rPr>
            </w:pPr>
            <w:r>
              <w:rPr>
                <w:rFonts w:ascii="Arial" w:cs="Arial" w:eastAsia="Arial" w:hAnsi="Arial"/>
                <w:sz w:val="12"/>
                <w:szCs w:val="12"/>
                <w:color w:val="auto"/>
              </w:rPr>
              <w:t>Greater Boston/Route 128</w:t>
            </w:r>
          </w:p>
        </w:tc>
        <w:tc>
          <w:tcPr>
            <w:tcW w:w="2180" w:type="dxa"/>
            <w:vAlign w:val="bottom"/>
            <w:gridSpan w:val="2"/>
          </w:tcPr>
          <w:p>
            <w:pPr>
              <w:jc w:val="center"/>
              <w:ind w:right="40"/>
              <w:spacing w:after="0"/>
              <w:rPr>
                <w:sz w:val="20"/>
                <w:szCs w:val="20"/>
                <w:color w:val="auto"/>
              </w:rPr>
            </w:pPr>
            <w:r>
              <w:rPr>
                <w:rFonts w:ascii="Arial" w:cs="Arial" w:eastAsia="Arial" w:hAnsi="Arial"/>
                <w:sz w:val="12"/>
                <w:szCs w:val="12"/>
                <w:color w:val="auto"/>
              </w:rPr>
              <w:t>San Francisco Bay Area/</w:t>
            </w:r>
          </w:p>
        </w:tc>
        <w:tc>
          <w:tcPr>
            <w:tcW w:w="2100" w:type="dxa"/>
            <w:vAlign w:val="bottom"/>
          </w:tcPr>
          <w:p>
            <w:pPr>
              <w:jc w:val="center"/>
              <w:spacing w:after="0"/>
              <w:rPr>
                <w:sz w:val="20"/>
                <w:szCs w:val="20"/>
                <w:color w:val="auto"/>
              </w:rPr>
            </w:pPr>
            <w:r>
              <w:rPr>
                <w:rFonts w:ascii="Arial" w:cs="Arial" w:eastAsia="Arial" w:hAnsi="Arial"/>
                <w:sz w:val="12"/>
                <w:szCs w:val="12"/>
                <w:color w:val="auto"/>
              </w:rPr>
              <w:t>San Francisco Bay Area/</w:t>
            </w:r>
          </w:p>
        </w:tc>
        <w:tc>
          <w:tcPr>
            <w:tcW w:w="0" w:type="dxa"/>
            <w:vAlign w:val="bottom"/>
          </w:tcPr>
          <w:p>
            <w:pPr>
              <w:spacing w:after="0"/>
              <w:rPr>
                <w:sz w:val="1"/>
                <w:szCs w:val="1"/>
                <w:color w:val="auto"/>
              </w:rPr>
            </w:pPr>
          </w:p>
        </w:tc>
      </w:tr>
      <w:tr>
        <w:trPr>
          <w:trHeight w:val="102"/>
        </w:trPr>
        <w:tc>
          <w:tcPr>
            <w:tcW w:w="2160" w:type="dxa"/>
            <w:vAlign w:val="bottom"/>
            <w:gridSpan w:val="2"/>
            <w:vMerge w:val="continue"/>
          </w:tcPr>
          <w:p>
            <w:pPr>
              <w:spacing w:after="0"/>
              <w:rPr>
                <w:sz w:val="8"/>
                <w:szCs w:val="8"/>
                <w:color w:val="auto"/>
              </w:rPr>
            </w:pPr>
          </w:p>
        </w:tc>
        <w:tc>
          <w:tcPr>
            <w:tcW w:w="2160" w:type="dxa"/>
            <w:vAlign w:val="bottom"/>
            <w:gridSpan w:val="2"/>
            <w:vMerge w:val="continue"/>
          </w:tcPr>
          <w:p>
            <w:pPr>
              <w:spacing w:after="0"/>
              <w:rPr>
                <w:sz w:val="8"/>
                <w:szCs w:val="8"/>
                <w:color w:val="auto"/>
              </w:rPr>
            </w:pPr>
          </w:p>
        </w:tc>
        <w:tc>
          <w:tcPr>
            <w:tcW w:w="2160" w:type="dxa"/>
            <w:vAlign w:val="bottom"/>
            <w:gridSpan w:val="2"/>
            <w:vMerge w:val="continue"/>
          </w:tcPr>
          <w:p>
            <w:pPr>
              <w:spacing w:after="0"/>
              <w:rPr>
                <w:sz w:val="8"/>
                <w:szCs w:val="8"/>
                <w:color w:val="auto"/>
              </w:rPr>
            </w:pPr>
          </w:p>
        </w:tc>
        <w:tc>
          <w:tcPr>
            <w:tcW w:w="2180" w:type="dxa"/>
            <w:vAlign w:val="bottom"/>
            <w:gridSpan w:val="2"/>
            <w:vMerge w:val="restart"/>
          </w:tcPr>
          <w:p>
            <w:pPr>
              <w:jc w:val="center"/>
              <w:ind w:right="60"/>
              <w:spacing w:after="0"/>
              <w:rPr>
                <w:sz w:val="20"/>
                <w:szCs w:val="20"/>
                <w:color w:val="auto"/>
              </w:rPr>
            </w:pPr>
            <w:r>
              <w:rPr>
                <w:rFonts w:ascii="Arial" w:cs="Arial" w:eastAsia="Arial" w:hAnsi="Arial"/>
                <w:sz w:val="12"/>
                <w:szCs w:val="12"/>
                <w:color w:val="auto"/>
                <w:w w:val="98"/>
              </w:rPr>
              <w:t>Mission Bay</w:t>
            </w:r>
          </w:p>
        </w:tc>
        <w:tc>
          <w:tcPr>
            <w:tcW w:w="2100" w:type="dxa"/>
            <w:vAlign w:val="bottom"/>
            <w:vMerge w:val="restart"/>
          </w:tcPr>
          <w:p>
            <w:pPr>
              <w:jc w:val="center"/>
              <w:spacing w:after="0"/>
              <w:rPr>
                <w:sz w:val="20"/>
                <w:szCs w:val="20"/>
                <w:color w:val="auto"/>
              </w:rPr>
            </w:pPr>
            <w:r>
              <w:rPr>
                <w:rFonts w:ascii="Arial" w:cs="Arial" w:eastAsia="Arial" w:hAnsi="Arial"/>
                <w:sz w:val="12"/>
                <w:szCs w:val="12"/>
                <w:color w:val="auto"/>
              </w:rPr>
              <w:t>South San Francisco</w:t>
            </w:r>
          </w:p>
        </w:tc>
        <w:tc>
          <w:tcPr>
            <w:tcW w:w="0" w:type="dxa"/>
            <w:vAlign w:val="bottom"/>
          </w:tcPr>
          <w:p>
            <w:pPr>
              <w:spacing w:after="0"/>
              <w:rPr>
                <w:sz w:val="1"/>
                <w:szCs w:val="1"/>
                <w:color w:val="auto"/>
              </w:rPr>
            </w:pPr>
          </w:p>
        </w:tc>
      </w:tr>
      <w:tr>
        <w:trPr>
          <w:trHeight w:val="58"/>
        </w:trPr>
        <w:tc>
          <w:tcPr>
            <w:tcW w:w="212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tcPr>
          <w:p>
            <w:pPr>
              <w:spacing w:after="0"/>
              <w:rPr>
                <w:sz w:val="5"/>
                <w:szCs w:val="5"/>
                <w:color w:val="auto"/>
              </w:rPr>
            </w:pPr>
          </w:p>
        </w:tc>
        <w:tc>
          <w:tcPr>
            <w:tcW w:w="40" w:type="dxa"/>
            <w:vAlign w:val="bottom"/>
          </w:tcPr>
          <w:p>
            <w:pPr>
              <w:spacing w:after="0"/>
              <w:rPr>
                <w:sz w:val="5"/>
                <w:szCs w:val="5"/>
                <w:color w:val="auto"/>
              </w:rPr>
            </w:pPr>
          </w:p>
        </w:tc>
        <w:tc>
          <w:tcPr>
            <w:tcW w:w="2180" w:type="dxa"/>
            <w:vAlign w:val="bottom"/>
            <w:gridSpan w:val="2"/>
            <w:vMerge w:val="continue"/>
          </w:tcPr>
          <w:p>
            <w:pPr>
              <w:spacing w:after="0"/>
              <w:rPr>
                <w:sz w:val="5"/>
                <w:szCs w:val="5"/>
                <w:color w:val="auto"/>
              </w:rPr>
            </w:pPr>
          </w:p>
        </w:tc>
        <w:tc>
          <w:tcPr>
            <w:tcW w:w="2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1"/>
        </w:trPr>
        <w:tc>
          <w:tcPr>
            <w:tcW w:w="2160" w:type="dxa"/>
            <w:vAlign w:val="bottom"/>
            <w:gridSpan w:val="2"/>
          </w:tcPr>
          <w:p>
            <w:pPr>
              <w:jc w:val="center"/>
              <w:ind w:right="20"/>
              <w:spacing w:after="0"/>
              <w:rPr>
                <w:sz w:val="20"/>
                <w:szCs w:val="20"/>
                <w:color w:val="auto"/>
              </w:rPr>
            </w:pPr>
            <w:r>
              <w:rPr>
                <w:rFonts w:ascii="Arial" w:cs="Arial" w:eastAsia="Arial" w:hAnsi="Arial"/>
                <w:sz w:val="12"/>
                <w:szCs w:val="12"/>
                <w:color w:val="auto"/>
                <w:w w:val="98"/>
              </w:rPr>
              <w:t>392,011 RSF</w:t>
            </w:r>
          </w:p>
        </w:tc>
        <w:tc>
          <w:tcPr>
            <w:tcW w:w="2160" w:type="dxa"/>
            <w:vAlign w:val="bottom"/>
            <w:gridSpan w:val="2"/>
          </w:tcPr>
          <w:p>
            <w:pPr>
              <w:jc w:val="center"/>
              <w:spacing w:after="0"/>
              <w:rPr>
                <w:sz w:val="20"/>
                <w:szCs w:val="20"/>
                <w:color w:val="auto"/>
              </w:rPr>
            </w:pPr>
            <w:r>
              <w:rPr>
                <w:rFonts w:ascii="Arial" w:cs="Arial" w:eastAsia="Arial" w:hAnsi="Arial"/>
                <w:sz w:val="12"/>
                <w:szCs w:val="12"/>
                <w:color w:val="auto"/>
              </w:rPr>
              <w:t>576,924 RSF</w:t>
            </w:r>
          </w:p>
        </w:tc>
        <w:tc>
          <w:tcPr>
            <w:tcW w:w="2160" w:type="dxa"/>
            <w:vAlign w:val="bottom"/>
            <w:gridSpan w:val="2"/>
          </w:tcPr>
          <w:p>
            <w:pPr>
              <w:jc w:val="center"/>
              <w:spacing w:after="0"/>
              <w:rPr>
                <w:sz w:val="20"/>
                <w:szCs w:val="20"/>
                <w:color w:val="auto"/>
              </w:rPr>
            </w:pPr>
            <w:r>
              <w:rPr>
                <w:rFonts w:ascii="Arial" w:cs="Arial" w:eastAsia="Arial" w:hAnsi="Arial"/>
                <w:sz w:val="12"/>
                <w:szCs w:val="12"/>
                <w:color w:val="auto"/>
              </w:rPr>
              <w:t>139,680 RSF</w:t>
            </w:r>
          </w:p>
        </w:tc>
        <w:tc>
          <w:tcPr>
            <w:tcW w:w="2180" w:type="dxa"/>
            <w:vAlign w:val="bottom"/>
            <w:gridSpan w:val="2"/>
          </w:tcPr>
          <w:p>
            <w:pPr>
              <w:jc w:val="center"/>
              <w:ind w:right="20"/>
              <w:spacing w:after="0"/>
              <w:rPr>
                <w:sz w:val="20"/>
                <w:szCs w:val="20"/>
                <w:color w:val="auto"/>
              </w:rPr>
            </w:pPr>
            <w:r>
              <w:rPr>
                <w:rFonts w:ascii="Arial" w:cs="Arial" w:eastAsia="Arial" w:hAnsi="Arial"/>
                <w:sz w:val="12"/>
                <w:szCs w:val="12"/>
                <w:color w:val="auto"/>
              </w:rPr>
              <w:t>212,796 RSF</w:t>
            </w:r>
          </w:p>
        </w:tc>
        <w:tc>
          <w:tcPr>
            <w:tcW w:w="2100" w:type="dxa"/>
            <w:vAlign w:val="bottom"/>
          </w:tcPr>
          <w:p>
            <w:pPr>
              <w:jc w:val="center"/>
              <w:spacing w:after="0"/>
              <w:rPr>
                <w:sz w:val="20"/>
                <w:szCs w:val="20"/>
                <w:color w:val="auto"/>
              </w:rPr>
            </w:pPr>
            <w:r>
              <w:rPr>
                <w:rFonts w:ascii="Arial" w:cs="Arial" w:eastAsia="Arial" w:hAnsi="Arial"/>
                <w:sz w:val="12"/>
                <w:szCs w:val="12"/>
                <w:color w:val="auto"/>
              </w:rPr>
              <w:t>282,054 RSF</w:t>
            </w:r>
          </w:p>
        </w:tc>
        <w:tc>
          <w:tcPr>
            <w:tcW w:w="0" w:type="dxa"/>
            <w:vAlign w:val="bottom"/>
          </w:tcPr>
          <w:p>
            <w:pPr>
              <w:spacing w:after="0"/>
              <w:rPr>
                <w:sz w:val="1"/>
                <w:szCs w:val="1"/>
                <w:color w:val="auto"/>
              </w:rPr>
            </w:pPr>
          </w:p>
        </w:tc>
      </w:tr>
      <w:tr>
        <w:trPr>
          <w:trHeight w:val="213"/>
        </w:trPr>
        <w:tc>
          <w:tcPr>
            <w:tcW w:w="2160" w:type="dxa"/>
            <w:vAlign w:val="bottom"/>
            <w:gridSpan w:val="2"/>
          </w:tcPr>
          <w:p>
            <w:pPr>
              <w:jc w:val="center"/>
              <w:spacing w:after="0"/>
              <w:rPr>
                <w:sz w:val="20"/>
                <w:szCs w:val="20"/>
                <w:color w:val="auto"/>
              </w:rPr>
            </w:pPr>
            <w:r>
              <w:rPr>
                <w:rFonts w:ascii="Arial" w:cs="Arial" w:eastAsia="Arial" w:hAnsi="Arial"/>
                <w:sz w:val="11"/>
                <w:szCs w:val="11"/>
                <w:color w:val="auto"/>
              </w:rPr>
              <w:t>13% Leased</w:t>
            </w:r>
          </w:p>
        </w:tc>
        <w:tc>
          <w:tcPr>
            <w:tcW w:w="2160" w:type="dxa"/>
            <w:vAlign w:val="bottom"/>
            <w:gridSpan w:val="2"/>
          </w:tcPr>
          <w:p>
            <w:pPr>
              <w:jc w:val="center"/>
              <w:spacing w:after="0"/>
              <w:rPr>
                <w:sz w:val="20"/>
                <w:szCs w:val="20"/>
                <w:color w:val="auto"/>
              </w:rPr>
            </w:pPr>
            <w:r>
              <w:rPr>
                <w:rFonts w:ascii="Arial" w:cs="Arial" w:eastAsia="Arial" w:hAnsi="Arial"/>
                <w:sz w:val="11"/>
                <w:szCs w:val="11"/>
                <w:color w:val="auto"/>
              </w:rPr>
              <w:t>29% Leased</w:t>
            </w:r>
          </w:p>
        </w:tc>
        <w:tc>
          <w:tcPr>
            <w:tcW w:w="2160" w:type="dxa"/>
            <w:vAlign w:val="bottom"/>
            <w:gridSpan w:val="2"/>
          </w:tcPr>
          <w:p>
            <w:pPr>
              <w:jc w:val="center"/>
              <w:ind w:right="20"/>
              <w:spacing w:after="0"/>
              <w:rPr>
                <w:sz w:val="20"/>
                <w:szCs w:val="20"/>
                <w:color w:val="auto"/>
              </w:rPr>
            </w:pPr>
            <w:r>
              <w:rPr>
                <w:rFonts w:ascii="Arial" w:cs="Arial" w:eastAsia="Arial" w:hAnsi="Arial"/>
                <w:sz w:val="11"/>
                <w:szCs w:val="11"/>
                <w:color w:val="auto"/>
              </w:rPr>
              <w:t>100% Leased</w:t>
            </w:r>
          </w:p>
        </w:tc>
        <w:tc>
          <w:tcPr>
            <w:tcW w:w="2180" w:type="dxa"/>
            <w:vAlign w:val="bottom"/>
            <w:gridSpan w:val="2"/>
          </w:tcPr>
          <w:p>
            <w:pPr>
              <w:jc w:val="center"/>
              <w:ind w:right="20"/>
              <w:spacing w:after="0"/>
              <w:rPr>
                <w:sz w:val="20"/>
                <w:szCs w:val="20"/>
                <w:color w:val="auto"/>
              </w:rPr>
            </w:pPr>
            <w:r>
              <w:rPr>
                <w:rFonts w:ascii="Arial" w:cs="Arial" w:eastAsia="Arial" w:hAnsi="Arial"/>
                <w:sz w:val="11"/>
                <w:szCs w:val="11"/>
                <w:color w:val="auto"/>
              </w:rPr>
              <w:t>—% Leased/Negotiating</w:t>
            </w:r>
          </w:p>
        </w:tc>
        <w:tc>
          <w:tcPr>
            <w:tcW w:w="2100" w:type="dxa"/>
            <w:vAlign w:val="bottom"/>
          </w:tcPr>
          <w:p>
            <w:pPr>
              <w:jc w:val="center"/>
              <w:spacing w:after="0"/>
              <w:rPr>
                <w:sz w:val="20"/>
                <w:szCs w:val="20"/>
                <w:color w:val="auto"/>
              </w:rPr>
            </w:pPr>
            <w:r>
              <w:rPr>
                <w:rFonts w:ascii="Arial" w:cs="Arial" w:eastAsia="Arial" w:hAnsi="Arial"/>
                <w:sz w:val="11"/>
                <w:szCs w:val="11"/>
                <w:color w:val="auto"/>
              </w:rPr>
              <w:t>21% Leased</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66" w:hanging="266"/>
        <w:spacing w:after="0"/>
        <w:tabs>
          <w:tab w:leader="none" w:pos="266" w:val="left"/>
        </w:tabs>
        <w:numPr>
          <w:ilvl w:val="0"/>
          <w:numId w:val="86"/>
        </w:numPr>
        <w:rPr>
          <w:rFonts w:ascii="Arial" w:cs="Arial" w:eastAsia="Arial" w:hAnsi="Arial"/>
          <w:sz w:val="10"/>
          <w:szCs w:val="10"/>
          <w:color w:val="auto"/>
        </w:rPr>
      </w:pPr>
      <w:r>
        <w:rPr>
          <w:rFonts w:ascii="Arial" w:cs="Arial" w:eastAsia="Arial" w:hAnsi="Arial"/>
          <w:sz w:val="10"/>
          <w:szCs w:val="10"/>
          <w:color w:val="auto"/>
        </w:rPr>
        <w:t>Image represents 500 North Beacon Street on the Arsenal on the Charles mega campus.</w:t>
      </w:r>
    </w:p>
    <w:p>
      <w:pPr>
        <w:spacing w:after="0" w:line="13" w:lineRule="exact"/>
        <w:rPr>
          <w:rFonts w:ascii="Arial" w:cs="Arial" w:eastAsia="Arial" w:hAnsi="Arial"/>
          <w:sz w:val="10"/>
          <w:szCs w:val="10"/>
          <w:color w:val="auto"/>
        </w:rPr>
      </w:pPr>
    </w:p>
    <w:p>
      <w:pPr>
        <w:ind w:left="266" w:hanging="266"/>
        <w:spacing w:after="0" w:line="206" w:lineRule="auto"/>
        <w:tabs>
          <w:tab w:leader="none" w:pos="266" w:val="left"/>
        </w:tabs>
        <w:numPr>
          <w:ilvl w:val="0"/>
          <w:numId w:val="86"/>
        </w:numPr>
        <w:rPr>
          <w:rFonts w:ascii="Arial" w:cs="Arial" w:eastAsia="Arial" w:hAnsi="Arial"/>
          <w:sz w:val="10"/>
          <w:szCs w:val="10"/>
          <w:color w:val="auto"/>
        </w:rPr>
      </w:pPr>
      <w:r>
        <w:rPr>
          <w:rFonts w:ascii="Arial" w:cs="Arial" w:eastAsia="Arial" w:hAnsi="Arial"/>
          <w:sz w:val="10"/>
          <w:szCs w:val="10"/>
          <w:color w:val="auto"/>
        </w:rPr>
        <w:t>Image represents 60 Sylvan Road on the Alexandria Center</w:t>
      </w:r>
      <w:r>
        <w:rPr>
          <w:rFonts w:ascii="Arial" w:cs="Arial" w:eastAsia="Arial" w:hAnsi="Arial"/>
          <w:sz w:val="13"/>
          <w:szCs w:val="13"/>
          <w:color w:val="auto"/>
          <w:vertAlign w:val="superscript"/>
        </w:rPr>
        <w:t>®</w:t>
      </w:r>
      <w:r>
        <w:rPr>
          <w:rFonts w:ascii="Arial" w:cs="Arial" w:eastAsia="Arial" w:hAnsi="Arial"/>
          <w:sz w:val="10"/>
          <w:szCs w:val="10"/>
          <w:color w:val="auto"/>
        </w:rPr>
        <w:t xml:space="preserve"> for Life Science – Waltham mega campus. The project is expected to capture demand in our Route 128 submarket.</w:t>
      </w:r>
    </w:p>
    <w:p>
      <w:pPr>
        <w:ind w:left="266" w:right="20" w:hanging="266"/>
        <w:spacing w:after="0" w:line="218" w:lineRule="auto"/>
        <w:tabs>
          <w:tab w:leader="none" w:pos="266" w:val="left"/>
        </w:tabs>
        <w:numPr>
          <w:ilvl w:val="0"/>
          <w:numId w:val="86"/>
        </w:numPr>
        <w:rPr>
          <w:rFonts w:ascii="Arial" w:cs="Arial" w:eastAsia="Arial" w:hAnsi="Arial"/>
          <w:sz w:val="10"/>
          <w:szCs w:val="10"/>
          <w:color w:val="auto"/>
        </w:rPr>
      </w:pPr>
      <w:r>
        <w:rPr>
          <w:rFonts w:ascii="Arial" w:cs="Arial" w:eastAsia="Arial" w:hAnsi="Arial"/>
          <w:sz w:val="10"/>
          <w:szCs w:val="10"/>
          <w:color w:val="auto"/>
        </w:rPr>
        <w:t>Image represents a single- or multi-tenant project expanding our existing Alexandria Center</w:t>
      </w:r>
      <w:r>
        <w:rPr>
          <w:rFonts w:ascii="Arial" w:cs="Arial" w:eastAsia="Arial" w:hAnsi="Arial"/>
          <w:sz w:val="13"/>
          <w:szCs w:val="13"/>
          <w:color w:val="auto"/>
          <w:vertAlign w:val="superscript"/>
        </w:rPr>
        <w:t>®</w:t>
      </w:r>
      <w:r>
        <w:rPr>
          <w:rFonts w:ascii="Arial" w:cs="Arial" w:eastAsia="Arial" w:hAnsi="Arial"/>
          <w:sz w:val="10"/>
          <w:szCs w:val="10"/>
          <w:color w:val="auto"/>
        </w:rPr>
        <w:t xml:space="preserve"> for Science and Technology – Mission Bay mega campus, where our joint venture partner will fund 100% of the construction cost until it attains an ownership interest of 75%, after which it will contribute its respective share of additional capital. We are currently marketing the space for lease and have initial interest from publicly traded biotechnology and institutional tenants.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5"/>
        <w:spacing w:after="0"/>
        <w:rPr>
          <w:sz w:val="20"/>
          <w:szCs w:val="20"/>
          <w:color w:val="auto"/>
        </w:rPr>
      </w:pPr>
      <w:r>
        <w:rPr>
          <w:rFonts w:ascii="Arial" w:cs="Arial" w:eastAsia="Arial" w:hAnsi="Arial"/>
          <w:sz w:val="13"/>
          <w:szCs w:val="13"/>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188595</wp:posOffset>
            </wp:positionV>
            <wp:extent cx="7212965" cy="55841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12965" cy="5584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6"/>
        <w:spacing w:after="0"/>
        <w:rPr>
          <w:sz w:val="20"/>
          <w:szCs w:val="20"/>
          <w:color w:val="auto"/>
        </w:rPr>
      </w:pPr>
      <w:r>
        <w:rPr>
          <w:rFonts w:ascii="Arial" w:cs="Arial" w:eastAsia="Arial" w:hAnsi="Arial"/>
          <w:sz w:val="13"/>
          <w:szCs w:val="13"/>
          <w:u w:val="single" w:color="auto"/>
          <w:color w:val="auto"/>
        </w:rPr>
        <w:t>New Class A/A+ development and redevelopment properties: current projects (continued)</w:t>
      </w:r>
    </w:p>
    <w:p>
      <w:pPr>
        <w:spacing w:after="0" w:line="196" w:lineRule="exact"/>
        <w:rPr>
          <w:sz w:val="20"/>
          <w:szCs w:val="20"/>
          <w:color w:val="auto"/>
        </w:rPr>
      </w:pPr>
    </w:p>
    <w:tbl>
      <w:tblPr>
        <w:tblLayout w:type="fixed"/>
        <w:tblInd w:w="6" w:type="dxa"/>
        <w:tblCellMar>
          <w:top w:w="0" w:type="dxa"/>
          <w:left w:w="0" w:type="dxa"/>
          <w:bottom w:w="0" w:type="dxa"/>
          <w:right w:w="0" w:type="dxa"/>
        </w:tblCellMar>
      </w:tblPr>
      <w:tr>
        <w:trPr>
          <w:trHeight w:val="126"/>
        </w:trPr>
        <w:tc>
          <w:tcPr>
            <w:tcW w:w="2140" w:type="dxa"/>
            <w:vAlign w:val="bottom"/>
            <w:vMerge w:val="restart"/>
          </w:tcPr>
          <w:p>
            <w:pPr>
              <w:ind w:left="400"/>
              <w:spacing w:after="0"/>
              <w:rPr>
                <w:sz w:val="20"/>
                <w:szCs w:val="20"/>
                <w:color w:val="auto"/>
              </w:rPr>
            </w:pPr>
            <w:r>
              <w:rPr>
                <w:rFonts w:ascii="Arial" w:cs="Arial" w:eastAsia="Arial" w:hAnsi="Arial"/>
                <w:sz w:val="11"/>
                <w:szCs w:val="11"/>
                <w:b w:val="1"/>
                <w:bCs w:val="1"/>
                <w:color w:val="1F497D"/>
              </w:rPr>
              <w:t>230 Harriet Tubman Way</w:t>
            </w:r>
          </w:p>
        </w:tc>
        <w:tc>
          <w:tcPr>
            <w:tcW w:w="40" w:type="dxa"/>
            <w:vAlign w:val="bottom"/>
            <w:vMerge w:val="restart"/>
          </w:tcPr>
          <w:p>
            <w:pPr>
              <w:spacing w:after="0"/>
              <w:rPr>
                <w:sz w:val="10"/>
                <w:szCs w:val="10"/>
                <w:color w:val="auto"/>
              </w:rPr>
            </w:pPr>
          </w:p>
        </w:tc>
        <w:tc>
          <w:tcPr>
            <w:tcW w:w="2160" w:type="dxa"/>
            <w:vAlign w:val="bottom"/>
            <w:gridSpan w:val="2"/>
          </w:tcPr>
          <w:p>
            <w:pPr>
              <w:jc w:val="center"/>
              <w:ind w:right="40"/>
              <w:spacing w:after="0"/>
              <w:rPr>
                <w:sz w:val="20"/>
                <w:szCs w:val="20"/>
                <w:color w:val="auto"/>
              </w:rPr>
            </w:pPr>
            <w:r>
              <w:rPr>
                <w:rFonts w:ascii="Arial" w:cs="Arial" w:eastAsia="Arial" w:hAnsi="Arial"/>
                <w:sz w:val="11"/>
                <w:szCs w:val="11"/>
                <w:b w:val="1"/>
                <w:bCs w:val="1"/>
                <w:color w:val="1F497D"/>
              </w:rPr>
              <w:t>10935, 10945, and 10955</w:t>
            </w:r>
          </w:p>
        </w:tc>
        <w:tc>
          <w:tcPr>
            <w:tcW w:w="2140" w:type="dxa"/>
            <w:vAlign w:val="bottom"/>
            <w:vMerge w:val="restart"/>
          </w:tcPr>
          <w:p>
            <w:pPr>
              <w:jc w:val="center"/>
              <w:spacing w:after="0"/>
              <w:rPr>
                <w:sz w:val="20"/>
                <w:szCs w:val="20"/>
                <w:color w:val="auto"/>
              </w:rPr>
            </w:pPr>
            <w:r>
              <w:rPr>
                <w:rFonts w:ascii="Arial" w:cs="Arial" w:eastAsia="Arial" w:hAnsi="Arial"/>
                <w:sz w:val="11"/>
                <w:szCs w:val="11"/>
                <w:b w:val="1"/>
                <w:bCs w:val="1"/>
                <w:color w:val="1F497D"/>
              </w:rPr>
              <w:t>4135 Campus Point Court</w:t>
            </w:r>
          </w:p>
        </w:tc>
        <w:tc>
          <w:tcPr>
            <w:tcW w:w="40" w:type="dxa"/>
            <w:vAlign w:val="bottom"/>
            <w:vMerge w:val="restart"/>
          </w:tcPr>
          <w:p>
            <w:pPr>
              <w:spacing w:after="0"/>
              <w:rPr>
                <w:sz w:val="10"/>
                <w:szCs w:val="10"/>
                <w:color w:val="auto"/>
              </w:rPr>
            </w:pPr>
          </w:p>
        </w:tc>
        <w:tc>
          <w:tcPr>
            <w:tcW w:w="2120" w:type="dxa"/>
            <w:vAlign w:val="bottom"/>
            <w:vMerge w:val="restart"/>
          </w:tcPr>
          <w:p>
            <w:pPr>
              <w:jc w:val="center"/>
              <w:spacing w:after="0"/>
              <w:rPr>
                <w:sz w:val="20"/>
                <w:szCs w:val="20"/>
                <w:color w:val="auto"/>
              </w:rPr>
            </w:pPr>
            <w:r>
              <w:rPr>
                <w:rFonts w:ascii="Arial" w:cs="Arial" w:eastAsia="Arial" w:hAnsi="Arial"/>
                <w:sz w:val="11"/>
                <w:szCs w:val="11"/>
                <w:b w:val="1"/>
                <w:bCs w:val="1"/>
                <w:color w:val="1F497D"/>
              </w:rPr>
              <w:t>4155 Campus Point Court</w:t>
            </w:r>
          </w:p>
        </w:tc>
        <w:tc>
          <w:tcPr>
            <w:tcW w:w="40" w:type="dxa"/>
            <w:vAlign w:val="bottom"/>
            <w:vMerge w:val="restart"/>
          </w:tcPr>
          <w:p>
            <w:pPr>
              <w:spacing w:after="0"/>
              <w:rPr>
                <w:sz w:val="10"/>
                <w:szCs w:val="10"/>
                <w:color w:val="auto"/>
              </w:rPr>
            </w:pPr>
          </w:p>
        </w:tc>
        <w:tc>
          <w:tcPr>
            <w:tcW w:w="2120" w:type="dxa"/>
            <w:vAlign w:val="bottom"/>
            <w:vMerge w:val="restart"/>
          </w:tcPr>
          <w:p>
            <w:pPr>
              <w:jc w:val="center"/>
              <w:spacing w:after="0"/>
              <w:rPr>
                <w:sz w:val="20"/>
                <w:szCs w:val="20"/>
                <w:color w:val="auto"/>
              </w:rPr>
            </w:pPr>
            <w:r>
              <w:rPr>
                <w:rFonts w:ascii="Arial" w:cs="Arial" w:eastAsia="Arial" w:hAnsi="Arial"/>
                <w:sz w:val="11"/>
                <w:szCs w:val="11"/>
                <w:b w:val="1"/>
                <w:bCs w:val="1"/>
                <w:color w:val="1F497D"/>
              </w:rPr>
              <w:t>10075 Barnes Canyon Road</w:t>
            </w:r>
          </w:p>
        </w:tc>
        <w:tc>
          <w:tcPr>
            <w:tcW w:w="0" w:type="dxa"/>
            <w:vAlign w:val="bottom"/>
          </w:tcPr>
          <w:p>
            <w:pPr>
              <w:spacing w:after="0"/>
              <w:rPr>
                <w:sz w:val="1"/>
                <w:szCs w:val="1"/>
                <w:color w:val="auto"/>
              </w:rPr>
            </w:pPr>
          </w:p>
        </w:tc>
      </w:tr>
      <w:tr>
        <w:trPr>
          <w:trHeight w:val="150"/>
        </w:trPr>
        <w:tc>
          <w:tcPr>
            <w:tcW w:w="2140" w:type="dxa"/>
            <w:vAlign w:val="bottom"/>
            <w:tcBorders>
              <w:bottom w:val="single" w:sz="8" w:color="015CAF"/>
            </w:tcBorders>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2120" w:type="dxa"/>
            <w:vAlign w:val="bottom"/>
            <w:tcBorders>
              <w:bottom w:val="single" w:sz="8" w:color="015CAF"/>
            </w:tcBorders>
          </w:tcPr>
          <w:p>
            <w:pPr>
              <w:jc w:val="center"/>
              <w:spacing w:after="0" w:line="151" w:lineRule="exact"/>
              <w:rPr>
                <w:sz w:val="20"/>
                <w:szCs w:val="20"/>
                <w:color w:val="auto"/>
              </w:rPr>
            </w:pPr>
            <w:r>
              <w:rPr>
                <w:rFonts w:ascii="Arial" w:cs="Arial" w:eastAsia="Arial" w:hAnsi="Arial"/>
                <w:sz w:val="11"/>
                <w:szCs w:val="11"/>
                <w:b w:val="1"/>
                <w:bCs w:val="1"/>
                <w:color w:val="1F497D"/>
              </w:rPr>
              <w:t>Alexandria Way</w:t>
            </w:r>
            <w:r>
              <w:rPr>
                <w:rFonts w:ascii="Arial" w:cs="Arial" w:eastAsia="Arial" w:hAnsi="Arial"/>
                <w:sz w:val="14"/>
                <w:szCs w:val="14"/>
                <w:b w:val="1"/>
                <w:bCs w:val="1"/>
                <w:color w:val="1F497D"/>
                <w:vertAlign w:val="superscript"/>
              </w:rPr>
              <w:t>(1)</w:t>
            </w:r>
          </w:p>
        </w:tc>
        <w:tc>
          <w:tcPr>
            <w:tcW w:w="40" w:type="dxa"/>
            <w:vAlign w:val="bottom"/>
          </w:tcPr>
          <w:p>
            <w:pPr>
              <w:spacing w:after="0"/>
              <w:rPr>
                <w:sz w:val="13"/>
                <w:szCs w:val="13"/>
                <w:color w:val="auto"/>
              </w:rPr>
            </w:pPr>
          </w:p>
        </w:tc>
        <w:tc>
          <w:tcPr>
            <w:tcW w:w="2140" w:type="dxa"/>
            <w:vAlign w:val="bottom"/>
            <w:tcBorders>
              <w:bottom w:val="single" w:sz="8" w:color="015CAF"/>
            </w:tcBorders>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2120" w:type="dxa"/>
            <w:vAlign w:val="bottom"/>
            <w:tcBorders>
              <w:bottom w:val="single" w:sz="8" w:color="015CAF"/>
            </w:tcBorders>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2120" w:type="dxa"/>
            <w:vAlign w:val="bottom"/>
            <w:tcBorders>
              <w:bottom w:val="single" w:sz="8" w:color="015CAF"/>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2180" w:type="dxa"/>
            <w:vAlign w:val="bottom"/>
            <w:gridSpan w:val="2"/>
          </w:tcPr>
          <w:p>
            <w:pPr>
              <w:jc w:val="center"/>
              <w:ind w:right="40"/>
              <w:spacing w:after="0"/>
              <w:rPr>
                <w:sz w:val="20"/>
                <w:szCs w:val="20"/>
                <w:color w:val="auto"/>
              </w:rPr>
            </w:pPr>
            <w:r>
              <w:rPr>
                <w:rFonts w:ascii="Arial" w:cs="Arial" w:eastAsia="Arial" w:hAnsi="Arial"/>
                <w:sz w:val="12"/>
                <w:szCs w:val="12"/>
                <w:color w:val="auto"/>
              </w:rPr>
              <w:t>San Francisco Bay Area/</w:t>
            </w:r>
          </w:p>
        </w:tc>
        <w:tc>
          <w:tcPr>
            <w:tcW w:w="2160" w:type="dxa"/>
            <w:vAlign w:val="bottom"/>
            <w:gridSpan w:val="2"/>
            <w:vMerge w:val="restart"/>
          </w:tcPr>
          <w:p>
            <w:pPr>
              <w:jc w:val="center"/>
              <w:ind w:right="40"/>
              <w:spacing w:after="0"/>
              <w:rPr>
                <w:sz w:val="20"/>
                <w:szCs w:val="20"/>
                <w:color w:val="auto"/>
              </w:rPr>
            </w:pPr>
            <w:r>
              <w:rPr>
                <w:rFonts w:ascii="Arial" w:cs="Arial" w:eastAsia="Arial" w:hAnsi="Arial"/>
                <w:sz w:val="12"/>
                <w:szCs w:val="12"/>
                <w:color w:val="auto"/>
              </w:rPr>
              <w:t>San Diego/Torrey Pines</w:t>
            </w:r>
          </w:p>
        </w:tc>
        <w:tc>
          <w:tcPr>
            <w:tcW w:w="2180" w:type="dxa"/>
            <w:vAlign w:val="bottom"/>
            <w:gridSpan w:val="2"/>
          </w:tcPr>
          <w:p>
            <w:pPr>
              <w:jc w:val="center"/>
              <w:ind w:right="60"/>
              <w:spacing w:after="0"/>
              <w:rPr>
                <w:sz w:val="20"/>
                <w:szCs w:val="20"/>
                <w:color w:val="auto"/>
              </w:rPr>
            </w:pPr>
            <w:r>
              <w:rPr>
                <w:rFonts w:ascii="Arial" w:cs="Arial" w:eastAsia="Arial" w:hAnsi="Arial"/>
                <w:sz w:val="12"/>
                <w:szCs w:val="12"/>
                <w:color w:val="auto"/>
              </w:rPr>
              <w:t>San Diego/</w:t>
            </w:r>
          </w:p>
        </w:tc>
        <w:tc>
          <w:tcPr>
            <w:tcW w:w="2160" w:type="dxa"/>
            <w:vAlign w:val="bottom"/>
            <w:gridSpan w:val="2"/>
          </w:tcPr>
          <w:p>
            <w:pPr>
              <w:jc w:val="center"/>
              <w:ind w:right="40"/>
              <w:spacing w:after="0"/>
              <w:rPr>
                <w:sz w:val="20"/>
                <w:szCs w:val="20"/>
                <w:color w:val="auto"/>
              </w:rPr>
            </w:pPr>
            <w:r>
              <w:rPr>
                <w:rFonts w:ascii="Arial" w:cs="Arial" w:eastAsia="Arial" w:hAnsi="Arial"/>
                <w:sz w:val="12"/>
                <w:szCs w:val="12"/>
                <w:color w:val="auto"/>
              </w:rPr>
              <w:t>San Diego/</w:t>
            </w:r>
          </w:p>
        </w:tc>
        <w:tc>
          <w:tcPr>
            <w:tcW w:w="2120" w:type="dxa"/>
            <w:vAlign w:val="bottom"/>
            <w:vMerge w:val="restart"/>
          </w:tcPr>
          <w:p>
            <w:pPr>
              <w:jc w:val="center"/>
              <w:spacing w:after="0"/>
              <w:rPr>
                <w:sz w:val="20"/>
                <w:szCs w:val="20"/>
                <w:color w:val="auto"/>
              </w:rPr>
            </w:pPr>
            <w:r>
              <w:rPr>
                <w:rFonts w:ascii="Arial" w:cs="Arial" w:eastAsia="Arial" w:hAnsi="Arial"/>
                <w:sz w:val="12"/>
                <w:szCs w:val="12"/>
                <w:color w:val="auto"/>
              </w:rPr>
              <w:t>San Diego/Sorrento Mesa</w:t>
            </w:r>
          </w:p>
        </w:tc>
        <w:tc>
          <w:tcPr>
            <w:tcW w:w="0" w:type="dxa"/>
            <w:vAlign w:val="bottom"/>
          </w:tcPr>
          <w:p>
            <w:pPr>
              <w:spacing w:after="0"/>
              <w:rPr>
                <w:sz w:val="1"/>
                <w:szCs w:val="1"/>
                <w:color w:val="auto"/>
              </w:rPr>
            </w:pPr>
          </w:p>
        </w:tc>
      </w:tr>
      <w:tr>
        <w:trPr>
          <w:trHeight w:val="102"/>
        </w:trPr>
        <w:tc>
          <w:tcPr>
            <w:tcW w:w="2180" w:type="dxa"/>
            <w:vAlign w:val="bottom"/>
            <w:gridSpan w:val="2"/>
            <w:vMerge w:val="restart"/>
          </w:tcPr>
          <w:p>
            <w:pPr>
              <w:jc w:val="center"/>
              <w:ind w:right="40"/>
              <w:spacing w:after="0"/>
              <w:rPr>
                <w:sz w:val="20"/>
                <w:szCs w:val="20"/>
                <w:color w:val="auto"/>
              </w:rPr>
            </w:pPr>
            <w:r>
              <w:rPr>
                <w:rFonts w:ascii="Arial" w:cs="Arial" w:eastAsia="Arial" w:hAnsi="Arial"/>
                <w:sz w:val="12"/>
                <w:szCs w:val="12"/>
                <w:color w:val="auto"/>
              </w:rPr>
              <w:t>South San Francisco</w:t>
            </w:r>
          </w:p>
        </w:tc>
        <w:tc>
          <w:tcPr>
            <w:tcW w:w="2160" w:type="dxa"/>
            <w:vAlign w:val="bottom"/>
            <w:gridSpan w:val="2"/>
            <w:vMerge w:val="continue"/>
          </w:tcPr>
          <w:p>
            <w:pPr>
              <w:spacing w:after="0"/>
              <w:rPr>
                <w:sz w:val="8"/>
                <w:szCs w:val="8"/>
                <w:color w:val="auto"/>
              </w:rPr>
            </w:pPr>
          </w:p>
        </w:tc>
        <w:tc>
          <w:tcPr>
            <w:tcW w:w="2180" w:type="dxa"/>
            <w:vAlign w:val="bottom"/>
            <w:gridSpan w:val="2"/>
            <w:vMerge w:val="restart"/>
          </w:tcPr>
          <w:p>
            <w:pPr>
              <w:jc w:val="center"/>
              <w:ind w:right="40"/>
              <w:spacing w:after="0"/>
              <w:rPr>
                <w:sz w:val="20"/>
                <w:szCs w:val="20"/>
                <w:color w:val="auto"/>
              </w:rPr>
            </w:pPr>
            <w:r>
              <w:rPr>
                <w:rFonts w:ascii="Arial" w:cs="Arial" w:eastAsia="Arial" w:hAnsi="Arial"/>
                <w:sz w:val="12"/>
                <w:szCs w:val="12"/>
                <w:color w:val="auto"/>
              </w:rPr>
              <w:t>University Town Center</w:t>
            </w:r>
          </w:p>
        </w:tc>
        <w:tc>
          <w:tcPr>
            <w:tcW w:w="2160" w:type="dxa"/>
            <w:vAlign w:val="bottom"/>
            <w:gridSpan w:val="2"/>
            <w:vMerge w:val="restart"/>
          </w:tcPr>
          <w:p>
            <w:pPr>
              <w:jc w:val="center"/>
              <w:ind w:right="40"/>
              <w:spacing w:after="0"/>
              <w:rPr>
                <w:sz w:val="20"/>
                <w:szCs w:val="20"/>
                <w:color w:val="auto"/>
              </w:rPr>
            </w:pPr>
            <w:r>
              <w:rPr>
                <w:rFonts w:ascii="Arial" w:cs="Arial" w:eastAsia="Arial" w:hAnsi="Arial"/>
                <w:sz w:val="12"/>
                <w:szCs w:val="12"/>
                <w:color w:val="auto"/>
                <w:w w:val="99"/>
              </w:rPr>
              <w:t>University Town Center</w:t>
            </w:r>
          </w:p>
        </w:tc>
        <w:tc>
          <w:tcPr>
            <w:tcW w:w="21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8"/>
        </w:trPr>
        <w:tc>
          <w:tcPr>
            <w:tcW w:w="2180" w:type="dxa"/>
            <w:vAlign w:val="bottom"/>
            <w:gridSpan w:val="2"/>
            <w:vMerge w:val="continue"/>
          </w:tcPr>
          <w:p>
            <w:pPr>
              <w:spacing w:after="0"/>
              <w:rPr>
                <w:sz w:val="5"/>
                <w:szCs w:val="5"/>
                <w:color w:val="auto"/>
              </w:rPr>
            </w:pPr>
          </w:p>
        </w:tc>
        <w:tc>
          <w:tcPr>
            <w:tcW w:w="2120" w:type="dxa"/>
            <w:vAlign w:val="bottom"/>
          </w:tcPr>
          <w:p>
            <w:pPr>
              <w:spacing w:after="0"/>
              <w:rPr>
                <w:sz w:val="5"/>
                <w:szCs w:val="5"/>
                <w:color w:val="auto"/>
              </w:rPr>
            </w:pPr>
          </w:p>
        </w:tc>
        <w:tc>
          <w:tcPr>
            <w:tcW w:w="40" w:type="dxa"/>
            <w:vAlign w:val="bottom"/>
          </w:tcPr>
          <w:p>
            <w:pPr>
              <w:spacing w:after="0"/>
              <w:rPr>
                <w:sz w:val="5"/>
                <w:szCs w:val="5"/>
                <w:color w:val="auto"/>
              </w:rPr>
            </w:pPr>
          </w:p>
        </w:tc>
        <w:tc>
          <w:tcPr>
            <w:tcW w:w="2180" w:type="dxa"/>
            <w:vAlign w:val="bottom"/>
            <w:gridSpan w:val="2"/>
            <w:vMerge w:val="continue"/>
          </w:tcPr>
          <w:p>
            <w:pPr>
              <w:spacing w:after="0"/>
              <w:rPr>
                <w:sz w:val="5"/>
                <w:szCs w:val="5"/>
                <w:color w:val="auto"/>
              </w:rPr>
            </w:pPr>
          </w:p>
        </w:tc>
        <w:tc>
          <w:tcPr>
            <w:tcW w:w="2160" w:type="dxa"/>
            <w:vAlign w:val="bottom"/>
            <w:gridSpan w:val="2"/>
            <w:vMerge w:val="continue"/>
          </w:tcPr>
          <w:p>
            <w:pPr>
              <w:spacing w:after="0"/>
              <w:rPr>
                <w:sz w:val="5"/>
                <w:szCs w:val="5"/>
                <w:color w:val="auto"/>
              </w:rPr>
            </w:pPr>
          </w:p>
        </w:tc>
        <w:tc>
          <w:tcPr>
            <w:tcW w:w="2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0"/>
        </w:trPr>
        <w:tc>
          <w:tcPr>
            <w:tcW w:w="2180" w:type="dxa"/>
            <w:vAlign w:val="bottom"/>
            <w:gridSpan w:val="2"/>
          </w:tcPr>
          <w:p>
            <w:pPr>
              <w:jc w:val="center"/>
              <w:ind w:right="20"/>
              <w:spacing w:after="0"/>
              <w:rPr>
                <w:sz w:val="20"/>
                <w:szCs w:val="20"/>
                <w:color w:val="auto"/>
              </w:rPr>
            </w:pPr>
            <w:r>
              <w:rPr>
                <w:rFonts w:ascii="Arial" w:cs="Arial" w:eastAsia="Arial" w:hAnsi="Arial"/>
                <w:sz w:val="12"/>
                <w:szCs w:val="12"/>
                <w:color w:val="auto"/>
              </w:rPr>
              <w:t>285,346 RSF</w:t>
            </w:r>
          </w:p>
        </w:tc>
        <w:tc>
          <w:tcPr>
            <w:tcW w:w="2160" w:type="dxa"/>
            <w:vAlign w:val="bottom"/>
            <w:gridSpan w:val="2"/>
          </w:tcPr>
          <w:p>
            <w:pPr>
              <w:jc w:val="center"/>
              <w:ind w:right="20"/>
              <w:spacing w:after="0"/>
              <w:rPr>
                <w:sz w:val="20"/>
                <w:szCs w:val="20"/>
                <w:color w:val="auto"/>
              </w:rPr>
            </w:pPr>
            <w:r>
              <w:rPr>
                <w:rFonts w:ascii="Arial" w:cs="Arial" w:eastAsia="Arial" w:hAnsi="Arial"/>
                <w:sz w:val="12"/>
                <w:szCs w:val="12"/>
                <w:color w:val="auto"/>
                <w:w w:val="98"/>
              </w:rPr>
              <w:t>334,996 RSF</w:t>
            </w:r>
          </w:p>
        </w:tc>
        <w:tc>
          <w:tcPr>
            <w:tcW w:w="2180" w:type="dxa"/>
            <w:vAlign w:val="bottom"/>
            <w:gridSpan w:val="2"/>
          </w:tcPr>
          <w:p>
            <w:pPr>
              <w:jc w:val="center"/>
              <w:ind w:right="20"/>
              <w:spacing w:after="0"/>
              <w:rPr>
                <w:sz w:val="20"/>
                <w:szCs w:val="20"/>
                <w:color w:val="auto"/>
              </w:rPr>
            </w:pPr>
            <w:r>
              <w:rPr>
                <w:rFonts w:ascii="Arial" w:cs="Arial" w:eastAsia="Arial" w:hAnsi="Arial"/>
                <w:sz w:val="12"/>
                <w:szCs w:val="12"/>
                <w:color w:val="auto"/>
              </w:rPr>
              <w:t>426,927 RSF</w:t>
            </w:r>
          </w:p>
        </w:tc>
        <w:tc>
          <w:tcPr>
            <w:tcW w:w="2160" w:type="dxa"/>
            <w:vAlign w:val="bottom"/>
            <w:gridSpan w:val="2"/>
          </w:tcPr>
          <w:p>
            <w:pPr>
              <w:jc w:val="center"/>
              <w:ind w:right="20"/>
              <w:spacing w:after="0"/>
              <w:rPr>
                <w:sz w:val="20"/>
                <w:szCs w:val="20"/>
                <w:color w:val="auto"/>
              </w:rPr>
            </w:pPr>
            <w:r>
              <w:rPr>
                <w:rFonts w:ascii="Arial" w:cs="Arial" w:eastAsia="Arial" w:hAnsi="Arial"/>
                <w:sz w:val="12"/>
                <w:szCs w:val="12"/>
                <w:color w:val="auto"/>
                <w:w w:val="98"/>
              </w:rPr>
              <w:t>171,102 RSF</w:t>
            </w:r>
          </w:p>
        </w:tc>
        <w:tc>
          <w:tcPr>
            <w:tcW w:w="2120" w:type="dxa"/>
            <w:vAlign w:val="bottom"/>
          </w:tcPr>
          <w:p>
            <w:pPr>
              <w:jc w:val="center"/>
              <w:spacing w:after="0"/>
              <w:rPr>
                <w:sz w:val="20"/>
                <w:szCs w:val="20"/>
                <w:color w:val="auto"/>
              </w:rPr>
            </w:pPr>
            <w:r>
              <w:rPr>
                <w:rFonts w:ascii="Arial" w:cs="Arial" w:eastAsia="Arial" w:hAnsi="Arial"/>
                <w:sz w:val="12"/>
                <w:szCs w:val="12"/>
                <w:color w:val="auto"/>
              </w:rPr>
              <w:t>253,079 RSF</w:t>
            </w:r>
          </w:p>
        </w:tc>
        <w:tc>
          <w:tcPr>
            <w:tcW w:w="0" w:type="dxa"/>
            <w:vAlign w:val="bottom"/>
          </w:tcPr>
          <w:p>
            <w:pPr>
              <w:spacing w:after="0"/>
              <w:rPr>
                <w:sz w:val="1"/>
                <w:szCs w:val="1"/>
                <w:color w:val="auto"/>
              </w:rPr>
            </w:pPr>
          </w:p>
        </w:tc>
      </w:tr>
      <w:tr>
        <w:trPr>
          <w:trHeight w:val="181"/>
        </w:trPr>
        <w:tc>
          <w:tcPr>
            <w:tcW w:w="2180" w:type="dxa"/>
            <w:vAlign w:val="bottom"/>
            <w:gridSpan w:val="2"/>
          </w:tcPr>
          <w:p>
            <w:pPr>
              <w:jc w:val="center"/>
              <w:spacing w:after="0"/>
              <w:rPr>
                <w:sz w:val="20"/>
                <w:szCs w:val="20"/>
                <w:color w:val="auto"/>
              </w:rPr>
            </w:pPr>
            <w:r>
              <w:rPr>
                <w:rFonts w:ascii="Arial" w:cs="Arial" w:eastAsia="Arial" w:hAnsi="Arial"/>
                <w:sz w:val="11"/>
                <w:szCs w:val="11"/>
                <w:color w:val="auto"/>
              </w:rPr>
              <w:t>100% Leased</w:t>
            </w:r>
          </w:p>
        </w:tc>
        <w:tc>
          <w:tcPr>
            <w:tcW w:w="2160" w:type="dxa"/>
            <w:vAlign w:val="bottom"/>
            <w:gridSpan w:val="2"/>
          </w:tcPr>
          <w:p>
            <w:pPr>
              <w:jc w:val="center"/>
              <w:ind w:right="20"/>
              <w:spacing w:after="0"/>
              <w:rPr>
                <w:sz w:val="20"/>
                <w:szCs w:val="20"/>
                <w:color w:val="auto"/>
              </w:rPr>
            </w:pPr>
            <w:r>
              <w:rPr>
                <w:rFonts w:ascii="Arial" w:cs="Arial" w:eastAsia="Arial" w:hAnsi="Arial"/>
                <w:sz w:val="11"/>
                <w:szCs w:val="11"/>
                <w:color w:val="auto"/>
              </w:rPr>
              <w:t>100% Leased</w:t>
            </w:r>
          </w:p>
        </w:tc>
        <w:tc>
          <w:tcPr>
            <w:tcW w:w="2180" w:type="dxa"/>
            <w:vAlign w:val="bottom"/>
            <w:gridSpan w:val="2"/>
          </w:tcPr>
          <w:p>
            <w:pPr>
              <w:jc w:val="center"/>
              <w:spacing w:after="0"/>
              <w:rPr>
                <w:sz w:val="20"/>
                <w:szCs w:val="20"/>
                <w:color w:val="auto"/>
              </w:rPr>
            </w:pPr>
            <w:r>
              <w:rPr>
                <w:rFonts w:ascii="Arial" w:cs="Arial" w:eastAsia="Arial" w:hAnsi="Arial"/>
                <w:sz w:val="11"/>
                <w:szCs w:val="11"/>
                <w:color w:val="auto"/>
              </w:rPr>
              <w:t>100% Leased</w:t>
            </w:r>
          </w:p>
        </w:tc>
        <w:tc>
          <w:tcPr>
            <w:tcW w:w="2160" w:type="dxa"/>
            <w:vAlign w:val="bottom"/>
            <w:gridSpan w:val="2"/>
          </w:tcPr>
          <w:p>
            <w:pPr>
              <w:jc w:val="center"/>
              <w:ind w:right="20"/>
              <w:spacing w:after="0"/>
              <w:rPr>
                <w:sz w:val="20"/>
                <w:szCs w:val="20"/>
                <w:color w:val="auto"/>
              </w:rPr>
            </w:pPr>
            <w:r>
              <w:rPr>
                <w:rFonts w:ascii="Arial" w:cs="Arial" w:eastAsia="Arial" w:hAnsi="Arial"/>
                <w:sz w:val="11"/>
                <w:szCs w:val="11"/>
                <w:color w:val="auto"/>
              </w:rPr>
              <w:t>100% Leased</w:t>
            </w:r>
          </w:p>
        </w:tc>
        <w:tc>
          <w:tcPr>
            <w:tcW w:w="2120" w:type="dxa"/>
            <w:vAlign w:val="bottom"/>
          </w:tcPr>
          <w:p>
            <w:pPr>
              <w:jc w:val="center"/>
              <w:spacing w:after="0"/>
              <w:rPr>
                <w:sz w:val="20"/>
                <w:szCs w:val="20"/>
                <w:color w:val="auto"/>
              </w:rPr>
            </w:pPr>
            <w:r>
              <w:rPr>
                <w:rFonts w:ascii="Arial" w:cs="Arial" w:eastAsia="Arial" w:hAnsi="Arial"/>
                <w:sz w:val="11"/>
                <w:szCs w:val="11"/>
                <w:color w:val="auto"/>
              </w:rPr>
              <w:t>70% Leased</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6" w:type="dxa"/>
        <w:tblCellMar>
          <w:top w:w="0" w:type="dxa"/>
          <w:left w:w="0" w:type="dxa"/>
          <w:bottom w:w="0" w:type="dxa"/>
          <w:right w:w="0" w:type="dxa"/>
        </w:tblCellMar>
      </w:tblPr>
      <w:tr>
        <w:trPr>
          <w:trHeight w:val="161"/>
        </w:trPr>
        <w:tc>
          <w:tcPr>
            <w:tcW w:w="2140" w:type="dxa"/>
            <w:vAlign w:val="bottom"/>
            <w:vMerge w:val="restart"/>
          </w:tcPr>
          <w:p>
            <w:pPr>
              <w:ind w:left="320"/>
              <w:spacing w:after="0"/>
              <w:rPr>
                <w:sz w:val="20"/>
                <w:szCs w:val="20"/>
                <w:color w:val="auto"/>
              </w:rPr>
            </w:pPr>
            <w:r>
              <w:rPr>
                <w:rFonts w:ascii="Arial" w:cs="Arial" w:eastAsia="Arial" w:hAnsi="Arial"/>
                <w:sz w:val="11"/>
                <w:szCs w:val="11"/>
                <w:b w:val="1"/>
                <w:bCs w:val="1"/>
                <w:color w:val="1F497D"/>
              </w:rPr>
              <w:t>1150 Eastlake Avenue East</w:t>
            </w:r>
          </w:p>
        </w:tc>
        <w:tc>
          <w:tcPr>
            <w:tcW w:w="40" w:type="dxa"/>
            <w:vAlign w:val="bottom"/>
            <w:vMerge w:val="restart"/>
          </w:tcPr>
          <w:p>
            <w:pPr>
              <w:spacing w:after="0"/>
              <w:rPr>
                <w:sz w:val="14"/>
                <w:szCs w:val="14"/>
                <w:color w:val="auto"/>
              </w:rPr>
            </w:pPr>
          </w:p>
        </w:tc>
        <w:tc>
          <w:tcPr>
            <w:tcW w:w="2180" w:type="dxa"/>
            <w:vAlign w:val="bottom"/>
            <w:gridSpan w:val="2"/>
          </w:tcPr>
          <w:p>
            <w:pPr>
              <w:jc w:val="center"/>
              <w:ind w:right="40"/>
              <w:spacing w:after="0"/>
              <w:rPr>
                <w:sz w:val="20"/>
                <w:szCs w:val="20"/>
                <w:color w:val="auto"/>
              </w:rPr>
            </w:pPr>
            <w:r>
              <w:rPr>
                <w:rFonts w:ascii="Arial" w:cs="Arial" w:eastAsia="Arial" w:hAnsi="Arial"/>
                <w:sz w:val="11"/>
                <w:szCs w:val="11"/>
                <w:b w:val="1"/>
                <w:bCs w:val="1"/>
                <w:color w:val="1F497D"/>
              </w:rPr>
              <w:t>Alexandria Center</w:t>
            </w:r>
            <w:r>
              <w:rPr>
                <w:rFonts w:ascii="Arial" w:cs="Arial" w:eastAsia="Arial" w:hAnsi="Arial"/>
                <w:sz w:val="14"/>
                <w:szCs w:val="14"/>
                <w:b w:val="1"/>
                <w:bCs w:val="1"/>
                <w:color w:val="1F497D"/>
                <w:vertAlign w:val="superscript"/>
              </w:rPr>
              <w:t>®</w:t>
            </w:r>
            <w:r>
              <w:rPr>
                <w:rFonts w:ascii="Arial" w:cs="Arial" w:eastAsia="Arial" w:hAnsi="Arial"/>
                <w:sz w:val="11"/>
                <w:szCs w:val="11"/>
                <w:b w:val="1"/>
                <w:bCs w:val="1"/>
                <w:color w:val="1F497D"/>
              </w:rPr>
              <w:t xml:space="preserve"> for Advanced</w:t>
            </w:r>
          </w:p>
        </w:tc>
        <w:tc>
          <w:tcPr>
            <w:tcW w:w="2120" w:type="dxa"/>
            <w:vAlign w:val="bottom"/>
            <w:vMerge w:val="restart"/>
          </w:tcPr>
          <w:p>
            <w:pPr>
              <w:jc w:val="center"/>
              <w:spacing w:after="0"/>
              <w:rPr>
                <w:sz w:val="20"/>
                <w:szCs w:val="20"/>
                <w:color w:val="auto"/>
              </w:rPr>
            </w:pPr>
            <w:r>
              <w:rPr>
                <w:rFonts w:ascii="Arial" w:cs="Arial" w:eastAsia="Arial" w:hAnsi="Arial"/>
                <w:sz w:val="11"/>
                <w:szCs w:val="11"/>
                <w:b w:val="1"/>
                <w:bCs w:val="1"/>
                <w:color w:val="1F497D"/>
              </w:rPr>
              <w:t>9820 Darnestown Road</w:t>
            </w:r>
          </w:p>
        </w:tc>
        <w:tc>
          <w:tcPr>
            <w:tcW w:w="40" w:type="dxa"/>
            <w:vAlign w:val="bottom"/>
            <w:vMerge w:val="restart"/>
          </w:tcPr>
          <w:p>
            <w:pPr>
              <w:spacing w:after="0"/>
              <w:rPr>
                <w:sz w:val="14"/>
                <w:szCs w:val="14"/>
                <w:color w:val="auto"/>
              </w:rPr>
            </w:pPr>
          </w:p>
        </w:tc>
        <w:tc>
          <w:tcPr>
            <w:tcW w:w="2140" w:type="dxa"/>
            <w:vAlign w:val="bottom"/>
            <w:vMerge w:val="restart"/>
          </w:tcPr>
          <w:p>
            <w:pPr>
              <w:jc w:val="center"/>
              <w:spacing w:after="0"/>
              <w:rPr>
                <w:sz w:val="20"/>
                <w:szCs w:val="20"/>
                <w:color w:val="auto"/>
              </w:rPr>
            </w:pPr>
            <w:r>
              <w:rPr>
                <w:rFonts w:ascii="Arial" w:cs="Arial" w:eastAsia="Arial" w:hAnsi="Arial"/>
                <w:sz w:val="11"/>
                <w:szCs w:val="11"/>
                <w:b w:val="1"/>
                <w:bCs w:val="1"/>
                <w:color w:val="1F497D"/>
              </w:rPr>
              <w:t>9808 Medical Center Drive</w:t>
            </w:r>
          </w:p>
        </w:tc>
        <w:tc>
          <w:tcPr>
            <w:tcW w:w="40" w:type="dxa"/>
            <w:vAlign w:val="bottom"/>
            <w:vMerge w:val="restart"/>
          </w:tcPr>
          <w:p>
            <w:pPr>
              <w:spacing w:after="0"/>
              <w:rPr>
                <w:sz w:val="14"/>
                <w:szCs w:val="14"/>
                <w:color w:val="auto"/>
              </w:rPr>
            </w:pPr>
          </w:p>
        </w:tc>
        <w:tc>
          <w:tcPr>
            <w:tcW w:w="2120" w:type="dxa"/>
            <w:vAlign w:val="bottom"/>
            <w:vMerge w:val="restart"/>
          </w:tcPr>
          <w:p>
            <w:pPr>
              <w:jc w:val="center"/>
              <w:spacing w:after="0"/>
              <w:rPr>
                <w:sz w:val="20"/>
                <w:szCs w:val="20"/>
                <w:color w:val="auto"/>
              </w:rPr>
            </w:pPr>
            <w:r>
              <w:rPr>
                <w:rFonts w:ascii="Arial" w:cs="Arial" w:eastAsia="Arial" w:hAnsi="Arial"/>
                <w:sz w:val="11"/>
                <w:szCs w:val="11"/>
                <w:b w:val="1"/>
                <w:bCs w:val="1"/>
                <w:color w:val="1F497D"/>
              </w:rPr>
              <w:t>8800 Technology Forest Place</w:t>
            </w:r>
          </w:p>
        </w:tc>
        <w:tc>
          <w:tcPr>
            <w:tcW w:w="0" w:type="dxa"/>
            <w:vAlign w:val="bottom"/>
          </w:tcPr>
          <w:p>
            <w:pPr>
              <w:spacing w:after="0"/>
              <w:rPr>
                <w:sz w:val="1"/>
                <w:szCs w:val="1"/>
                <w:color w:val="auto"/>
              </w:rPr>
            </w:pPr>
          </w:p>
        </w:tc>
      </w:tr>
      <w:tr>
        <w:trPr>
          <w:trHeight w:val="150"/>
        </w:trPr>
        <w:tc>
          <w:tcPr>
            <w:tcW w:w="2140" w:type="dxa"/>
            <w:vAlign w:val="bottom"/>
            <w:tcBorders>
              <w:bottom w:val="single" w:sz="8" w:color="015CAF"/>
            </w:tcBorders>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2140" w:type="dxa"/>
            <w:vAlign w:val="bottom"/>
            <w:tcBorders>
              <w:bottom w:val="single" w:sz="8" w:color="015CAF"/>
            </w:tcBorders>
          </w:tcPr>
          <w:p>
            <w:pPr>
              <w:jc w:val="center"/>
              <w:spacing w:after="0" w:line="151" w:lineRule="exact"/>
              <w:rPr>
                <w:sz w:val="20"/>
                <w:szCs w:val="20"/>
                <w:color w:val="auto"/>
              </w:rPr>
            </w:pPr>
            <w:r>
              <w:rPr>
                <w:rFonts w:ascii="Arial" w:cs="Arial" w:eastAsia="Arial" w:hAnsi="Arial"/>
                <w:sz w:val="11"/>
                <w:szCs w:val="11"/>
                <w:b w:val="1"/>
                <w:bCs w:val="1"/>
                <w:color w:val="1F497D"/>
              </w:rPr>
              <w:t>Technologies – Monte Villa Parkway</w:t>
            </w:r>
            <w:r>
              <w:rPr>
                <w:rFonts w:ascii="Arial" w:cs="Arial" w:eastAsia="Arial" w:hAnsi="Arial"/>
                <w:sz w:val="14"/>
                <w:szCs w:val="14"/>
                <w:b w:val="1"/>
                <w:bCs w:val="1"/>
                <w:color w:val="1F497D"/>
                <w:vertAlign w:val="superscript"/>
              </w:rPr>
              <w:t>(2)</w:t>
            </w:r>
          </w:p>
        </w:tc>
        <w:tc>
          <w:tcPr>
            <w:tcW w:w="40" w:type="dxa"/>
            <w:vAlign w:val="bottom"/>
          </w:tcPr>
          <w:p>
            <w:pPr>
              <w:spacing w:after="0"/>
              <w:rPr>
                <w:sz w:val="13"/>
                <w:szCs w:val="13"/>
                <w:color w:val="auto"/>
              </w:rPr>
            </w:pPr>
          </w:p>
        </w:tc>
        <w:tc>
          <w:tcPr>
            <w:tcW w:w="2120" w:type="dxa"/>
            <w:vAlign w:val="bottom"/>
            <w:tcBorders>
              <w:bottom w:val="single" w:sz="8" w:color="015CAF"/>
            </w:tcBorders>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2140" w:type="dxa"/>
            <w:vAlign w:val="bottom"/>
            <w:tcBorders>
              <w:bottom w:val="single" w:sz="8" w:color="015CAF"/>
            </w:tcBorders>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2120" w:type="dxa"/>
            <w:vAlign w:val="bottom"/>
            <w:tcBorders>
              <w:bottom w:val="single" w:sz="8" w:color="015CAF"/>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4"/>
        </w:trPr>
        <w:tc>
          <w:tcPr>
            <w:tcW w:w="2180" w:type="dxa"/>
            <w:vAlign w:val="bottom"/>
            <w:gridSpan w:val="2"/>
          </w:tcPr>
          <w:p>
            <w:pPr>
              <w:jc w:val="center"/>
              <w:ind w:right="60"/>
              <w:spacing w:after="0"/>
              <w:rPr>
                <w:sz w:val="20"/>
                <w:szCs w:val="20"/>
                <w:color w:val="auto"/>
              </w:rPr>
            </w:pPr>
            <w:r>
              <w:rPr>
                <w:rFonts w:ascii="Arial" w:cs="Arial" w:eastAsia="Arial" w:hAnsi="Arial"/>
                <w:sz w:val="12"/>
                <w:szCs w:val="12"/>
                <w:color w:val="auto"/>
              </w:rPr>
              <w:t>Seattle/Lake Union</w:t>
            </w:r>
          </w:p>
        </w:tc>
        <w:tc>
          <w:tcPr>
            <w:tcW w:w="2180" w:type="dxa"/>
            <w:vAlign w:val="bottom"/>
            <w:gridSpan w:val="2"/>
          </w:tcPr>
          <w:p>
            <w:pPr>
              <w:jc w:val="center"/>
              <w:ind w:right="40"/>
              <w:spacing w:after="0"/>
              <w:rPr>
                <w:sz w:val="20"/>
                <w:szCs w:val="20"/>
                <w:color w:val="auto"/>
              </w:rPr>
            </w:pPr>
            <w:r>
              <w:rPr>
                <w:rFonts w:ascii="Arial" w:cs="Arial" w:eastAsia="Arial" w:hAnsi="Arial"/>
                <w:sz w:val="12"/>
                <w:szCs w:val="12"/>
                <w:color w:val="auto"/>
              </w:rPr>
              <w:t>Seattle/Bothell</w:t>
            </w:r>
          </w:p>
        </w:tc>
        <w:tc>
          <w:tcPr>
            <w:tcW w:w="2160" w:type="dxa"/>
            <w:vAlign w:val="bottom"/>
            <w:gridSpan w:val="2"/>
          </w:tcPr>
          <w:p>
            <w:pPr>
              <w:jc w:val="center"/>
              <w:ind w:right="60"/>
              <w:spacing w:after="0"/>
              <w:rPr>
                <w:sz w:val="20"/>
                <w:szCs w:val="20"/>
                <w:color w:val="auto"/>
              </w:rPr>
            </w:pPr>
            <w:r>
              <w:rPr>
                <w:rFonts w:ascii="Arial" w:cs="Arial" w:eastAsia="Arial" w:hAnsi="Arial"/>
                <w:sz w:val="12"/>
                <w:szCs w:val="12"/>
                <w:color w:val="auto"/>
              </w:rPr>
              <w:t>Maryland/Rockville</w:t>
            </w:r>
          </w:p>
        </w:tc>
        <w:tc>
          <w:tcPr>
            <w:tcW w:w="2180" w:type="dxa"/>
            <w:vAlign w:val="bottom"/>
            <w:gridSpan w:val="2"/>
          </w:tcPr>
          <w:p>
            <w:pPr>
              <w:jc w:val="center"/>
              <w:ind w:right="40"/>
              <w:spacing w:after="0"/>
              <w:rPr>
                <w:sz w:val="20"/>
                <w:szCs w:val="20"/>
                <w:color w:val="auto"/>
              </w:rPr>
            </w:pPr>
            <w:r>
              <w:rPr>
                <w:rFonts w:ascii="Arial" w:cs="Arial" w:eastAsia="Arial" w:hAnsi="Arial"/>
                <w:sz w:val="12"/>
                <w:szCs w:val="12"/>
                <w:color w:val="auto"/>
              </w:rPr>
              <w:t>Maryland/Rockville</w:t>
            </w:r>
          </w:p>
        </w:tc>
        <w:tc>
          <w:tcPr>
            <w:tcW w:w="2120" w:type="dxa"/>
            <w:vAlign w:val="bottom"/>
          </w:tcPr>
          <w:p>
            <w:pPr>
              <w:jc w:val="center"/>
              <w:spacing w:after="0"/>
              <w:rPr>
                <w:sz w:val="20"/>
                <w:szCs w:val="20"/>
                <w:color w:val="auto"/>
              </w:rPr>
            </w:pPr>
            <w:r>
              <w:rPr>
                <w:rFonts w:ascii="Arial" w:cs="Arial" w:eastAsia="Arial" w:hAnsi="Arial"/>
                <w:sz w:val="12"/>
                <w:szCs w:val="12"/>
                <w:color w:val="auto"/>
                <w:w w:val="99"/>
              </w:rPr>
              <w:t>Texas/Greater Houston</w:t>
            </w:r>
          </w:p>
        </w:tc>
        <w:tc>
          <w:tcPr>
            <w:tcW w:w="0" w:type="dxa"/>
            <w:vAlign w:val="bottom"/>
          </w:tcPr>
          <w:p>
            <w:pPr>
              <w:spacing w:after="0"/>
              <w:rPr>
                <w:sz w:val="1"/>
                <w:szCs w:val="1"/>
                <w:color w:val="auto"/>
              </w:rPr>
            </w:pPr>
          </w:p>
        </w:tc>
      </w:tr>
      <w:tr>
        <w:trPr>
          <w:trHeight w:val="258"/>
        </w:trPr>
        <w:tc>
          <w:tcPr>
            <w:tcW w:w="2180" w:type="dxa"/>
            <w:vAlign w:val="bottom"/>
            <w:gridSpan w:val="2"/>
          </w:tcPr>
          <w:p>
            <w:pPr>
              <w:jc w:val="center"/>
              <w:ind w:right="20"/>
              <w:spacing w:after="0"/>
              <w:rPr>
                <w:sz w:val="20"/>
                <w:szCs w:val="20"/>
                <w:color w:val="auto"/>
              </w:rPr>
            </w:pPr>
            <w:r>
              <w:rPr>
                <w:rFonts w:ascii="Arial" w:cs="Arial" w:eastAsia="Arial" w:hAnsi="Arial"/>
                <w:sz w:val="12"/>
                <w:szCs w:val="12"/>
                <w:color w:val="auto"/>
                <w:w w:val="99"/>
              </w:rPr>
              <w:t>31,270 RSF</w:t>
            </w:r>
          </w:p>
        </w:tc>
        <w:tc>
          <w:tcPr>
            <w:tcW w:w="2180" w:type="dxa"/>
            <w:vAlign w:val="bottom"/>
            <w:gridSpan w:val="2"/>
          </w:tcPr>
          <w:p>
            <w:pPr>
              <w:jc w:val="center"/>
              <w:ind w:right="20"/>
              <w:spacing w:after="0"/>
              <w:rPr>
                <w:sz w:val="20"/>
                <w:szCs w:val="20"/>
                <w:color w:val="auto"/>
              </w:rPr>
            </w:pPr>
            <w:r>
              <w:rPr>
                <w:rFonts w:ascii="Arial" w:cs="Arial" w:eastAsia="Arial" w:hAnsi="Arial"/>
                <w:sz w:val="12"/>
                <w:szCs w:val="12"/>
                <w:color w:val="auto"/>
                <w:w w:val="99"/>
              </w:rPr>
              <w:t>34,306 RSF</w:t>
            </w:r>
          </w:p>
        </w:tc>
        <w:tc>
          <w:tcPr>
            <w:tcW w:w="2160" w:type="dxa"/>
            <w:vAlign w:val="bottom"/>
            <w:gridSpan w:val="2"/>
          </w:tcPr>
          <w:p>
            <w:pPr>
              <w:jc w:val="center"/>
              <w:spacing w:after="0"/>
              <w:rPr>
                <w:sz w:val="20"/>
                <w:szCs w:val="20"/>
                <w:color w:val="auto"/>
              </w:rPr>
            </w:pPr>
            <w:r>
              <w:rPr>
                <w:rFonts w:ascii="Arial" w:cs="Arial" w:eastAsia="Arial" w:hAnsi="Arial"/>
                <w:sz w:val="12"/>
                <w:szCs w:val="12"/>
                <w:color w:val="auto"/>
              </w:rPr>
              <w:t>250,000 RSF</w:t>
            </w:r>
          </w:p>
        </w:tc>
        <w:tc>
          <w:tcPr>
            <w:tcW w:w="2180" w:type="dxa"/>
            <w:vAlign w:val="bottom"/>
            <w:gridSpan w:val="2"/>
          </w:tcPr>
          <w:p>
            <w:pPr>
              <w:jc w:val="center"/>
              <w:ind w:right="20"/>
              <w:spacing w:after="0"/>
              <w:rPr>
                <w:sz w:val="20"/>
                <w:szCs w:val="20"/>
                <w:color w:val="auto"/>
              </w:rPr>
            </w:pPr>
            <w:r>
              <w:rPr>
                <w:rFonts w:ascii="Arial" w:cs="Arial" w:eastAsia="Arial" w:hAnsi="Arial"/>
                <w:sz w:val="12"/>
                <w:szCs w:val="12"/>
                <w:color w:val="auto"/>
                <w:w w:val="99"/>
              </w:rPr>
              <w:t>42,946 RSF</w:t>
            </w:r>
          </w:p>
        </w:tc>
        <w:tc>
          <w:tcPr>
            <w:tcW w:w="2120" w:type="dxa"/>
            <w:vAlign w:val="bottom"/>
          </w:tcPr>
          <w:p>
            <w:pPr>
              <w:jc w:val="center"/>
              <w:spacing w:after="0"/>
              <w:rPr>
                <w:sz w:val="20"/>
                <w:szCs w:val="20"/>
                <w:color w:val="auto"/>
              </w:rPr>
            </w:pPr>
            <w:r>
              <w:rPr>
                <w:rFonts w:ascii="Arial" w:cs="Arial" w:eastAsia="Arial" w:hAnsi="Arial"/>
                <w:sz w:val="12"/>
                <w:szCs w:val="12"/>
                <w:color w:val="auto"/>
              </w:rPr>
              <w:t>73,298 RSF</w:t>
            </w:r>
          </w:p>
        </w:tc>
        <w:tc>
          <w:tcPr>
            <w:tcW w:w="0" w:type="dxa"/>
            <w:vAlign w:val="bottom"/>
          </w:tcPr>
          <w:p>
            <w:pPr>
              <w:spacing w:after="0"/>
              <w:rPr>
                <w:sz w:val="1"/>
                <w:szCs w:val="1"/>
                <w:color w:val="auto"/>
              </w:rPr>
            </w:pPr>
          </w:p>
        </w:tc>
      </w:tr>
      <w:tr>
        <w:trPr>
          <w:trHeight w:val="181"/>
        </w:trPr>
        <w:tc>
          <w:tcPr>
            <w:tcW w:w="2180" w:type="dxa"/>
            <w:vAlign w:val="bottom"/>
            <w:gridSpan w:val="2"/>
          </w:tcPr>
          <w:p>
            <w:pPr>
              <w:jc w:val="center"/>
              <w:ind w:right="40"/>
              <w:spacing w:after="0"/>
              <w:rPr>
                <w:sz w:val="20"/>
                <w:szCs w:val="20"/>
                <w:color w:val="auto"/>
              </w:rPr>
            </w:pPr>
            <w:r>
              <w:rPr>
                <w:rFonts w:ascii="Arial" w:cs="Arial" w:eastAsia="Arial" w:hAnsi="Arial"/>
                <w:sz w:val="11"/>
                <w:szCs w:val="11"/>
                <w:color w:val="auto"/>
              </w:rPr>
              <w:t>100% Leased</w:t>
            </w:r>
          </w:p>
        </w:tc>
        <w:tc>
          <w:tcPr>
            <w:tcW w:w="2180" w:type="dxa"/>
            <w:vAlign w:val="bottom"/>
            <w:gridSpan w:val="2"/>
          </w:tcPr>
          <w:p>
            <w:pPr>
              <w:jc w:val="center"/>
              <w:ind w:right="20"/>
              <w:spacing w:after="0"/>
              <w:rPr>
                <w:sz w:val="20"/>
                <w:szCs w:val="20"/>
                <w:color w:val="auto"/>
              </w:rPr>
            </w:pPr>
            <w:r>
              <w:rPr>
                <w:rFonts w:ascii="Arial" w:cs="Arial" w:eastAsia="Arial" w:hAnsi="Arial"/>
                <w:sz w:val="11"/>
                <w:szCs w:val="11"/>
                <w:color w:val="auto"/>
              </w:rPr>
              <w:t>98% Leased</w:t>
            </w:r>
          </w:p>
        </w:tc>
        <w:tc>
          <w:tcPr>
            <w:tcW w:w="2160" w:type="dxa"/>
            <w:vAlign w:val="bottom"/>
            <w:gridSpan w:val="2"/>
          </w:tcPr>
          <w:p>
            <w:pPr>
              <w:jc w:val="center"/>
              <w:ind w:right="20"/>
              <w:spacing w:after="0"/>
              <w:rPr>
                <w:sz w:val="20"/>
                <w:szCs w:val="20"/>
                <w:color w:val="auto"/>
              </w:rPr>
            </w:pPr>
            <w:r>
              <w:rPr>
                <w:rFonts w:ascii="Arial" w:cs="Arial" w:eastAsia="Arial" w:hAnsi="Arial"/>
                <w:sz w:val="11"/>
                <w:szCs w:val="11"/>
                <w:color w:val="auto"/>
              </w:rPr>
              <w:t>100% Leased</w:t>
            </w:r>
          </w:p>
        </w:tc>
        <w:tc>
          <w:tcPr>
            <w:tcW w:w="2180" w:type="dxa"/>
            <w:vAlign w:val="bottom"/>
            <w:gridSpan w:val="2"/>
          </w:tcPr>
          <w:p>
            <w:pPr>
              <w:jc w:val="center"/>
              <w:ind w:right="20"/>
              <w:spacing w:after="0"/>
              <w:rPr>
                <w:sz w:val="20"/>
                <w:szCs w:val="20"/>
                <w:color w:val="auto"/>
              </w:rPr>
            </w:pPr>
            <w:r>
              <w:rPr>
                <w:rFonts w:ascii="Arial" w:cs="Arial" w:eastAsia="Arial" w:hAnsi="Arial"/>
                <w:sz w:val="11"/>
                <w:szCs w:val="11"/>
                <w:color w:val="auto"/>
              </w:rPr>
              <w:t>69% Leased</w:t>
            </w:r>
          </w:p>
        </w:tc>
        <w:tc>
          <w:tcPr>
            <w:tcW w:w="2120" w:type="dxa"/>
            <w:vAlign w:val="bottom"/>
          </w:tcPr>
          <w:p>
            <w:pPr>
              <w:jc w:val="center"/>
              <w:spacing w:after="0"/>
              <w:rPr>
                <w:sz w:val="20"/>
                <w:szCs w:val="20"/>
                <w:color w:val="auto"/>
              </w:rPr>
            </w:pPr>
            <w:r>
              <w:rPr>
                <w:rFonts w:ascii="Arial" w:cs="Arial" w:eastAsia="Arial" w:hAnsi="Arial"/>
                <w:sz w:val="11"/>
                <w:szCs w:val="11"/>
                <w:color w:val="auto"/>
              </w:rPr>
              <w:t>41% Leased</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266" w:hanging="266"/>
        <w:spacing w:after="0"/>
        <w:tabs>
          <w:tab w:leader="none" w:pos="266" w:val="left"/>
        </w:tabs>
        <w:numPr>
          <w:ilvl w:val="0"/>
          <w:numId w:val="87"/>
        </w:numPr>
        <w:rPr>
          <w:rFonts w:ascii="Arial" w:cs="Arial" w:eastAsia="Arial" w:hAnsi="Arial"/>
          <w:sz w:val="10"/>
          <w:szCs w:val="10"/>
          <w:color w:val="auto"/>
        </w:rPr>
      </w:pPr>
      <w:r>
        <w:rPr>
          <w:rFonts w:ascii="Arial" w:cs="Arial" w:eastAsia="Arial" w:hAnsi="Arial"/>
          <w:sz w:val="10"/>
          <w:szCs w:val="10"/>
          <w:color w:val="auto"/>
        </w:rPr>
        <w:t>Image represents 10955 Alexandria Way on the One Alexandria Square mega campus.</w:t>
      </w:r>
    </w:p>
    <w:p>
      <w:pPr>
        <w:spacing w:after="0" w:line="17" w:lineRule="exact"/>
        <w:rPr>
          <w:rFonts w:ascii="Arial" w:cs="Arial" w:eastAsia="Arial" w:hAnsi="Arial"/>
          <w:sz w:val="10"/>
          <w:szCs w:val="10"/>
          <w:color w:val="auto"/>
        </w:rPr>
      </w:pPr>
    </w:p>
    <w:p>
      <w:pPr>
        <w:ind w:left="266" w:hanging="266"/>
        <w:spacing w:after="0"/>
        <w:tabs>
          <w:tab w:leader="none" w:pos="266" w:val="left"/>
        </w:tabs>
        <w:numPr>
          <w:ilvl w:val="0"/>
          <w:numId w:val="87"/>
        </w:numPr>
        <w:rPr>
          <w:rFonts w:ascii="Arial" w:cs="Arial" w:eastAsia="Arial" w:hAnsi="Arial"/>
          <w:sz w:val="10"/>
          <w:szCs w:val="10"/>
          <w:color w:val="auto"/>
        </w:rPr>
      </w:pPr>
      <w:r>
        <w:rPr>
          <w:rFonts w:ascii="Arial" w:cs="Arial" w:eastAsia="Arial" w:hAnsi="Arial"/>
          <w:sz w:val="10"/>
          <w:szCs w:val="10"/>
          <w:color w:val="auto"/>
        </w:rPr>
        <w:t>Image represents 3755 Monte Villa Parkway.</w:t>
      </w:r>
    </w:p>
    <w:p>
      <w:pPr>
        <w:sectPr>
          <w:pgSz w:w="11900" w:h="16838" w:orient="portrait"/>
          <w:cols w:equalWidth="0" w:num="1">
            <w:col w:w="10826"/>
          </w:cols>
          <w:pgMar w:left="574" w:top="155" w:right="499" w:bottom="2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5"/>
        <w:spacing w:after="0"/>
        <w:rPr>
          <w:sz w:val="20"/>
          <w:szCs w:val="20"/>
          <w:color w:val="auto"/>
        </w:rPr>
      </w:pPr>
      <w:r>
        <w:rPr>
          <w:rFonts w:ascii="Arial" w:cs="Arial" w:eastAsia="Arial" w:hAnsi="Arial"/>
          <w:sz w:val="12"/>
          <w:szCs w:val="1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195580</wp:posOffset>
            </wp:positionV>
            <wp:extent cx="7212965" cy="262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12965" cy="262255"/>
                    </a:xfrm>
                    <a:prstGeom prst="rect">
                      <a:avLst/>
                    </a:prstGeom>
                    <a:noFill/>
                  </pic:spPr>
                </pic:pic>
              </a:graphicData>
            </a:graphic>
          </wp:anchor>
        </w:drawing>
      </w:r>
    </w:p>
    <w:p>
      <w:pPr>
        <w:sectPr>
          <w:pgSz w:w="11900" w:h="16838" w:orient="portrait"/>
          <w:cols w:equalWidth="0" w:num="1">
            <w:col w:w="10826"/>
          </w:cols>
          <w:pgMar w:left="574" w:top="155" w:right="499" w:bottom="295" w:gutter="0" w:footer="0" w:header="0"/>
          <w:type w:val="continuous"/>
        </w:sectPr>
      </w:pPr>
    </w:p>
    <w:bookmarkStart w:id="43" w:name="page44"/>
    <w:bookmarkEnd w:id="43"/>
    <w:p>
      <w:pPr>
        <w:spacing w:after="0"/>
        <w:rPr>
          <w:sz w:val="20"/>
          <w:szCs w:val="20"/>
          <w:color w:val="auto"/>
        </w:rPr>
      </w:pPr>
      <w:r>
        <w:rPr>
          <w:rFonts w:ascii="Arial" w:cs="Arial" w:eastAsia="Arial" w:hAnsi="Arial"/>
          <w:sz w:val="13"/>
          <w:szCs w:val="13"/>
          <w:u w:val="single" w:color="auto"/>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212965" cy="53155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12965" cy="5315585"/>
                    </a:xfrm>
                    <a:prstGeom prst="rect">
                      <a:avLst/>
                    </a:prstGeom>
                    <a:noFill/>
                  </pic:spPr>
                </pic:pic>
              </a:graphicData>
            </a:graphic>
          </wp:anchor>
        </w:drawing>
        <w:t>New Class A/A+ development and redevelopment properties: current projects (continued)</w:t>
      </w:r>
    </w:p>
    <w:p>
      <w:pPr>
        <w:spacing w:after="0" w:line="110" w:lineRule="exact"/>
        <w:rPr>
          <w:sz w:val="20"/>
          <w:szCs w:val="20"/>
          <w:color w:val="auto"/>
        </w:rPr>
      </w:pPr>
    </w:p>
    <w:p>
      <w:pPr>
        <w:ind w:left="500"/>
        <w:spacing w:after="0"/>
        <w:rPr>
          <w:sz w:val="20"/>
          <w:szCs w:val="20"/>
          <w:color w:val="auto"/>
        </w:rPr>
      </w:pPr>
      <w:r>
        <w:rPr>
          <w:rFonts w:ascii="Arial" w:cs="Arial" w:eastAsia="Arial" w:hAnsi="Arial"/>
          <w:sz w:val="13"/>
          <w:szCs w:val="13"/>
          <w:color w:val="auto"/>
        </w:rPr>
        <w:t>The following tables set forth a summary of our new Class A/A+ development and redevelopment properties under construction and pre-leased/negotiating near-term projects as of</w:t>
      </w:r>
    </w:p>
    <w:p>
      <w:pPr>
        <w:spacing w:after="0" w:line="234" w:lineRule="auto"/>
        <w:rPr>
          <w:sz w:val="20"/>
          <w:szCs w:val="20"/>
          <w:color w:val="auto"/>
        </w:rPr>
      </w:pPr>
      <w:r>
        <w:rPr>
          <w:rFonts w:ascii="Arial" w:cs="Arial" w:eastAsia="Arial" w:hAnsi="Arial"/>
          <w:sz w:val="13"/>
          <w:szCs w:val="13"/>
          <w:color w:val="auto"/>
        </w:rPr>
        <w:t>June 30, 2024 (dollars in thousands):</w:t>
      </w:r>
    </w:p>
    <w:tbl>
      <w:tblPr>
        <w:tblLayout w:type="fixed"/>
        <w:tblInd w:w="20" w:type="dxa"/>
        <w:tblCellMar>
          <w:top w:w="0" w:type="dxa"/>
          <w:left w:w="0" w:type="dxa"/>
          <w:bottom w:w="0" w:type="dxa"/>
          <w:right w:w="0" w:type="dxa"/>
        </w:tblCellMar>
      </w:tblPr>
      <w:tr>
        <w:trPr>
          <w:trHeight w:val="153"/>
        </w:trPr>
        <w:tc>
          <w:tcPr>
            <w:tcW w:w="4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3"/>
          </w:tcPr>
          <w:p>
            <w:pPr>
              <w:ind w:left="40"/>
              <w:spacing w:after="0"/>
              <w:rPr>
                <w:sz w:val="20"/>
                <w:szCs w:val="20"/>
                <w:color w:val="auto"/>
              </w:rPr>
            </w:pPr>
            <w:r>
              <w:rPr>
                <w:rFonts w:ascii="Arial" w:cs="Arial" w:eastAsia="Arial" w:hAnsi="Arial"/>
                <w:sz w:val="11"/>
                <w:szCs w:val="11"/>
                <w:b w:val="1"/>
                <w:bCs w:val="1"/>
                <w:color w:val="auto"/>
              </w:rPr>
              <w:t>Square Footage</w:t>
            </w:r>
          </w:p>
        </w:tc>
        <w:tc>
          <w:tcPr>
            <w:tcW w:w="74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400" w:type="dxa"/>
            <w:vAlign w:val="bottom"/>
            <w:tcBorders>
              <w:bottom w:val="single" w:sz="8" w:color="auto"/>
            </w:tcBorders>
            <w:gridSpan w:val="3"/>
          </w:tcPr>
          <w:p>
            <w:pPr>
              <w:jc w:val="right"/>
              <w:ind w:right="243"/>
              <w:spacing w:after="0"/>
              <w:rPr>
                <w:sz w:val="20"/>
                <w:szCs w:val="20"/>
                <w:color w:val="auto"/>
              </w:rPr>
            </w:pPr>
            <w:r>
              <w:rPr>
                <w:rFonts w:ascii="Arial" w:cs="Arial" w:eastAsia="Arial" w:hAnsi="Arial"/>
                <w:sz w:val="11"/>
                <w:szCs w:val="11"/>
                <w:b w:val="1"/>
                <w:bCs w:val="1"/>
                <w:color w:val="auto"/>
              </w:rPr>
              <w:t>Percentage</w:t>
            </w:r>
          </w:p>
        </w:tc>
        <w:tc>
          <w:tcPr>
            <w:tcW w:w="16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1320" w:type="dxa"/>
            <w:vAlign w:val="bottom"/>
            <w:tcBorders>
              <w:bottom w:val="single" w:sz="8" w:color="auto"/>
            </w:tcBorders>
            <w:gridSpan w:val="3"/>
          </w:tcPr>
          <w:p>
            <w:pPr>
              <w:ind w:left="320"/>
              <w:spacing w:after="0" w:line="153" w:lineRule="exact"/>
              <w:rPr>
                <w:sz w:val="20"/>
                <w:szCs w:val="20"/>
                <w:color w:val="auto"/>
              </w:rPr>
            </w:pPr>
            <w:r>
              <w:rPr>
                <w:rFonts w:ascii="Arial" w:cs="Arial" w:eastAsia="Arial" w:hAnsi="Arial"/>
                <w:sz w:val="11"/>
                <w:szCs w:val="11"/>
                <w:b w:val="1"/>
                <w:bCs w:val="1"/>
                <w:color w:val="auto"/>
              </w:rPr>
              <w:t>Occupancy</w:t>
            </w:r>
            <w:r>
              <w:rPr>
                <w:rFonts w:ascii="Arial" w:cs="Arial" w:eastAsia="Arial" w:hAnsi="Arial"/>
                <w:sz w:val="14"/>
                <w:szCs w:val="14"/>
                <w:b w:val="1"/>
                <w:bCs w:val="1"/>
                <w:color w:val="auto"/>
                <w:vertAlign w:val="superscript"/>
              </w:rPr>
              <w:t>(1)</w:t>
            </w:r>
          </w:p>
        </w:tc>
        <w:tc>
          <w:tcPr>
            <w:tcW w:w="0" w:type="dxa"/>
            <w:vAlign w:val="bottom"/>
          </w:tcPr>
          <w:p>
            <w:pPr>
              <w:spacing w:after="0"/>
              <w:rPr>
                <w:sz w:val="1"/>
                <w:szCs w:val="1"/>
                <w:color w:val="auto"/>
              </w:rPr>
            </w:pPr>
          </w:p>
        </w:tc>
      </w:tr>
      <w:tr>
        <w:trPr>
          <w:trHeight w:val="122"/>
        </w:trPr>
        <w:tc>
          <w:tcPr>
            <w:tcW w:w="448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Property/Market/Submarket</w:t>
            </w:r>
          </w:p>
        </w:tc>
        <w:tc>
          <w:tcPr>
            <w:tcW w:w="40" w:type="dxa"/>
            <w:vAlign w:val="bottom"/>
            <w:vMerge w:val="restart"/>
          </w:tcPr>
          <w:p>
            <w:pPr>
              <w:spacing w:after="0"/>
              <w:rPr>
                <w:sz w:val="10"/>
                <w:szCs w:val="10"/>
                <w:color w:val="auto"/>
              </w:rPr>
            </w:pPr>
          </w:p>
        </w:tc>
        <w:tc>
          <w:tcPr>
            <w:tcW w:w="72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Dev/Redev</w:t>
            </w:r>
          </w:p>
        </w:tc>
        <w:tc>
          <w:tcPr>
            <w:tcW w:w="60" w:type="dxa"/>
            <w:vAlign w:val="bottom"/>
            <w:vMerge w:val="restart"/>
          </w:tcPr>
          <w:p>
            <w:pPr>
              <w:spacing w:after="0"/>
              <w:rPr>
                <w:sz w:val="10"/>
                <w:szCs w:val="10"/>
                <w:color w:val="auto"/>
              </w:rPr>
            </w:pPr>
          </w:p>
        </w:tc>
        <w:tc>
          <w:tcPr>
            <w:tcW w:w="760" w:type="dxa"/>
            <w:vAlign w:val="bottom"/>
            <w:vMerge w:val="restart"/>
          </w:tcPr>
          <w:p>
            <w:pPr>
              <w:jc w:val="right"/>
              <w:ind w:right="63"/>
              <w:spacing w:after="0"/>
              <w:rPr>
                <w:sz w:val="20"/>
                <w:szCs w:val="20"/>
                <w:color w:val="auto"/>
              </w:rPr>
            </w:pPr>
            <w:r>
              <w:rPr>
                <w:rFonts w:ascii="Arial" w:cs="Arial" w:eastAsia="Arial" w:hAnsi="Arial"/>
                <w:sz w:val="11"/>
                <w:szCs w:val="11"/>
                <w:b w:val="1"/>
                <w:bCs w:val="1"/>
                <w:color w:val="auto"/>
              </w:rPr>
              <w:t>In Service</w:t>
            </w:r>
          </w:p>
        </w:tc>
        <w:tc>
          <w:tcPr>
            <w:tcW w:w="180" w:type="dxa"/>
            <w:vAlign w:val="bottom"/>
          </w:tcPr>
          <w:p>
            <w:pPr>
              <w:spacing w:after="0"/>
              <w:rPr>
                <w:sz w:val="10"/>
                <w:szCs w:val="10"/>
                <w:color w:val="auto"/>
              </w:rPr>
            </w:pPr>
          </w:p>
        </w:tc>
        <w:tc>
          <w:tcPr>
            <w:tcW w:w="740" w:type="dxa"/>
            <w:vAlign w:val="bottom"/>
            <w:vMerge w:val="restart"/>
          </w:tcPr>
          <w:p>
            <w:pPr>
              <w:ind w:left="280"/>
              <w:spacing w:after="0"/>
              <w:rPr>
                <w:sz w:val="20"/>
                <w:szCs w:val="20"/>
                <w:color w:val="auto"/>
              </w:rPr>
            </w:pPr>
            <w:r>
              <w:rPr>
                <w:rFonts w:ascii="Arial" w:cs="Arial" w:eastAsia="Arial" w:hAnsi="Arial"/>
                <w:sz w:val="11"/>
                <w:szCs w:val="11"/>
                <w:b w:val="1"/>
                <w:bCs w:val="1"/>
                <w:color w:val="auto"/>
              </w:rPr>
              <w:t>CIP</w:t>
            </w:r>
          </w:p>
        </w:tc>
        <w:tc>
          <w:tcPr>
            <w:tcW w:w="60" w:type="dxa"/>
            <w:vAlign w:val="bottom"/>
            <w:vMerge w:val="restart"/>
          </w:tcPr>
          <w:p>
            <w:pPr>
              <w:spacing w:after="0"/>
              <w:rPr>
                <w:sz w:val="10"/>
                <w:szCs w:val="10"/>
                <w:color w:val="auto"/>
              </w:rPr>
            </w:pPr>
          </w:p>
        </w:tc>
        <w:tc>
          <w:tcPr>
            <w:tcW w:w="740" w:type="dxa"/>
            <w:vAlign w:val="bottom"/>
            <w:vMerge w:val="restart"/>
          </w:tcPr>
          <w:p>
            <w:pPr>
              <w:jc w:val="right"/>
              <w:ind w:right="183"/>
              <w:spacing w:after="0"/>
              <w:rPr>
                <w:sz w:val="20"/>
                <w:szCs w:val="20"/>
                <w:color w:val="auto"/>
              </w:rPr>
            </w:pPr>
            <w:r>
              <w:rPr>
                <w:rFonts w:ascii="Arial" w:cs="Arial" w:eastAsia="Arial" w:hAnsi="Arial"/>
                <w:sz w:val="11"/>
                <w:szCs w:val="11"/>
                <w:b w:val="1"/>
                <w:bCs w:val="1"/>
                <w:color w:val="auto"/>
              </w:rPr>
              <w:t>Total</w:t>
            </w:r>
          </w:p>
        </w:tc>
        <w:tc>
          <w:tcPr>
            <w:tcW w:w="60" w:type="dxa"/>
            <w:vAlign w:val="bottom"/>
            <w:vMerge w:val="restart"/>
          </w:tcPr>
          <w:p>
            <w:pPr>
              <w:spacing w:after="0"/>
              <w:rPr>
                <w:sz w:val="10"/>
                <w:szCs w:val="10"/>
                <w:color w:val="auto"/>
              </w:rPr>
            </w:pPr>
          </w:p>
        </w:tc>
        <w:tc>
          <w:tcPr>
            <w:tcW w:w="680" w:type="dxa"/>
            <w:vAlign w:val="bottom"/>
            <w:vMerge w:val="restart"/>
          </w:tcPr>
          <w:p>
            <w:pPr>
              <w:jc w:val="right"/>
              <w:ind w:right="83"/>
              <w:spacing w:after="0"/>
              <w:rPr>
                <w:sz w:val="20"/>
                <w:szCs w:val="20"/>
                <w:color w:val="auto"/>
              </w:rPr>
            </w:pPr>
            <w:r>
              <w:rPr>
                <w:rFonts w:ascii="Arial" w:cs="Arial" w:eastAsia="Arial" w:hAnsi="Arial"/>
                <w:sz w:val="11"/>
                <w:szCs w:val="11"/>
                <w:b w:val="1"/>
                <w:bCs w:val="1"/>
                <w:color w:val="auto"/>
              </w:rPr>
              <w:t>Leased</w:t>
            </w:r>
          </w:p>
        </w:tc>
        <w:tc>
          <w:tcPr>
            <w:tcW w:w="60" w:type="dxa"/>
            <w:vAlign w:val="bottom"/>
            <w:vMerge w:val="restart"/>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Leased/</w:t>
            </w: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Initial</w:t>
            </w:r>
          </w:p>
        </w:tc>
        <w:tc>
          <w:tcPr>
            <w:tcW w:w="40" w:type="dxa"/>
            <w:vAlign w:val="bottom"/>
            <w:vMerge w:val="restart"/>
          </w:tcPr>
          <w:p>
            <w:pPr>
              <w:spacing w:after="0"/>
              <w:rPr>
                <w:sz w:val="10"/>
                <w:szCs w:val="10"/>
                <w:color w:val="auto"/>
              </w:rPr>
            </w:pPr>
          </w:p>
        </w:tc>
        <w:tc>
          <w:tcPr>
            <w:tcW w:w="60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Stabilized</w:t>
            </w:r>
          </w:p>
        </w:tc>
        <w:tc>
          <w:tcPr>
            <w:tcW w:w="0" w:type="dxa"/>
            <w:vAlign w:val="bottom"/>
          </w:tcPr>
          <w:p>
            <w:pPr>
              <w:spacing w:after="0"/>
              <w:rPr>
                <w:sz w:val="1"/>
                <w:szCs w:val="1"/>
                <w:color w:val="auto"/>
              </w:rPr>
            </w:pPr>
          </w:p>
        </w:tc>
      </w:tr>
      <w:tr>
        <w:trPr>
          <w:trHeight w:val="148"/>
        </w:trPr>
        <w:tc>
          <w:tcPr>
            <w:tcW w:w="4480" w:type="dxa"/>
            <w:vAlign w:val="bottom"/>
            <w:tcBorders>
              <w:bottom w:val="single" w:sz="8" w:color="auto"/>
            </w:tcBorders>
            <w:vMerge w:val="continue"/>
          </w:tcPr>
          <w:p>
            <w:pPr>
              <w:spacing w:after="0"/>
              <w:rPr>
                <w:sz w:val="12"/>
                <w:szCs w:val="12"/>
                <w:color w:val="auto"/>
              </w:rPr>
            </w:pPr>
          </w:p>
        </w:tc>
        <w:tc>
          <w:tcPr>
            <w:tcW w:w="40" w:type="dxa"/>
            <w:vAlign w:val="bottom"/>
            <w:tcBorders>
              <w:bottom w:val="single" w:sz="8" w:color="CCEEFF"/>
            </w:tcBorders>
            <w:vMerge w:val="continue"/>
          </w:tcPr>
          <w:p>
            <w:pPr>
              <w:spacing w:after="0"/>
              <w:rPr>
                <w:sz w:val="12"/>
                <w:szCs w:val="12"/>
                <w:color w:val="auto"/>
              </w:rPr>
            </w:pPr>
          </w:p>
        </w:tc>
        <w:tc>
          <w:tcPr>
            <w:tcW w:w="720" w:type="dxa"/>
            <w:vAlign w:val="bottom"/>
            <w:tcBorders>
              <w:bottom w:val="single" w:sz="8" w:color="auto"/>
            </w:tcBorders>
            <w:vMerge w:val="continue"/>
          </w:tcPr>
          <w:p>
            <w:pPr>
              <w:spacing w:after="0"/>
              <w:rPr>
                <w:sz w:val="12"/>
                <w:szCs w:val="12"/>
                <w:color w:val="auto"/>
              </w:rPr>
            </w:pPr>
          </w:p>
        </w:tc>
        <w:tc>
          <w:tcPr>
            <w:tcW w:w="60" w:type="dxa"/>
            <w:vAlign w:val="bottom"/>
            <w:tcBorders>
              <w:bottom w:val="single" w:sz="8" w:color="CCEEFF"/>
            </w:tcBorders>
            <w:vMerge w:val="continue"/>
          </w:tcPr>
          <w:p>
            <w:pPr>
              <w:spacing w:after="0"/>
              <w:rPr>
                <w:sz w:val="12"/>
                <w:szCs w:val="12"/>
                <w:color w:val="auto"/>
              </w:rPr>
            </w:pPr>
          </w:p>
        </w:tc>
        <w:tc>
          <w:tcPr>
            <w:tcW w:w="760" w:type="dxa"/>
            <w:vAlign w:val="bottom"/>
            <w:tcBorders>
              <w:bottom w:val="single" w:sz="8" w:color="auto"/>
            </w:tcBorders>
            <w:vMerge w:val="continue"/>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vMerge w:val="continue"/>
          </w:tcPr>
          <w:p>
            <w:pPr>
              <w:spacing w:after="0"/>
              <w:rPr>
                <w:sz w:val="12"/>
                <w:szCs w:val="12"/>
                <w:color w:val="auto"/>
              </w:rPr>
            </w:pPr>
          </w:p>
        </w:tc>
        <w:tc>
          <w:tcPr>
            <w:tcW w:w="60" w:type="dxa"/>
            <w:vAlign w:val="bottom"/>
            <w:tcBorders>
              <w:bottom w:val="single" w:sz="8" w:color="CCEEFF"/>
            </w:tcBorders>
            <w:vMerge w:val="continue"/>
          </w:tcPr>
          <w:p>
            <w:pPr>
              <w:spacing w:after="0"/>
              <w:rPr>
                <w:sz w:val="12"/>
                <w:szCs w:val="12"/>
                <w:color w:val="auto"/>
              </w:rPr>
            </w:pPr>
          </w:p>
        </w:tc>
        <w:tc>
          <w:tcPr>
            <w:tcW w:w="740" w:type="dxa"/>
            <w:vAlign w:val="bottom"/>
            <w:tcBorders>
              <w:bottom w:val="single" w:sz="8" w:color="auto"/>
            </w:tcBorders>
            <w:vMerge w:val="continue"/>
          </w:tcPr>
          <w:p>
            <w:pPr>
              <w:spacing w:after="0"/>
              <w:rPr>
                <w:sz w:val="12"/>
                <w:szCs w:val="12"/>
                <w:color w:val="auto"/>
              </w:rPr>
            </w:pPr>
          </w:p>
        </w:tc>
        <w:tc>
          <w:tcPr>
            <w:tcW w:w="60" w:type="dxa"/>
            <w:vAlign w:val="bottom"/>
            <w:tcBorders>
              <w:bottom w:val="single" w:sz="8" w:color="CCEEFF"/>
            </w:tcBorders>
            <w:vMerge w:val="continue"/>
          </w:tcPr>
          <w:p>
            <w:pPr>
              <w:spacing w:after="0"/>
              <w:rPr>
                <w:sz w:val="12"/>
                <w:szCs w:val="12"/>
                <w:color w:val="auto"/>
              </w:rPr>
            </w:pPr>
          </w:p>
        </w:tc>
        <w:tc>
          <w:tcPr>
            <w:tcW w:w="680" w:type="dxa"/>
            <w:vAlign w:val="bottom"/>
            <w:tcBorders>
              <w:bottom w:val="single" w:sz="8" w:color="auto"/>
            </w:tcBorders>
            <w:vMerge w:val="continue"/>
          </w:tcPr>
          <w:p>
            <w:pPr>
              <w:spacing w:after="0"/>
              <w:rPr>
                <w:sz w:val="12"/>
                <w:szCs w:val="12"/>
                <w:color w:val="auto"/>
              </w:rPr>
            </w:pPr>
          </w:p>
        </w:tc>
        <w:tc>
          <w:tcPr>
            <w:tcW w:w="60" w:type="dxa"/>
            <w:vAlign w:val="bottom"/>
            <w:tcBorders>
              <w:bottom w:val="single" w:sz="8" w:color="CCEEFF"/>
            </w:tcBorders>
            <w:vMerge w:val="continue"/>
          </w:tcPr>
          <w:p>
            <w:pPr>
              <w:spacing w:after="0"/>
              <w:rPr>
                <w:sz w:val="12"/>
                <w:szCs w:val="12"/>
                <w:color w:val="auto"/>
              </w:rPr>
            </w:pPr>
          </w:p>
        </w:tc>
        <w:tc>
          <w:tcPr>
            <w:tcW w:w="820" w:type="dxa"/>
            <w:vAlign w:val="bottom"/>
            <w:tcBorders>
              <w:bottom w:val="single" w:sz="8" w:color="auto"/>
            </w:tcBorders>
            <w:gridSpan w:val="2"/>
          </w:tcPr>
          <w:p>
            <w:pPr>
              <w:jc w:val="right"/>
              <w:ind w:right="43"/>
              <w:spacing w:after="0"/>
              <w:rPr>
                <w:sz w:val="20"/>
                <w:szCs w:val="20"/>
                <w:color w:val="auto"/>
              </w:rPr>
            </w:pPr>
            <w:r>
              <w:rPr>
                <w:rFonts w:ascii="Arial" w:cs="Arial" w:eastAsia="Arial" w:hAnsi="Arial"/>
                <w:sz w:val="11"/>
                <w:szCs w:val="11"/>
                <w:b w:val="1"/>
                <w:bCs w:val="1"/>
                <w:color w:val="auto"/>
              </w:rPr>
              <w:t>Negotiating</w:t>
            </w:r>
          </w:p>
        </w:tc>
        <w:tc>
          <w:tcPr>
            <w:tcW w:w="4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vMerge w:val="continue"/>
          </w:tcPr>
          <w:p>
            <w:pPr>
              <w:spacing w:after="0"/>
              <w:rPr>
                <w:sz w:val="12"/>
                <w:szCs w:val="12"/>
                <w:color w:val="auto"/>
              </w:rPr>
            </w:pPr>
          </w:p>
        </w:tc>
        <w:tc>
          <w:tcPr>
            <w:tcW w:w="40" w:type="dxa"/>
            <w:vAlign w:val="bottom"/>
            <w:tcBorders>
              <w:bottom w:val="single" w:sz="8" w:color="CCEEFF"/>
            </w:tcBorders>
            <w:vMerge w:val="continue"/>
          </w:tcPr>
          <w:p>
            <w:pPr>
              <w:spacing w:after="0"/>
              <w:rPr>
                <w:sz w:val="12"/>
                <w:szCs w:val="12"/>
                <w:color w:val="auto"/>
              </w:rPr>
            </w:pPr>
          </w:p>
        </w:tc>
        <w:tc>
          <w:tcPr>
            <w:tcW w:w="6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520" w:type="dxa"/>
            <w:vAlign w:val="bottom"/>
            <w:gridSpan w:val="2"/>
            <w:shd w:val="clear" w:color="auto" w:fill="CCEEFF"/>
          </w:tcPr>
          <w:p>
            <w:pPr>
              <w:ind w:left="40"/>
              <w:spacing w:after="0"/>
              <w:rPr>
                <w:sz w:val="20"/>
                <w:szCs w:val="20"/>
                <w:color w:val="auto"/>
              </w:rPr>
            </w:pPr>
            <w:r>
              <w:rPr>
                <w:rFonts w:ascii="Arial" w:cs="Arial" w:eastAsia="Arial" w:hAnsi="Arial"/>
                <w:sz w:val="11"/>
                <w:szCs w:val="11"/>
                <w:b w:val="1"/>
                <w:bCs w:val="1"/>
                <w:color w:val="auto"/>
              </w:rPr>
              <w:t>Under construction</w:t>
            </w: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520" w:type="dxa"/>
            <w:vAlign w:val="bottom"/>
            <w:gridSpan w:val="2"/>
          </w:tcPr>
          <w:p>
            <w:pPr>
              <w:ind w:left="40"/>
              <w:spacing w:after="0"/>
              <w:rPr>
                <w:sz w:val="20"/>
                <w:szCs w:val="20"/>
                <w:color w:val="auto"/>
              </w:rPr>
            </w:pPr>
            <w:r>
              <w:rPr>
                <w:rFonts w:ascii="Arial" w:cs="Arial" w:eastAsia="Arial" w:hAnsi="Arial"/>
                <w:sz w:val="11"/>
                <w:szCs w:val="11"/>
                <w:color w:val="auto"/>
              </w:rPr>
              <w:t>2024 and 2025 stabilization</w:t>
            </w: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520" w:type="dxa"/>
            <w:vAlign w:val="bottom"/>
            <w:gridSpan w:val="2"/>
            <w:shd w:val="clear" w:color="auto" w:fill="CCEEFF"/>
          </w:tcPr>
          <w:p>
            <w:pPr>
              <w:ind w:left="120"/>
              <w:spacing w:after="0"/>
              <w:rPr>
                <w:sz w:val="20"/>
                <w:szCs w:val="20"/>
                <w:color w:val="auto"/>
              </w:rPr>
            </w:pPr>
            <w:r>
              <w:rPr>
                <w:rFonts w:ascii="Arial" w:cs="Arial" w:eastAsia="Arial" w:hAnsi="Arial"/>
                <w:sz w:val="11"/>
                <w:szCs w:val="11"/>
                <w:color w:val="auto"/>
              </w:rPr>
              <w:t>99 Coolidge Avenue/Greater Boston/Cambridge/Inner Suburbs</w:t>
            </w:r>
          </w:p>
        </w:tc>
        <w:tc>
          <w:tcPr>
            <w:tcW w:w="780" w:type="dxa"/>
            <w:vAlign w:val="bottom"/>
            <w:gridSpan w:val="2"/>
            <w:shd w:val="clear" w:color="auto" w:fill="CCEEFF"/>
          </w:tcPr>
          <w:p>
            <w:pPr>
              <w:jc w:val="center"/>
              <w:ind w:right="20"/>
              <w:spacing w:after="0"/>
              <w:rPr>
                <w:sz w:val="20"/>
                <w:szCs w:val="20"/>
                <w:color w:val="auto"/>
              </w:rPr>
            </w:pPr>
            <w:r>
              <w:rPr>
                <w:rFonts w:ascii="Arial" w:cs="Arial" w:eastAsia="Arial" w:hAnsi="Arial"/>
                <w:sz w:val="11"/>
                <w:szCs w:val="11"/>
                <w:color w:val="auto"/>
              </w:rPr>
              <w:t>Dev</w:t>
            </w:r>
          </w:p>
        </w:tc>
        <w:tc>
          <w:tcPr>
            <w:tcW w:w="7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116,414</w:t>
            </w: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204,395</w:t>
            </w: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320,809</w:t>
            </w: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163"/>
              <w:spacing w:after="0"/>
              <w:rPr>
                <w:sz w:val="20"/>
                <w:szCs w:val="20"/>
                <w:color w:val="auto"/>
              </w:rPr>
            </w:pPr>
            <w:r>
              <w:rPr>
                <w:rFonts w:ascii="Arial" w:cs="Arial" w:eastAsia="Arial" w:hAnsi="Arial"/>
                <w:sz w:val="11"/>
                <w:szCs w:val="11"/>
                <w:color w:val="auto"/>
              </w:rPr>
              <w:t>36%</w:t>
            </w: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36%</w:t>
            </w: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center"/>
              <w:ind w:right="40"/>
              <w:spacing w:after="0"/>
              <w:rPr>
                <w:sz w:val="20"/>
                <w:szCs w:val="20"/>
                <w:color w:val="auto"/>
              </w:rPr>
            </w:pPr>
            <w:r>
              <w:rPr>
                <w:rFonts w:ascii="Arial" w:cs="Arial" w:eastAsia="Arial" w:hAnsi="Arial"/>
                <w:sz w:val="11"/>
                <w:szCs w:val="11"/>
                <w:color w:val="auto"/>
              </w:rPr>
              <w:t>4Q23</w:t>
            </w:r>
          </w:p>
        </w:tc>
        <w:tc>
          <w:tcPr>
            <w:tcW w:w="60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2025</w:t>
            </w:r>
          </w:p>
        </w:tc>
        <w:tc>
          <w:tcPr>
            <w:tcW w:w="0" w:type="dxa"/>
            <w:vAlign w:val="bottom"/>
          </w:tcPr>
          <w:p>
            <w:pPr>
              <w:spacing w:after="0"/>
              <w:rPr>
                <w:sz w:val="1"/>
                <w:szCs w:val="1"/>
                <w:color w:val="auto"/>
              </w:rPr>
            </w:pPr>
          </w:p>
        </w:tc>
      </w:tr>
      <w:tr>
        <w:trPr>
          <w:trHeight w:val="155"/>
        </w:trPr>
        <w:tc>
          <w:tcPr>
            <w:tcW w:w="4520" w:type="dxa"/>
            <w:vAlign w:val="bottom"/>
            <w:gridSpan w:val="2"/>
          </w:tcPr>
          <w:p>
            <w:pPr>
              <w:ind w:left="120"/>
              <w:spacing w:after="0"/>
              <w:rPr>
                <w:sz w:val="20"/>
                <w:szCs w:val="20"/>
                <w:color w:val="auto"/>
              </w:rPr>
            </w:pPr>
            <w:r>
              <w:rPr>
                <w:rFonts w:ascii="Arial" w:cs="Arial" w:eastAsia="Arial" w:hAnsi="Arial"/>
                <w:sz w:val="11"/>
                <w:szCs w:val="11"/>
                <w:color w:val="auto"/>
              </w:rPr>
              <w:t>500 North Beacon Street and 4 Kingsbury Avenue/Greater Boston/</w:t>
            </w: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520" w:type="dxa"/>
            <w:vAlign w:val="bottom"/>
            <w:gridSpan w:val="2"/>
          </w:tcPr>
          <w:p>
            <w:pPr>
              <w:ind w:left="240"/>
              <w:spacing w:after="0"/>
              <w:rPr>
                <w:sz w:val="20"/>
                <w:szCs w:val="20"/>
                <w:color w:val="auto"/>
              </w:rPr>
            </w:pPr>
            <w:r>
              <w:rPr>
                <w:rFonts w:ascii="Arial" w:cs="Arial" w:eastAsia="Arial" w:hAnsi="Arial"/>
                <w:sz w:val="11"/>
                <w:szCs w:val="11"/>
                <w:color w:val="auto"/>
              </w:rPr>
              <w:t>Cambridge/Inner Suburbs</w:t>
            </w:r>
          </w:p>
        </w:tc>
        <w:tc>
          <w:tcPr>
            <w:tcW w:w="780" w:type="dxa"/>
            <w:vAlign w:val="bottom"/>
            <w:gridSpan w:val="2"/>
          </w:tcPr>
          <w:p>
            <w:pPr>
              <w:jc w:val="center"/>
              <w:ind w:right="20"/>
              <w:spacing w:after="0"/>
              <w:rPr>
                <w:sz w:val="20"/>
                <w:szCs w:val="20"/>
                <w:color w:val="auto"/>
              </w:rPr>
            </w:pPr>
            <w:r>
              <w:rPr>
                <w:rFonts w:ascii="Arial" w:cs="Arial" w:eastAsia="Arial" w:hAnsi="Arial"/>
                <w:sz w:val="11"/>
                <w:szCs w:val="11"/>
                <w:color w:val="auto"/>
              </w:rPr>
              <w:t>Dev</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138,537</w:t>
            </w:r>
          </w:p>
        </w:tc>
        <w:tc>
          <w:tcPr>
            <w:tcW w:w="1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109,481</w:t>
            </w:r>
          </w:p>
        </w:tc>
        <w:tc>
          <w:tcPr>
            <w:tcW w:w="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248,018</w:t>
            </w:r>
          </w:p>
        </w:tc>
        <w:tc>
          <w:tcPr>
            <w:tcW w:w="60" w:type="dxa"/>
            <w:vAlign w:val="bottom"/>
          </w:tcPr>
          <w:p>
            <w:pPr>
              <w:spacing w:after="0"/>
              <w:rPr>
                <w:sz w:val="12"/>
                <w:szCs w:val="12"/>
                <w:color w:val="auto"/>
              </w:rPr>
            </w:pPr>
          </w:p>
        </w:tc>
        <w:tc>
          <w:tcPr>
            <w:tcW w:w="680" w:type="dxa"/>
            <w:vAlign w:val="bottom"/>
          </w:tcPr>
          <w:p>
            <w:pPr>
              <w:jc w:val="right"/>
              <w:ind w:right="263"/>
              <w:spacing w:after="0"/>
              <w:rPr>
                <w:sz w:val="20"/>
                <w:szCs w:val="20"/>
                <w:color w:val="auto"/>
              </w:rPr>
            </w:pPr>
            <w:r>
              <w:rPr>
                <w:rFonts w:ascii="Arial" w:cs="Arial" w:eastAsia="Arial" w:hAnsi="Arial"/>
                <w:sz w:val="11"/>
                <w:szCs w:val="11"/>
                <w:color w:val="auto"/>
              </w:rPr>
              <w:t>85</w:t>
            </w:r>
          </w:p>
        </w:tc>
        <w:tc>
          <w:tcPr>
            <w:tcW w:w="60" w:type="dxa"/>
            <w:vAlign w:val="bottom"/>
          </w:tcPr>
          <w:p>
            <w:pPr>
              <w:spacing w:after="0"/>
              <w:rPr>
                <w:sz w:val="12"/>
                <w:szCs w:val="12"/>
                <w:color w:val="auto"/>
              </w:rPr>
            </w:pPr>
          </w:p>
        </w:tc>
        <w:tc>
          <w:tcPr>
            <w:tcW w:w="660" w:type="dxa"/>
            <w:vAlign w:val="bottom"/>
          </w:tcPr>
          <w:p>
            <w:pPr>
              <w:jc w:val="right"/>
              <w:ind w:right="103"/>
              <w:spacing w:after="0"/>
              <w:rPr>
                <w:sz w:val="20"/>
                <w:szCs w:val="20"/>
                <w:color w:val="auto"/>
              </w:rPr>
            </w:pPr>
            <w:r>
              <w:rPr>
                <w:rFonts w:ascii="Arial" w:cs="Arial" w:eastAsia="Arial" w:hAnsi="Arial"/>
                <w:sz w:val="11"/>
                <w:szCs w:val="11"/>
                <w:color w:val="auto"/>
              </w:rPr>
              <w:t>92</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2"/>
          </w:tcPr>
          <w:p>
            <w:pPr>
              <w:jc w:val="center"/>
              <w:ind w:right="40"/>
              <w:spacing w:after="0"/>
              <w:rPr>
                <w:sz w:val="20"/>
                <w:szCs w:val="20"/>
                <w:color w:val="auto"/>
              </w:rPr>
            </w:pPr>
            <w:r>
              <w:rPr>
                <w:rFonts w:ascii="Arial" w:cs="Arial" w:eastAsia="Arial" w:hAnsi="Arial"/>
                <w:sz w:val="11"/>
                <w:szCs w:val="11"/>
                <w:color w:val="auto"/>
              </w:rPr>
              <w:t>1Q24</w:t>
            </w:r>
          </w:p>
        </w:tc>
        <w:tc>
          <w:tcPr>
            <w:tcW w:w="600" w:type="dxa"/>
            <w:vAlign w:val="bottom"/>
          </w:tcPr>
          <w:p>
            <w:pPr>
              <w:jc w:val="center"/>
              <w:spacing w:after="0"/>
              <w:rPr>
                <w:sz w:val="20"/>
                <w:szCs w:val="20"/>
                <w:color w:val="auto"/>
              </w:rPr>
            </w:pPr>
            <w:r>
              <w:rPr>
                <w:rFonts w:ascii="Arial" w:cs="Arial" w:eastAsia="Arial" w:hAnsi="Arial"/>
                <w:sz w:val="11"/>
                <w:szCs w:val="11"/>
                <w:color w:val="auto"/>
              </w:rPr>
              <w:t>2025</w:t>
            </w:r>
          </w:p>
        </w:tc>
        <w:tc>
          <w:tcPr>
            <w:tcW w:w="0" w:type="dxa"/>
            <w:vAlign w:val="bottom"/>
          </w:tcPr>
          <w:p>
            <w:pPr>
              <w:spacing w:after="0"/>
              <w:rPr>
                <w:sz w:val="1"/>
                <w:szCs w:val="1"/>
                <w:color w:val="auto"/>
              </w:rPr>
            </w:pPr>
          </w:p>
        </w:tc>
      </w:tr>
      <w:tr>
        <w:trPr>
          <w:trHeight w:val="161"/>
        </w:trPr>
        <w:tc>
          <w:tcPr>
            <w:tcW w:w="4520" w:type="dxa"/>
            <w:vAlign w:val="bottom"/>
            <w:gridSpan w:val="2"/>
            <w:shd w:val="clear" w:color="auto" w:fill="CCEEFF"/>
          </w:tcPr>
          <w:p>
            <w:pPr>
              <w:ind w:left="120"/>
              <w:spacing w:after="0"/>
              <w:rPr>
                <w:sz w:val="20"/>
                <w:szCs w:val="20"/>
                <w:color w:val="auto"/>
              </w:rPr>
            </w:pPr>
            <w:r>
              <w:rPr>
                <w:rFonts w:ascii="Arial" w:cs="Arial" w:eastAsia="Arial" w:hAnsi="Arial"/>
                <w:sz w:val="11"/>
                <w:szCs w:val="11"/>
                <w:color w:val="auto"/>
              </w:rPr>
              <w:t>201 Brookline Avenue/Greater Boston/Fenway</w:t>
            </w:r>
          </w:p>
        </w:tc>
        <w:tc>
          <w:tcPr>
            <w:tcW w:w="780" w:type="dxa"/>
            <w:vAlign w:val="bottom"/>
            <w:gridSpan w:val="2"/>
            <w:shd w:val="clear" w:color="auto" w:fill="CCEEFF"/>
          </w:tcPr>
          <w:p>
            <w:pPr>
              <w:jc w:val="center"/>
              <w:ind w:right="20"/>
              <w:spacing w:after="0"/>
              <w:rPr>
                <w:sz w:val="20"/>
                <w:szCs w:val="20"/>
                <w:color w:val="auto"/>
              </w:rPr>
            </w:pPr>
            <w:r>
              <w:rPr>
                <w:rFonts w:ascii="Arial" w:cs="Arial" w:eastAsia="Arial" w:hAnsi="Arial"/>
                <w:sz w:val="11"/>
                <w:szCs w:val="11"/>
                <w:color w:val="auto"/>
              </w:rPr>
              <w:t>Dev</w:t>
            </w:r>
          </w:p>
        </w:tc>
        <w:tc>
          <w:tcPr>
            <w:tcW w:w="7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451,967</w:t>
            </w: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58,149</w:t>
            </w: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510,116</w:t>
            </w: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263"/>
              <w:spacing w:after="0"/>
              <w:rPr>
                <w:sz w:val="20"/>
                <w:szCs w:val="20"/>
                <w:color w:val="auto"/>
              </w:rPr>
            </w:pPr>
            <w:r>
              <w:rPr>
                <w:rFonts w:ascii="Arial" w:cs="Arial" w:eastAsia="Arial" w:hAnsi="Arial"/>
                <w:sz w:val="11"/>
                <w:szCs w:val="11"/>
                <w:color w:val="auto"/>
              </w:rPr>
              <w:t>98</w:t>
            </w: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99</w:t>
            </w: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center"/>
              <w:ind w:right="40"/>
              <w:spacing w:after="0"/>
              <w:rPr>
                <w:sz w:val="20"/>
                <w:szCs w:val="20"/>
                <w:color w:val="auto"/>
              </w:rPr>
            </w:pPr>
            <w:r>
              <w:rPr>
                <w:rFonts w:ascii="Arial" w:cs="Arial" w:eastAsia="Arial" w:hAnsi="Arial"/>
                <w:sz w:val="11"/>
                <w:szCs w:val="11"/>
                <w:color w:val="auto"/>
              </w:rPr>
              <w:t>3Q22</w:t>
            </w:r>
          </w:p>
        </w:tc>
        <w:tc>
          <w:tcPr>
            <w:tcW w:w="60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4Q24</w:t>
            </w:r>
          </w:p>
        </w:tc>
        <w:tc>
          <w:tcPr>
            <w:tcW w:w="0" w:type="dxa"/>
            <w:vAlign w:val="bottom"/>
          </w:tcPr>
          <w:p>
            <w:pPr>
              <w:spacing w:after="0"/>
              <w:rPr>
                <w:sz w:val="1"/>
                <w:szCs w:val="1"/>
                <w:color w:val="auto"/>
              </w:rPr>
            </w:pPr>
          </w:p>
        </w:tc>
      </w:tr>
      <w:tr>
        <w:trPr>
          <w:trHeight w:val="161"/>
        </w:trPr>
        <w:tc>
          <w:tcPr>
            <w:tcW w:w="4520" w:type="dxa"/>
            <w:vAlign w:val="bottom"/>
            <w:gridSpan w:val="2"/>
          </w:tcPr>
          <w:p>
            <w:pPr>
              <w:ind w:left="120"/>
              <w:spacing w:after="0"/>
              <w:rPr>
                <w:sz w:val="20"/>
                <w:szCs w:val="20"/>
                <w:color w:val="auto"/>
              </w:rPr>
            </w:pPr>
            <w:r>
              <w:rPr>
                <w:rFonts w:ascii="Arial" w:cs="Arial" w:eastAsia="Arial" w:hAnsi="Arial"/>
                <w:sz w:val="11"/>
                <w:szCs w:val="11"/>
                <w:color w:val="auto"/>
              </w:rPr>
              <w:t>840 Winter Street/Greater Boston/Route 128</w:t>
            </w:r>
          </w:p>
        </w:tc>
        <w:tc>
          <w:tcPr>
            <w:tcW w:w="780" w:type="dxa"/>
            <w:vAlign w:val="bottom"/>
            <w:gridSpan w:val="2"/>
          </w:tcPr>
          <w:p>
            <w:pPr>
              <w:jc w:val="center"/>
              <w:ind w:right="20"/>
              <w:spacing w:after="0"/>
              <w:rPr>
                <w:sz w:val="20"/>
                <w:szCs w:val="20"/>
                <w:color w:val="auto"/>
              </w:rPr>
            </w:pPr>
            <w:r>
              <w:rPr>
                <w:rFonts w:ascii="Arial" w:cs="Arial" w:eastAsia="Arial" w:hAnsi="Arial"/>
                <w:sz w:val="11"/>
                <w:szCs w:val="11"/>
                <w:color w:val="auto"/>
              </w:rPr>
              <w:t>Redev</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28,534</w:t>
            </w: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139,680</w:t>
            </w: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168,214</w:t>
            </w:r>
          </w:p>
        </w:tc>
        <w:tc>
          <w:tcPr>
            <w:tcW w:w="60" w:type="dxa"/>
            <w:vAlign w:val="bottom"/>
          </w:tcPr>
          <w:p>
            <w:pPr>
              <w:spacing w:after="0"/>
              <w:rPr>
                <w:sz w:val="14"/>
                <w:szCs w:val="14"/>
                <w:color w:val="auto"/>
              </w:rPr>
            </w:pPr>
          </w:p>
        </w:tc>
        <w:tc>
          <w:tcPr>
            <w:tcW w:w="680" w:type="dxa"/>
            <w:vAlign w:val="bottom"/>
          </w:tcPr>
          <w:p>
            <w:pPr>
              <w:jc w:val="right"/>
              <w:ind w:right="263"/>
              <w:spacing w:after="0"/>
              <w:rPr>
                <w:sz w:val="20"/>
                <w:szCs w:val="20"/>
                <w:color w:val="auto"/>
              </w:rPr>
            </w:pPr>
            <w:r>
              <w:rPr>
                <w:rFonts w:ascii="Arial" w:cs="Arial" w:eastAsia="Arial" w:hAnsi="Arial"/>
                <w:sz w:val="11"/>
                <w:szCs w:val="11"/>
                <w:color w:val="auto"/>
              </w:rPr>
              <w:t>100</w:t>
            </w:r>
          </w:p>
        </w:tc>
        <w:tc>
          <w:tcPr>
            <w:tcW w:w="60" w:type="dxa"/>
            <w:vAlign w:val="bottom"/>
          </w:tcPr>
          <w:p>
            <w:pPr>
              <w:spacing w:after="0"/>
              <w:rPr>
                <w:sz w:val="14"/>
                <w:szCs w:val="14"/>
                <w:color w:val="auto"/>
              </w:rPr>
            </w:pPr>
          </w:p>
        </w:tc>
        <w:tc>
          <w:tcPr>
            <w:tcW w:w="660" w:type="dxa"/>
            <w:vAlign w:val="bottom"/>
          </w:tcPr>
          <w:p>
            <w:pPr>
              <w:jc w:val="right"/>
              <w:ind w:right="103"/>
              <w:spacing w:after="0"/>
              <w:rPr>
                <w:sz w:val="20"/>
                <w:szCs w:val="20"/>
                <w:color w:val="auto"/>
              </w:rPr>
            </w:pPr>
            <w:r>
              <w:rPr>
                <w:rFonts w:ascii="Arial" w:cs="Arial" w:eastAsia="Arial" w:hAnsi="Arial"/>
                <w:sz w:val="11"/>
                <w:szCs w:val="11"/>
                <w:color w:val="auto"/>
              </w:rPr>
              <w:t>100</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jc w:val="center"/>
              <w:ind w:right="40"/>
              <w:spacing w:after="0"/>
              <w:rPr>
                <w:sz w:val="20"/>
                <w:szCs w:val="20"/>
                <w:color w:val="auto"/>
              </w:rPr>
            </w:pPr>
            <w:r>
              <w:rPr>
                <w:rFonts w:ascii="Arial" w:cs="Arial" w:eastAsia="Arial" w:hAnsi="Arial"/>
                <w:sz w:val="11"/>
                <w:szCs w:val="11"/>
                <w:color w:val="auto"/>
              </w:rPr>
              <w:t>4Q24</w:t>
            </w:r>
          </w:p>
        </w:tc>
        <w:tc>
          <w:tcPr>
            <w:tcW w:w="600" w:type="dxa"/>
            <w:vAlign w:val="bottom"/>
          </w:tcPr>
          <w:p>
            <w:pPr>
              <w:jc w:val="center"/>
              <w:spacing w:after="0"/>
              <w:rPr>
                <w:sz w:val="20"/>
                <w:szCs w:val="20"/>
                <w:color w:val="auto"/>
              </w:rPr>
            </w:pPr>
            <w:r>
              <w:rPr>
                <w:rFonts w:ascii="Arial" w:cs="Arial" w:eastAsia="Arial" w:hAnsi="Arial"/>
                <w:sz w:val="11"/>
                <w:szCs w:val="11"/>
                <w:color w:val="auto"/>
              </w:rPr>
              <w:t>2025</w:t>
            </w:r>
          </w:p>
        </w:tc>
        <w:tc>
          <w:tcPr>
            <w:tcW w:w="0" w:type="dxa"/>
            <w:vAlign w:val="bottom"/>
          </w:tcPr>
          <w:p>
            <w:pPr>
              <w:spacing w:after="0"/>
              <w:rPr>
                <w:sz w:val="1"/>
                <w:szCs w:val="1"/>
                <w:color w:val="auto"/>
              </w:rPr>
            </w:pPr>
          </w:p>
        </w:tc>
      </w:tr>
      <w:tr>
        <w:trPr>
          <w:trHeight w:val="161"/>
        </w:trPr>
        <w:tc>
          <w:tcPr>
            <w:tcW w:w="4520" w:type="dxa"/>
            <w:vAlign w:val="bottom"/>
            <w:gridSpan w:val="2"/>
            <w:shd w:val="clear" w:color="auto" w:fill="CCEEFF"/>
          </w:tcPr>
          <w:p>
            <w:pPr>
              <w:ind w:left="120"/>
              <w:spacing w:after="0"/>
              <w:rPr>
                <w:sz w:val="20"/>
                <w:szCs w:val="20"/>
                <w:color w:val="auto"/>
              </w:rPr>
            </w:pPr>
            <w:r>
              <w:rPr>
                <w:rFonts w:ascii="Arial" w:cs="Arial" w:eastAsia="Arial" w:hAnsi="Arial"/>
                <w:sz w:val="11"/>
                <w:szCs w:val="11"/>
                <w:color w:val="auto"/>
              </w:rPr>
              <w:t>230 Harriet Tubman Way/San Francisco Bay Area/South San Francisco</w:t>
            </w:r>
          </w:p>
        </w:tc>
        <w:tc>
          <w:tcPr>
            <w:tcW w:w="780" w:type="dxa"/>
            <w:vAlign w:val="bottom"/>
            <w:gridSpan w:val="2"/>
            <w:shd w:val="clear" w:color="auto" w:fill="CCEEFF"/>
          </w:tcPr>
          <w:p>
            <w:pPr>
              <w:jc w:val="center"/>
              <w:ind w:right="20"/>
              <w:spacing w:after="0"/>
              <w:rPr>
                <w:sz w:val="20"/>
                <w:szCs w:val="20"/>
                <w:color w:val="auto"/>
              </w:rPr>
            </w:pPr>
            <w:r>
              <w:rPr>
                <w:rFonts w:ascii="Arial" w:cs="Arial" w:eastAsia="Arial" w:hAnsi="Arial"/>
                <w:sz w:val="11"/>
                <w:szCs w:val="11"/>
                <w:color w:val="auto"/>
              </w:rPr>
              <w:t>Dev</w:t>
            </w:r>
          </w:p>
        </w:tc>
        <w:tc>
          <w:tcPr>
            <w:tcW w:w="7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285,346</w:t>
            </w: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285,346</w:t>
            </w: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263"/>
              <w:spacing w:after="0"/>
              <w:rPr>
                <w:sz w:val="20"/>
                <w:szCs w:val="20"/>
                <w:color w:val="auto"/>
              </w:rPr>
            </w:pPr>
            <w:r>
              <w:rPr>
                <w:rFonts w:ascii="Arial" w:cs="Arial" w:eastAsia="Arial" w:hAnsi="Arial"/>
                <w:sz w:val="11"/>
                <w:szCs w:val="11"/>
                <w:color w:val="auto"/>
              </w:rPr>
              <w:t>100</w:t>
            </w: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100</w:t>
            </w: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center"/>
              <w:ind w:right="40"/>
              <w:spacing w:after="0"/>
              <w:rPr>
                <w:sz w:val="20"/>
                <w:szCs w:val="20"/>
                <w:color w:val="auto"/>
              </w:rPr>
            </w:pPr>
            <w:r>
              <w:rPr>
                <w:rFonts w:ascii="Arial" w:cs="Arial" w:eastAsia="Arial" w:hAnsi="Arial"/>
                <w:sz w:val="11"/>
                <w:szCs w:val="11"/>
                <w:color w:val="auto"/>
              </w:rPr>
              <w:t>1Q25</w:t>
            </w:r>
          </w:p>
        </w:tc>
        <w:tc>
          <w:tcPr>
            <w:tcW w:w="60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1Q25</w:t>
            </w:r>
          </w:p>
        </w:tc>
        <w:tc>
          <w:tcPr>
            <w:tcW w:w="0" w:type="dxa"/>
            <w:vAlign w:val="bottom"/>
          </w:tcPr>
          <w:p>
            <w:pPr>
              <w:spacing w:after="0"/>
              <w:rPr>
                <w:sz w:val="1"/>
                <w:szCs w:val="1"/>
                <w:color w:val="auto"/>
              </w:rPr>
            </w:pPr>
          </w:p>
        </w:tc>
      </w:tr>
      <w:tr>
        <w:trPr>
          <w:trHeight w:val="161"/>
        </w:trPr>
        <w:tc>
          <w:tcPr>
            <w:tcW w:w="4520" w:type="dxa"/>
            <w:vAlign w:val="bottom"/>
            <w:gridSpan w:val="2"/>
          </w:tcPr>
          <w:p>
            <w:pPr>
              <w:ind w:left="120"/>
              <w:spacing w:after="0"/>
              <w:rPr>
                <w:sz w:val="20"/>
                <w:szCs w:val="20"/>
                <w:color w:val="auto"/>
              </w:rPr>
            </w:pPr>
            <w:r>
              <w:rPr>
                <w:rFonts w:ascii="Arial" w:cs="Arial" w:eastAsia="Arial" w:hAnsi="Arial"/>
                <w:sz w:val="11"/>
                <w:szCs w:val="11"/>
                <w:color w:val="auto"/>
              </w:rPr>
              <w:t>4155 Campus Point Court/San Diego/University Town Center</w:t>
            </w:r>
          </w:p>
        </w:tc>
        <w:tc>
          <w:tcPr>
            <w:tcW w:w="780" w:type="dxa"/>
            <w:vAlign w:val="bottom"/>
            <w:gridSpan w:val="2"/>
          </w:tcPr>
          <w:p>
            <w:pPr>
              <w:jc w:val="center"/>
              <w:ind w:right="20"/>
              <w:spacing w:after="0"/>
              <w:rPr>
                <w:sz w:val="20"/>
                <w:szCs w:val="20"/>
                <w:color w:val="auto"/>
              </w:rPr>
            </w:pPr>
            <w:r>
              <w:rPr>
                <w:rFonts w:ascii="Arial" w:cs="Arial" w:eastAsia="Arial" w:hAnsi="Arial"/>
                <w:sz w:val="11"/>
                <w:szCs w:val="11"/>
                <w:color w:val="auto"/>
              </w:rPr>
              <w:t>Dev</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171,102</w:t>
            </w: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171,102</w:t>
            </w:r>
          </w:p>
        </w:tc>
        <w:tc>
          <w:tcPr>
            <w:tcW w:w="60" w:type="dxa"/>
            <w:vAlign w:val="bottom"/>
          </w:tcPr>
          <w:p>
            <w:pPr>
              <w:spacing w:after="0"/>
              <w:rPr>
                <w:sz w:val="14"/>
                <w:szCs w:val="14"/>
                <w:color w:val="auto"/>
              </w:rPr>
            </w:pPr>
          </w:p>
        </w:tc>
        <w:tc>
          <w:tcPr>
            <w:tcW w:w="680" w:type="dxa"/>
            <w:vAlign w:val="bottom"/>
          </w:tcPr>
          <w:p>
            <w:pPr>
              <w:jc w:val="right"/>
              <w:ind w:right="263"/>
              <w:spacing w:after="0"/>
              <w:rPr>
                <w:sz w:val="20"/>
                <w:szCs w:val="20"/>
                <w:color w:val="auto"/>
              </w:rPr>
            </w:pPr>
            <w:r>
              <w:rPr>
                <w:rFonts w:ascii="Arial" w:cs="Arial" w:eastAsia="Arial" w:hAnsi="Arial"/>
                <w:sz w:val="11"/>
                <w:szCs w:val="11"/>
                <w:color w:val="auto"/>
              </w:rPr>
              <w:t>100</w:t>
            </w:r>
          </w:p>
        </w:tc>
        <w:tc>
          <w:tcPr>
            <w:tcW w:w="60" w:type="dxa"/>
            <w:vAlign w:val="bottom"/>
          </w:tcPr>
          <w:p>
            <w:pPr>
              <w:spacing w:after="0"/>
              <w:rPr>
                <w:sz w:val="14"/>
                <w:szCs w:val="14"/>
                <w:color w:val="auto"/>
              </w:rPr>
            </w:pPr>
          </w:p>
        </w:tc>
        <w:tc>
          <w:tcPr>
            <w:tcW w:w="660" w:type="dxa"/>
            <w:vAlign w:val="bottom"/>
          </w:tcPr>
          <w:p>
            <w:pPr>
              <w:jc w:val="right"/>
              <w:ind w:right="103"/>
              <w:spacing w:after="0"/>
              <w:rPr>
                <w:sz w:val="20"/>
                <w:szCs w:val="20"/>
                <w:color w:val="auto"/>
              </w:rPr>
            </w:pPr>
            <w:r>
              <w:rPr>
                <w:rFonts w:ascii="Arial" w:cs="Arial" w:eastAsia="Arial" w:hAnsi="Arial"/>
                <w:sz w:val="11"/>
                <w:szCs w:val="11"/>
                <w:color w:val="auto"/>
              </w:rPr>
              <w:t>100</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jc w:val="center"/>
              <w:ind w:right="40"/>
              <w:spacing w:after="0"/>
              <w:rPr>
                <w:sz w:val="20"/>
                <w:szCs w:val="20"/>
                <w:color w:val="auto"/>
              </w:rPr>
            </w:pPr>
            <w:r>
              <w:rPr>
                <w:rFonts w:ascii="Arial" w:cs="Arial" w:eastAsia="Arial" w:hAnsi="Arial"/>
                <w:sz w:val="11"/>
                <w:szCs w:val="11"/>
                <w:color w:val="auto"/>
              </w:rPr>
              <w:t>4Q24</w:t>
            </w:r>
          </w:p>
        </w:tc>
        <w:tc>
          <w:tcPr>
            <w:tcW w:w="600" w:type="dxa"/>
            <w:vAlign w:val="bottom"/>
          </w:tcPr>
          <w:p>
            <w:pPr>
              <w:jc w:val="center"/>
              <w:spacing w:after="0"/>
              <w:rPr>
                <w:sz w:val="20"/>
                <w:szCs w:val="20"/>
                <w:color w:val="auto"/>
              </w:rPr>
            </w:pPr>
            <w:r>
              <w:rPr>
                <w:rFonts w:ascii="Arial" w:cs="Arial" w:eastAsia="Arial" w:hAnsi="Arial"/>
                <w:sz w:val="11"/>
                <w:szCs w:val="11"/>
                <w:color w:val="auto"/>
              </w:rPr>
              <w:t>4Q24</w:t>
            </w:r>
          </w:p>
        </w:tc>
        <w:tc>
          <w:tcPr>
            <w:tcW w:w="0" w:type="dxa"/>
            <w:vAlign w:val="bottom"/>
          </w:tcPr>
          <w:p>
            <w:pPr>
              <w:spacing w:after="0"/>
              <w:rPr>
                <w:sz w:val="1"/>
                <w:szCs w:val="1"/>
                <w:color w:val="auto"/>
              </w:rPr>
            </w:pPr>
          </w:p>
        </w:tc>
      </w:tr>
      <w:tr>
        <w:trPr>
          <w:trHeight w:val="161"/>
        </w:trPr>
        <w:tc>
          <w:tcPr>
            <w:tcW w:w="4520" w:type="dxa"/>
            <w:vAlign w:val="bottom"/>
            <w:gridSpan w:val="2"/>
            <w:shd w:val="clear" w:color="auto" w:fill="CCEEFF"/>
          </w:tcPr>
          <w:p>
            <w:pPr>
              <w:ind w:left="120"/>
              <w:spacing w:after="0"/>
              <w:rPr>
                <w:sz w:val="20"/>
                <w:szCs w:val="20"/>
                <w:color w:val="auto"/>
              </w:rPr>
            </w:pPr>
            <w:r>
              <w:rPr>
                <w:rFonts w:ascii="Arial" w:cs="Arial" w:eastAsia="Arial" w:hAnsi="Arial"/>
                <w:sz w:val="11"/>
                <w:szCs w:val="11"/>
                <w:color w:val="auto"/>
              </w:rPr>
              <w:t>1150 Eastlake Avenue East/Seattle/Lake Union</w:t>
            </w:r>
          </w:p>
        </w:tc>
        <w:tc>
          <w:tcPr>
            <w:tcW w:w="780" w:type="dxa"/>
            <w:vAlign w:val="bottom"/>
            <w:gridSpan w:val="2"/>
            <w:shd w:val="clear" w:color="auto" w:fill="CCEEFF"/>
          </w:tcPr>
          <w:p>
            <w:pPr>
              <w:jc w:val="center"/>
              <w:ind w:right="20"/>
              <w:spacing w:after="0"/>
              <w:rPr>
                <w:sz w:val="20"/>
                <w:szCs w:val="20"/>
                <w:color w:val="auto"/>
              </w:rPr>
            </w:pPr>
            <w:r>
              <w:rPr>
                <w:rFonts w:ascii="Arial" w:cs="Arial" w:eastAsia="Arial" w:hAnsi="Arial"/>
                <w:sz w:val="11"/>
                <w:szCs w:val="11"/>
                <w:color w:val="auto"/>
              </w:rPr>
              <w:t>Dev</w:t>
            </w:r>
          </w:p>
        </w:tc>
        <w:tc>
          <w:tcPr>
            <w:tcW w:w="7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280,361</w:t>
            </w: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31,270</w:t>
            </w: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311,631</w:t>
            </w: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263"/>
              <w:spacing w:after="0"/>
              <w:rPr>
                <w:sz w:val="20"/>
                <w:szCs w:val="20"/>
                <w:color w:val="auto"/>
              </w:rPr>
            </w:pPr>
            <w:r>
              <w:rPr>
                <w:rFonts w:ascii="Arial" w:cs="Arial" w:eastAsia="Arial" w:hAnsi="Arial"/>
                <w:sz w:val="11"/>
                <w:szCs w:val="11"/>
                <w:color w:val="auto"/>
              </w:rPr>
              <w:t>100</w:t>
            </w: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100</w:t>
            </w: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center"/>
              <w:ind w:right="40"/>
              <w:spacing w:after="0"/>
              <w:rPr>
                <w:sz w:val="20"/>
                <w:szCs w:val="20"/>
                <w:color w:val="auto"/>
              </w:rPr>
            </w:pPr>
            <w:r>
              <w:rPr>
                <w:rFonts w:ascii="Arial" w:cs="Arial" w:eastAsia="Arial" w:hAnsi="Arial"/>
                <w:sz w:val="11"/>
                <w:szCs w:val="11"/>
                <w:color w:val="auto"/>
              </w:rPr>
              <w:t>4Q23</w:t>
            </w:r>
          </w:p>
        </w:tc>
        <w:tc>
          <w:tcPr>
            <w:tcW w:w="60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3Q24</w:t>
            </w:r>
          </w:p>
        </w:tc>
        <w:tc>
          <w:tcPr>
            <w:tcW w:w="0" w:type="dxa"/>
            <w:vAlign w:val="bottom"/>
          </w:tcPr>
          <w:p>
            <w:pPr>
              <w:spacing w:after="0"/>
              <w:rPr>
                <w:sz w:val="1"/>
                <w:szCs w:val="1"/>
                <w:color w:val="auto"/>
              </w:rPr>
            </w:pPr>
          </w:p>
        </w:tc>
      </w:tr>
      <w:tr>
        <w:trPr>
          <w:trHeight w:val="161"/>
        </w:trPr>
        <w:tc>
          <w:tcPr>
            <w:tcW w:w="4520" w:type="dxa"/>
            <w:vAlign w:val="bottom"/>
            <w:gridSpan w:val="2"/>
          </w:tcPr>
          <w:p>
            <w:pPr>
              <w:ind w:left="120"/>
              <w:spacing w:after="0"/>
              <w:rPr>
                <w:sz w:val="20"/>
                <w:szCs w:val="20"/>
                <w:color w:val="auto"/>
              </w:rPr>
            </w:pPr>
            <w:r>
              <w:rPr>
                <w:rFonts w:ascii="Arial" w:cs="Arial" w:eastAsia="Arial" w:hAnsi="Arial"/>
                <w:sz w:val="11"/>
                <w:szCs w:val="11"/>
                <w:color w:val="auto"/>
              </w:rPr>
              <w:t>Alexandria Center</w:t>
            </w:r>
            <w:r>
              <w:rPr>
                <w:rFonts w:ascii="Arial" w:cs="Arial" w:eastAsia="Arial" w:hAnsi="Arial"/>
                <w:sz w:val="14"/>
                <w:szCs w:val="14"/>
                <w:color w:val="auto"/>
                <w:vertAlign w:val="superscript"/>
              </w:rPr>
              <w:t>®</w:t>
            </w:r>
            <w:r>
              <w:rPr>
                <w:rFonts w:ascii="Arial" w:cs="Arial" w:eastAsia="Arial" w:hAnsi="Arial"/>
                <w:sz w:val="11"/>
                <w:szCs w:val="11"/>
                <w:color w:val="auto"/>
              </w:rPr>
              <w:t xml:space="preserve"> for Advanced Technologies – Monte Villa Parkway/Seattle/Bothell</w:t>
            </w:r>
          </w:p>
        </w:tc>
        <w:tc>
          <w:tcPr>
            <w:tcW w:w="780" w:type="dxa"/>
            <w:vAlign w:val="bottom"/>
            <w:gridSpan w:val="2"/>
          </w:tcPr>
          <w:p>
            <w:pPr>
              <w:jc w:val="center"/>
              <w:ind w:right="20"/>
              <w:spacing w:after="0"/>
              <w:rPr>
                <w:sz w:val="20"/>
                <w:szCs w:val="20"/>
                <w:color w:val="auto"/>
              </w:rPr>
            </w:pPr>
            <w:r>
              <w:rPr>
                <w:rFonts w:ascii="Arial" w:cs="Arial" w:eastAsia="Arial" w:hAnsi="Arial"/>
                <w:sz w:val="11"/>
                <w:szCs w:val="11"/>
                <w:color w:val="auto"/>
              </w:rPr>
              <w:t>Redev</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426,628</w:t>
            </w: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34,306</w:t>
            </w: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460,934</w:t>
            </w:r>
          </w:p>
        </w:tc>
        <w:tc>
          <w:tcPr>
            <w:tcW w:w="60" w:type="dxa"/>
            <w:vAlign w:val="bottom"/>
          </w:tcPr>
          <w:p>
            <w:pPr>
              <w:spacing w:after="0"/>
              <w:rPr>
                <w:sz w:val="14"/>
                <w:szCs w:val="14"/>
                <w:color w:val="auto"/>
              </w:rPr>
            </w:pPr>
          </w:p>
        </w:tc>
        <w:tc>
          <w:tcPr>
            <w:tcW w:w="680" w:type="dxa"/>
            <w:vAlign w:val="bottom"/>
          </w:tcPr>
          <w:p>
            <w:pPr>
              <w:jc w:val="right"/>
              <w:ind w:right="263"/>
              <w:spacing w:after="0"/>
              <w:rPr>
                <w:sz w:val="20"/>
                <w:szCs w:val="20"/>
                <w:color w:val="auto"/>
              </w:rPr>
            </w:pPr>
            <w:r>
              <w:rPr>
                <w:rFonts w:ascii="Arial" w:cs="Arial" w:eastAsia="Arial" w:hAnsi="Arial"/>
                <w:sz w:val="11"/>
                <w:szCs w:val="11"/>
                <w:color w:val="auto"/>
              </w:rPr>
              <w:t>98</w:t>
            </w:r>
          </w:p>
        </w:tc>
        <w:tc>
          <w:tcPr>
            <w:tcW w:w="60" w:type="dxa"/>
            <w:vAlign w:val="bottom"/>
          </w:tcPr>
          <w:p>
            <w:pPr>
              <w:spacing w:after="0"/>
              <w:rPr>
                <w:sz w:val="14"/>
                <w:szCs w:val="14"/>
                <w:color w:val="auto"/>
              </w:rPr>
            </w:pPr>
          </w:p>
        </w:tc>
        <w:tc>
          <w:tcPr>
            <w:tcW w:w="660" w:type="dxa"/>
            <w:vAlign w:val="bottom"/>
          </w:tcPr>
          <w:p>
            <w:pPr>
              <w:jc w:val="right"/>
              <w:ind w:right="103"/>
              <w:spacing w:after="0"/>
              <w:rPr>
                <w:sz w:val="20"/>
                <w:szCs w:val="20"/>
                <w:color w:val="auto"/>
              </w:rPr>
            </w:pPr>
            <w:r>
              <w:rPr>
                <w:rFonts w:ascii="Arial" w:cs="Arial" w:eastAsia="Arial" w:hAnsi="Arial"/>
                <w:sz w:val="11"/>
                <w:szCs w:val="11"/>
                <w:color w:val="auto"/>
              </w:rPr>
              <w:t>98</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jc w:val="center"/>
              <w:ind w:right="40"/>
              <w:spacing w:after="0"/>
              <w:rPr>
                <w:sz w:val="20"/>
                <w:szCs w:val="20"/>
                <w:color w:val="auto"/>
              </w:rPr>
            </w:pPr>
            <w:r>
              <w:rPr>
                <w:rFonts w:ascii="Arial" w:cs="Arial" w:eastAsia="Arial" w:hAnsi="Arial"/>
                <w:sz w:val="11"/>
                <w:szCs w:val="11"/>
                <w:color w:val="auto"/>
              </w:rPr>
              <w:t>1Q23</w:t>
            </w:r>
          </w:p>
        </w:tc>
        <w:tc>
          <w:tcPr>
            <w:tcW w:w="600" w:type="dxa"/>
            <w:vAlign w:val="bottom"/>
          </w:tcPr>
          <w:p>
            <w:pPr>
              <w:jc w:val="center"/>
              <w:spacing w:after="0"/>
              <w:rPr>
                <w:sz w:val="20"/>
                <w:szCs w:val="20"/>
                <w:color w:val="auto"/>
              </w:rPr>
            </w:pPr>
            <w:r>
              <w:rPr>
                <w:rFonts w:ascii="Arial" w:cs="Arial" w:eastAsia="Arial" w:hAnsi="Arial"/>
                <w:sz w:val="11"/>
                <w:szCs w:val="11"/>
                <w:color w:val="auto"/>
              </w:rPr>
              <w:t>4Q24</w:t>
            </w:r>
          </w:p>
        </w:tc>
        <w:tc>
          <w:tcPr>
            <w:tcW w:w="0" w:type="dxa"/>
            <w:vAlign w:val="bottom"/>
          </w:tcPr>
          <w:p>
            <w:pPr>
              <w:spacing w:after="0"/>
              <w:rPr>
                <w:sz w:val="1"/>
                <w:szCs w:val="1"/>
                <w:color w:val="auto"/>
              </w:rPr>
            </w:pPr>
          </w:p>
        </w:tc>
      </w:tr>
      <w:tr>
        <w:trPr>
          <w:trHeight w:val="161"/>
        </w:trPr>
        <w:tc>
          <w:tcPr>
            <w:tcW w:w="4520" w:type="dxa"/>
            <w:vAlign w:val="bottom"/>
            <w:gridSpan w:val="2"/>
            <w:shd w:val="clear" w:color="auto" w:fill="CCEEFF"/>
          </w:tcPr>
          <w:p>
            <w:pPr>
              <w:ind w:left="120"/>
              <w:spacing w:after="0"/>
              <w:rPr>
                <w:sz w:val="20"/>
                <w:szCs w:val="20"/>
                <w:color w:val="auto"/>
              </w:rPr>
            </w:pPr>
            <w:r>
              <w:rPr>
                <w:rFonts w:ascii="Arial" w:cs="Arial" w:eastAsia="Arial" w:hAnsi="Arial"/>
                <w:sz w:val="11"/>
                <w:szCs w:val="11"/>
                <w:color w:val="auto"/>
              </w:rPr>
              <w:t>9820 Darnestown Road/Maryland/Rockville</w:t>
            </w:r>
          </w:p>
        </w:tc>
        <w:tc>
          <w:tcPr>
            <w:tcW w:w="780" w:type="dxa"/>
            <w:vAlign w:val="bottom"/>
            <w:gridSpan w:val="2"/>
            <w:shd w:val="clear" w:color="auto" w:fill="CCEEFF"/>
          </w:tcPr>
          <w:p>
            <w:pPr>
              <w:jc w:val="center"/>
              <w:ind w:right="20"/>
              <w:spacing w:after="0"/>
              <w:rPr>
                <w:sz w:val="20"/>
                <w:szCs w:val="20"/>
                <w:color w:val="auto"/>
              </w:rPr>
            </w:pPr>
            <w:r>
              <w:rPr>
                <w:rFonts w:ascii="Arial" w:cs="Arial" w:eastAsia="Arial" w:hAnsi="Arial"/>
                <w:sz w:val="11"/>
                <w:szCs w:val="11"/>
                <w:color w:val="auto"/>
              </w:rPr>
              <w:t>Dev</w:t>
            </w:r>
          </w:p>
        </w:tc>
        <w:tc>
          <w:tcPr>
            <w:tcW w:w="7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250,000</w:t>
            </w: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250,000</w:t>
            </w: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263"/>
              <w:spacing w:after="0"/>
              <w:rPr>
                <w:sz w:val="20"/>
                <w:szCs w:val="20"/>
                <w:color w:val="auto"/>
              </w:rPr>
            </w:pPr>
            <w:r>
              <w:rPr>
                <w:rFonts w:ascii="Arial" w:cs="Arial" w:eastAsia="Arial" w:hAnsi="Arial"/>
                <w:sz w:val="11"/>
                <w:szCs w:val="11"/>
                <w:color w:val="auto"/>
              </w:rPr>
              <w:t>100</w:t>
            </w: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100</w:t>
            </w: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center"/>
              <w:ind w:right="40"/>
              <w:spacing w:after="0"/>
              <w:rPr>
                <w:sz w:val="20"/>
                <w:szCs w:val="20"/>
                <w:color w:val="auto"/>
              </w:rPr>
            </w:pPr>
            <w:r>
              <w:rPr>
                <w:rFonts w:ascii="Arial" w:cs="Arial" w:eastAsia="Arial" w:hAnsi="Arial"/>
                <w:sz w:val="11"/>
                <w:szCs w:val="11"/>
                <w:color w:val="auto"/>
              </w:rPr>
              <w:t>4Q24</w:t>
            </w:r>
          </w:p>
        </w:tc>
        <w:tc>
          <w:tcPr>
            <w:tcW w:w="60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4Q24</w:t>
            </w:r>
          </w:p>
        </w:tc>
        <w:tc>
          <w:tcPr>
            <w:tcW w:w="0" w:type="dxa"/>
            <w:vAlign w:val="bottom"/>
          </w:tcPr>
          <w:p>
            <w:pPr>
              <w:spacing w:after="0"/>
              <w:rPr>
                <w:sz w:val="1"/>
                <w:szCs w:val="1"/>
                <w:color w:val="auto"/>
              </w:rPr>
            </w:pPr>
          </w:p>
        </w:tc>
      </w:tr>
      <w:tr>
        <w:trPr>
          <w:trHeight w:val="161"/>
        </w:trPr>
        <w:tc>
          <w:tcPr>
            <w:tcW w:w="4520" w:type="dxa"/>
            <w:vAlign w:val="bottom"/>
            <w:gridSpan w:val="2"/>
          </w:tcPr>
          <w:p>
            <w:pPr>
              <w:ind w:left="120"/>
              <w:spacing w:after="0"/>
              <w:rPr>
                <w:sz w:val="20"/>
                <w:szCs w:val="20"/>
                <w:color w:val="auto"/>
              </w:rPr>
            </w:pPr>
            <w:r>
              <w:rPr>
                <w:rFonts w:ascii="Arial" w:cs="Arial" w:eastAsia="Arial" w:hAnsi="Arial"/>
                <w:sz w:val="11"/>
                <w:szCs w:val="11"/>
                <w:color w:val="auto"/>
              </w:rPr>
              <w:t>9808 Medical Center Drive/Maryland/Rockville</w:t>
            </w:r>
          </w:p>
        </w:tc>
        <w:tc>
          <w:tcPr>
            <w:tcW w:w="780" w:type="dxa"/>
            <w:vAlign w:val="bottom"/>
            <w:gridSpan w:val="2"/>
          </w:tcPr>
          <w:p>
            <w:pPr>
              <w:jc w:val="center"/>
              <w:ind w:right="20"/>
              <w:spacing w:after="0"/>
              <w:rPr>
                <w:sz w:val="20"/>
                <w:szCs w:val="20"/>
                <w:color w:val="auto"/>
              </w:rPr>
            </w:pPr>
            <w:r>
              <w:rPr>
                <w:rFonts w:ascii="Arial" w:cs="Arial" w:eastAsia="Arial" w:hAnsi="Arial"/>
                <w:sz w:val="11"/>
                <w:szCs w:val="11"/>
                <w:color w:val="auto"/>
              </w:rPr>
              <w:t>Dev</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52,115</w:t>
            </w: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42,946</w:t>
            </w: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95,061</w:t>
            </w:r>
          </w:p>
        </w:tc>
        <w:tc>
          <w:tcPr>
            <w:tcW w:w="60" w:type="dxa"/>
            <w:vAlign w:val="bottom"/>
          </w:tcPr>
          <w:p>
            <w:pPr>
              <w:spacing w:after="0"/>
              <w:rPr>
                <w:sz w:val="14"/>
                <w:szCs w:val="14"/>
                <w:color w:val="auto"/>
              </w:rPr>
            </w:pPr>
          </w:p>
        </w:tc>
        <w:tc>
          <w:tcPr>
            <w:tcW w:w="680" w:type="dxa"/>
            <w:vAlign w:val="bottom"/>
          </w:tcPr>
          <w:p>
            <w:pPr>
              <w:jc w:val="right"/>
              <w:ind w:right="263"/>
              <w:spacing w:after="0"/>
              <w:rPr>
                <w:sz w:val="20"/>
                <w:szCs w:val="20"/>
                <w:color w:val="auto"/>
              </w:rPr>
            </w:pPr>
            <w:r>
              <w:rPr>
                <w:rFonts w:ascii="Arial" w:cs="Arial" w:eastAsia="Arial" w:hAnsi="Arial"/>
                <w:sz w:val="11"/>
                <w:szCs w:val="11"/>
                <w:color w:val="auto"/>
              </w:rPr>
              <w:t>69</w:t>
            </w:r>
          </w:p>
        </w:tc>
        <w:tc>
          <w:tcPr>
            <w:tcW w:w="60" w:type="dxa"/>
            <w:vAlign w:val="bottom"/>
          </w:tcPr>
          <w:p>
            <w:pPr>
              <w:spacing w:after="0"/>
              <w:rPr>
                <w:sz w:val="14"/>
                <w:szCs w:val="14"/>
                <w:color w:val="auto"/>
              </w:rPr>
            </w:pPr>
          </w:p>
        </w:tc>
        <w:tc>
          <w:tcPr>
            <w:tcW w:w="660" w:type="dxa"/>
            <w:vAlign w:val="bottom"/>
          </w:tcPr>
          <w:p>
            <w:pPr>
              <w:jc w:val="right"/>
              <w:ind w:right="103"/>
              <w:spacing w:after="0"/>
              <w:rPr>
                <w:sz w:val="20"/>
                <w:szCs w:val="20"/>
                <w:color w:val="auto"/>
              </w:rPr>
            </w:pPr>
            <w:r>
              <w:rPr>
                <w:rFonts w:ascii="Arial" w:cs="Arial" w:eastAsia="Arial" w:hAnsi="Arial"/>
                <w:sz w:val="11"/>
                <w:szCs w:val="11"/>
                <w:color w:val="auto"/>
              </w:rPr>
              <w:t>69</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jc w:val="center"/>
              <w:ind w:right="40"/>
              <w:spacing w:after="0"/>
              <w:rPr>
                <w:sz w:val="20"/>
                <w:szCs w:val="20"/>
                <w:color w:val="auto"/>
              </w:rPr>
            </w:pPr>
            <w:r>
              <w:rPr>
                <w:rFonts w:ascii="Arial" w:cs="Arial" w:eastAsia="Arial" w:hAnsi="Arial"/>
                <w:sz w:val="11"/>
                <w:szCs w:val="11"/>
                <w:color w:val="auto"/>
              </w:rPr>
              <w:t>3Q23</w:t>
            </w:r>
          </w:p>
        </w:tc>
        <w:tc>
          <w:tcPr>
            <w:tcW w:w="600" w:type="dxa"/>
            <w:vAlign w:val="bottom"/>
          </w:tcPr>
          <w:p>
            <w:pPr>
              <w:jc w:val="center"/>
              <w:spacing w:after="0"/>
              <w:rPr>
                <w:sz w:val="20"/>
                <w:szCs w:val="20"/>
                <w:color w:val="auto"/>
              </w:rPr>
            </w:pPr>
            <w:r>
              <w:rPr>
                <w:rFonts w:ascii="Arial" w:cs="Arial" w:eastAsia="Arial" w:hAnsi="Arial"/>
                <w:sz w:val="11"/>
                <w:szCs w:val="11"/>
                <w:color w:val="auto"/>
              </w:rPr>
              <w:t>4Q24</w:t>
            </w:r>
          </w:p>
        </w:tc>
        <w:tc>
          <w:tcPr>
            <w:tcW w:w="0" w:type="dxa"/>
            <w:vAlign w:val="bottom"/>
          </w:tcPr>
          <w:p>
            <w:pPr>
              <w:spacing w:after="0"/>
              <w:rPr>
                <w:sz w:val="1"/>
                <w:szCs w:val="1"/>
                <w:color w:val="auto"/>
              </w:rPr>
            </w:pPr>
          </w:p>
        </w:tc>
      </w:tr>
      <w:tr>
        <w:trPr>
          <w:trHeight w:val="161"/>
        </w:trPr>
        <w:tc>
          <w:tcPr>
            <w:tcW w:w="4520" w:type="dxa"/>
            <w:vAlign w:val="bottom"/>
            <w:gridSpan w:val="2"/>
            <w:shd w:val="clear" w:color="auto" w:fill="CCEEFF"/>
          </w:tcPr>
          <w:p>
            <w:pPr>
              <w:ind w:left="120"/>
              <w:spacing w:after="0"/>
              <w:rPr>
                <w:sz w:val="20"/>
                <w:szCs w:val="20"/>
                <w:color w:val="auto"/>
              </w:rPr>
            </w:pPr>
            <w:r>
              <w:rPr>
                <w:rFonts w:ascii="Arial" w:cs="Arial" w:eastAsia="Arial" w:hAnsi="Arial"/>
                <w:sz w:val="11"/>
                <w:szCs w:val="11"/>
                <w:color w:val="auto"/>
              </w:rPr>
              <w:t>8800 Technology Forest Place/Texas/Greater Houston</w:t>
            </w:r>
          </w:p>
        </w:tc>
        <w:tc>
          <w:tcPr>
            <w:tcW w:w="780" w:type="dxa"/>
            <w:vAlign w:val="bottom"/>
            <w:gridSpan w:val="2"/>
            <w:shd w:val="clear" w:color="auto" w:fill="CCEEFF"/>
          </w:tcPr>
          <w:p>
            <w:pPr>
              <w:jc w:val="center"/>
              <w:ind w:right="20"/>
              <w:spacing w:after="0"/>
              <w:rPr>
                <w:sz w:val="20"/>
                <w:szCs w:val="20"/>
                <w:color w:val="auto"/>
              </w:rPr>
            </w:pPr>
            <w:r>
              <w:rPr>
                <w:rFonts w:ascii="Arial" w:cs="Arial" w:eastAsia="Arial" w:hAnsi="Arial"/>
                <w:sz w:val="11"/>
                <w:szCs w:val="11"/>
                <w:color w:val="auto"/>
              </w:rPr>
              <w:t>Redev</w:t>
            </w:r>
          </w:p>
        </w:tc>
        <w:tc>
          <w:tcPr>
            <w:tcW w:w="7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50,094</w:t>
            </w: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73,298</w:t>
            </w: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123,392</w:t>
            </w: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263"/>
              <w:spacing w:after="0"/>
              <w:rPr>
                <w:sz w:val="20"/>
                <w:szCs w:val="20"/>
                <w:color w:val="auto"/>
              </w:rPr>
            </w:pPr>
            <w:r>
              <w:rPr>
                <w:rFonts w:ascii="Arial" w:cs="Arial" w:eastAsia="Arial" w:hAnsi="Arial"/>
                <w:sz w:val="11"/>
                <w:szCs w:val="11"/>
                <w:color w:val="auto"/>
              </w:rPr>
              <w:t>41</w:t>
            </w: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41</w:t>
            </w: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center"/>
              <w:ind w:right="40"/>
              <w:spacing w:after="0"/>
              <w:rPr>
                <w:sz w:val="20"/>
                <w:szCs w:val="20"/>
                <w:color w:val="auto"/>
              </w:rPr>
            </w:pPr>
            <w:r>
              <w:rPr>
                <w:rFonts w:ascii="Arial" w:cs="Arial" w:eastAsia="Arial" w:hAnsi="Arial"/>
                <w:sz w:val="11"/>
                <w:szCs w:val="11"/>
                <w:color w:val="auto"/>
              </w:rPr>
              <w:t>2Q23</w:t>
            </w:r>
          </w:p>
        </w:tc>
        <w:tc>
          <w:tcPr>
            <w:tcW w:w="60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2025</w:t>
            </w:r>
          </w:p>
        </w:tc>
        <w:tc>
          <w:tcPr>
            <w:tcW w:w="0" w:type="dxa"/>
            <w:vAlign w:val="bottom"/>
          </w:tcPr>
          <w:p>
            <w:pPr>
              <w:spacing w:after="0"/>
              <w:rPr>
                <w:sz w:val="1"/>
                <w:szCs w:val="1"/>
                <w:color w:val="auto"/>
              </w:rPr>
            </w:pPr>
          </w:p>
        </w:tc>
      </w:tr>
      <w:tr>
        <w:trPr>
          <w:trHeight w:val="161"/>
        </w:trPr>
        <w:tc>
          <w:tcPr>
            <w:tcW w:w="4520" w:type="dxa"/>
            <w:vAlign w:val="bottom"/>
            <w:tcBorders>
              <w:bottom w:val="single" w:sz="8" w:color="CCEEFF"/>
            </w:tcBorders>
            <w:gridSpan w:val="2"/>
          </w:tcPr>
          <w:p>
            <w:pPr>
              <w:ind w:left="120"/>
              <w:spacing w:after="0"/>
              <w:rPr>
                <w:sz w:val="20"/>
                <w:szCs w:val="20"/>
                <w:color w:val="auto"/>
              </w:rPr>
            </w:pPr>
            <w:r>
              <w:rPr>
                <w:rFonts w:ascii="Arial" w:cs="Arial" w:eastAsia="Arial" w:hAnsi="Arial"/>
                <w:sz w:val="11"/>
                <w:szCs w:val="11"/>
                <w:color w:val="auto"/>
              </w:rPr>
              <w:t>Canada</w:t>
            </w:r>
          </w:p>
        </w:tc>
        <w:tc>
          <w:tcPr>
            <w:tcW w:w="780" w:type="dxa"/>
            <w:vAlign w:val="bottom"/>
            <w:tcBorders>
              <w:bottom w:val="single" w:sz="8" w:color="CCEEFF"/>
            </w:tcBorders>
            <w:gridSpan w:val="2"/>
          </w:tcPr>
          <w:p>
            <w:pPr>
              <w:jc w:val="center"/>
              <w:ind w:right="20"/>
              <w:spacing w:after="0"/>
              <w:rPr>
                <w:sz w:val="20"/>
                <w:szCs w:val="20"/>
                <w:color w:val="auto"/>
              </w:rPr>
            </w:pPr>
            <w:r>
              <w:rPr>
                <w:rFonts w:ascii="Arial" w:cs="Arial" w:eastAsia="Arial" w:hAnsi="Arial"/>
                <w:sz w:val="11"/>
                <w:szCs w:val="11"/>
                <w:color w:val="auto"/>
              </w:rPr>
              <w:t>Redev</w:t>
            </w:r>
          </w:p>
        </w:tc>
        <w:tc>
          <w:tcPr>
            <w:tcW w:w="7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111,479</w:t>
            </w:r>
          </w:p>
        </w:tc>
        <w:tc>
          <w:tcPr>
            <w:tcW w:w="18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ind w:left="300"/>
              <w:spacing w:after="0"/>
              <w:rPr>
                <w:sz w:val="20"/>
                <w:szCs w:val="20"/>
                <w:color w:val="auto"/>
              </w:rPr>
            </w:pPr>
            <w:r>
              <w:rPr>
                <w:rFonts w:ascii="Arial" w:cs="Arial" w:eastAsia="Arial" w:hAnsi="Arial"/>
                <w:sz w:val="11"/>
                <w:szCs w:val="11"/>
                <w:color w:val="auto"/>
              </w:rPr>
              <w:t>139,311</w:t>
            </w:r>
          </w:p>
        </w:tc>
        <w:tc>
          <w:tcPr>
            <w:tcW w:w="6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250,790</w:t>
            </w:r>
          </w:p>
        </w:tc>
        <w:tc>
          <w:tcPr>
            <w:tcW w:w="6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ind w:right="263"/>
              <w:spacing w:after="0"/>
              <w:rPr>
                <w:sz w:val="20"/>
                <w:szCs w:val="20"/>
                <w:color w:val="auto"/>
              </w:rPr>
            </w:pPr>
            <w:r>
              <w:rPr>
                <w:rFonts w:ascii="Arial" w:cs="Arial" w:eastAsia="Arial" w:hAnsi="Arial"/>
                <w:sz w:val="11"/>
                <w:szCs w:val="11"/>
                <w:color w:val="auto"/>
              </w:rPr>
              <w:t>73</w:t>
            </w:r>
          </w:p>
        </w:tc>
        <w:tc>
          <w:tcPr>
            <w:tcW w:w="6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color w:val="auto"/>
              </w:rPr>
              <w:t>73</w:t>
            </w:r>
          </w:p>
        </w:tc>
        <w:tc>
          <w:tcPr>
            <w:tcW w:w="160" w:type="dxa"/>
            <w:vAlign w:val="bottom"/>
            <w:tcBorders>
              <w:bottom w:val="single" w:sz="8" w:color="auto"/>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gridSpan w:val="2"/>
          </w:tcPr>
          <w:p>
            <w:pPr>
              <w:jc w:val="center"/>
              <w:ind w:right="40"/>
              <w:spacing w:after="0"/>
              <w:rPr>
                <w:sz w:val="20"/>
                <w:szCs w:val="20"/>
                <w:color w:val="auto"/>
              </w:rPr>
            </w:pPr>
            <w:r>
              <w:rPr>
                <w:rFonts w:ascii="Arial" w:cs="Arial" w:eastAsia="Arial" w:hAnsi="Arial"/>
                <w:sz w:val="11"/>
                <w:szCs w:val="11"/>
                <w:color w:val="auto"/>
              </w:rPr>
              <w:t>3Q23</w:t>
            </w:r>
          </w:p>
        </w:tc>
        <w:tc>
          <w:tcPr>
            <w:tcW w:w="600" w:type="dxa"/>
            <w:vAlign w:val="bottom"/>
            <w:tcBorders>
              <w:bottom w:val="single" w:sz="8" w:color="CCEEFF"/>
            </w:tcBorders>
          </w:tcPr>
          <w:p>
            <w:pPr>
              <w:jc w:val="center"/>
              <w:spacing w:after="0"/>
              <w:rPr>
                <w:sz w:val="20"/>
                <w:szCs w:val="20"/>
                <w:color w:val="auto"/>
              </w:rPr>
            </w:pPr>
            <w:r>
              <w:rPr>
                <w:rFonts w:ascii="Arial" w:cs="Arial" w:eastAsia="Arial" w:hAnsi="Arial"/>
                <w:sz w:val="11"/>
                <w:szCs w:val="11"/>
                <w:color w:val="auto"/>
              </w:rPr>
              <w:t>2025</w:t>
            </w:r>
          </w:p>
        </w:tc>
        <w:tc>
          <w:tcPr>
            <w:tcW w:w="0" w:type="dxa"/>
            <w:vAlign w:val="bottom"/>
          </w:tcPr>
          <w:p>
            <w:pPr>
              <w:spacing w:after="0"/>
              <w:rPr>
                <w:sz w:val="1"/>
                <w:szCs w:val="1"/>
                <w:color w:val="auto"/>
              </w:rPr>
            </w:pPr>
          </w:p>
        </w:tc>
      </w:tr>
      <w:tr>
        <w:trPr>
          <w:trHeight w:val="152"/>
        </w:trPr>
        <w:tc>
          <w:tcPr>
            <w:tcW w:w="44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1,656,129</w:t>
            </w: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1,539,284</w:t>
            </w: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3,195,413</w:t>
            </w: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263"/>
              <w:spacing w:after="0"/>
              <w:rPr>
                <w:sz w:val="20"/>
                <w:szCs w:val="20"/>
                <w:color w:val="auto"/>
              </w:rPr>
            </w:pPr>
            <w:r>
              <w:rPr>
                <w:rFonts w:ascii="Arial" w:cs="Arial" w:eastAsia="Arial" w:hAnsi="Arial"/>
                <w:sz w:val="11"/>
                <w:szCs w:val="11"/>
                <w:color w:val="auto"/>
              </w:rPr>
              <w:t>87</w:t>
            </w: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87</w:t>
            </w: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4520" w:type="dxa"/>
            <w:vAlign w:val="bottom"/>
            <w:gridSpan w:val="2"/>
          </w:tcPr>
          <w:p>
            <w:pPr>
              <w:ind w:left="40"/>
              <w:spacing w:after="0"/>
              <w:rPr>
                <w:sz w:val="20"/>
                <w:szCs w:val="20"/>
                <w:color w:val="auto"/>
              </w:rPr>
            </w:pPr>
            <w:r>
              <w:rPr>
                <w:rFonts w:ascii="Arial" w:cs="Arial" w:eastAsia="Arial" w:hAnsi="Arial"/>
                <w:sz w:val="11"/>
                <w:szCs w:val="11"/>
                <w:color w:val="auto"/>
              </w:rPr>
              <w:t>2026 and beyond stabilization</w:t>
            </w: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520" w:type="dxa"/>
            <w:vAlign w:val="bottom"/>
            <w:gridSpan w:val="2"/>
            <w:shd w:val="clear" w:color="auto" w:fill="CCEEFF"/>
          </w:tcPr>
          <w:p>
            <w:pPr>
              <w:ind w:left="120"/>
              <w:spacing w:after="0"/>
              <w:rPr>
                <w:sz w:val="20"/>
                <w:szCs w:val="20"/>
                <w:color w:val="auto"/>
              </w:rPr>
            </w:pPr>
            <w:r>
              <w:rPr>
                <w:rFonts w:ascii="Arial" w:cs="Arial" w:eastAsia="Arial" w:hAnsi="Arial"/>
                <w:sz w:val="11"/>
                <w:szCs w:val="11"/>
                <w:color w:val="auto"/>
              </w:rPr>
              <w:t>311 Arsenal Street/Greater Boston/Cambridge/Inner Suburbs</w:t>
            </w:r>
          </w:p>
        </w:tc>
        <w:tc>
          <w:tcPr>
            <w:tcW w:w="780" w:type="dxa"/>
            <w:vAlign w:val="bottom"/>
            <w:gridSpan w:val="2"/>
            <w:shd w:val="clear" w:color="auto" w:fill="CCEEFF"/>
          </w:tcPr>
          <w:p>
            <w:pPr>
              <w:jc w:val="center"/>
              <w:ind w:right="20"/>
              <w:spacing w:after="0"/>
              <w:rPr>
                <w:sz w:val="20"/>
                <w:szCs w:val="20"/>
                <w:color w:val="auto"/>
              </w:rPr>
            </w:pPr>
            <w:r>
              <w:rPr>
                <w:rFonts w:ascii="Arial" w:cs="Arial" w:eastAsia="Arial" w:hAnsi="Arial"/>
                <w:sz w:val="11"/>
                <w:szCs w:val="11"/>
                <w:color w:val="auto"/>
              </w:rPr>
              <w:t>Redev</w:t>
            </w:r>
          </w:p>
        </w:tc>
        <w:tc>
          <w:tcPr>
            <w:tcW w:w="7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82,216</w:t>
            </w:r>
          </w:p>
        </w:tc>
        <w:tc>
          <w:tcPr>
            <w:tcW w:w="180" w:type="dxa"/>
            <w:vAlign w:val="bottom"/>
            <w:shd w:val="clear" w:color="auto" w:fill="CCEEFF"/>
          </w:tcPr>
          <w:p>
            <w:pPr>
              <w:ind w:left="40"/>
              <w:spacing w:after="0"/>
              <w:rPr>
                <w:sz w:val="20"/>
                <w:szCs w:val="20"/>
                <w:color w:val="auto"/>
              </w:rPr>
            </w:pPr>
            <w:r>
              <w:rPr>
                <w:rFonts w:ascii="Arial" w:cs="Arial" w:eastAsia="Arial" w:hAnsi="Arial"/>
                <w:sz w:val="7"/>
                <w:szCs w:val="7"/>
                <w:color w:val="auto"/>
              </w:rPr>
              <w:t>(2)</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308,446</w:t>
            </w: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390,662</w:t>
            </w: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263"/>
              <w:spacing w:after="0"/>
              <w:rPr>
                <w:sz w:val="20"/>
                <w:szCs w:val="20"/>
                <w:color w:val="auto"/>
              </w:rPr>
            </w:pPr>
            <w:r>
              <w:rPr>
                <w:rFonts w:ascii="Arial" w:cs="Arial" w:eastAsia="Arial" w:hAnsi="Arial"/>
                <w:sz w:val="11"/>
                <w:szCs w:val="11"/>
                <w:color w:val="auto"/>
              </w:rPr>
              <w:t>21</w:t>
            </w: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21</w:t>
            </w:r>
          </w:p>
        </w:tc>
        <w:tc>
          <w:tcPr>
            <w:tcW w:w="1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center"/>
              <w:ind w:left="3"/>
              <w:spacing w:after="0"/>
              <w:rPr>
                <w:sz w:val="20"/>
                <w:szCs w:val="20"/>
                <w:color w:val="auto"/>
              </w:rPr>
            </w:pPr>
            <w:r>
              <w:rPr>
                <w:rFonts w:ascii="Arial" w:cs="Arial" w:eastAsia="Arial" w:hAnsi="Arial"/>
                <w:sz w:val="11"/>
                <w:szCs w:val="11"/>
                <w:color w:val="auto"/>
              </w:rPr>
              <w:t>2027</w:t>
            </w:r>
          </w:p>
        </w:tc>
        <w:tc>
          <w:tcPr>
            <w:tcW w:w="40" w:type="dxa"/>
            <w:vAlign w:val="bottom"/>
            <w:shd w:val="clear" w:color="auto" w:fill="CCEEFF"/>
          </w:tcPr>
          <w:p>
            <w:pPr>
              <w:spacing w:after="0"/>
              <w:rPr>
                <w:sz w:val="14"/>
                <w:szCs w:val="14"/>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2027</w:t>
            </w:r>
          </w:p>
        </w:tc>
        <w:tc>
          <w:tcPr>
            <w:tcW w:w="0" w:type="dxa"/>
            <w:vAlign w:val="bottom"/>
          </w:tcPr>
          <w:p>
            <w:pPr>
              <w:spacing w:after="0"/>
              <w:rPr>
                <w:sz w:val="1"/>
                <w:szCs w:val="1"/>
                <w:color w:val="auto"/>
              </w:rPr>
            </w:pPr>
          </w:p>
        </w:tc>
      </w:tr>
      <w:tr>
        <w:trPr>
          <w:trHeight w:val="161"/>
        </w:trPr>
        <w:tc>
          <w:tcPr>
            <w:tcW w:w="4520" w:type="dxa"/>
            <w:vAlign w:val="bottom"/>
            <w:gridSpan w:val="2"/>
          </w:tcPr>
          <w:p>
            <w:pPr>
              <w:ind w:left="120"/>
              <w:spacing w:after="0"/>
              <w:rPr>
                <w:sz w:val="20"/>
                <w:szCs w:val="20"/>
                <w:color w:val="auto"/>
              </w:rPr>
            </w:pPr>
            <w:r>
              <w:rPr>
                <w:rFonts w:ascii="Arial" w:cs="Arial" w:eastAsia="Arial" w:hAnsi="Arial"/>
                <w:sz w:val="11"/>
                <w:szCs w:val="11"/>
                <w:color w:val="auto"/>
              </w:rPr>
              <w:t>401 Park Drive/Greater Boston/Fenway</w:t>
            </w:r>
          </w:p>
        </w:tc>
        <w:tc>
          <w:tcPr>
            <w:tcW w:w="780" w:type="dxa"/>
            <w:vAlign w:val="bottom"/>
            <w:gridSpan w:val="2"/>
          </w:tcPr>
          <w:p>
            <w:pPr>
              <w:jc w:val="center"/>
              <w:ind w:right="20"/>
              <w:spacing w:after="0"/>
              <w:rPr>
                <w:sz w:val="20"/>
                <w:szCs w:val="20"/>
                <w:color w:val="auto"/>
              </w:rPr>
            </w:pPr>
            <w:r>
              <w:rPr>
                <w:rFonts w:ascii="Arial" w:cs="Arial" w:eastAsia="Arial" w:hAnsi="Arial"/>
                <w:sz w:val="11"/>
                <w:szCs w:val="11"/>
                <w:color w:val="auto"/>
              </w:rPr>
              <w:t>Redev</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159,959</w:t>
            </w: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159,959</w:t>
            </w:r>
          </w:p>
        </w:tc>
        <w:tc>
          <w:tcPr>
            <w:tcW w:w="60" w:type="dxa"/>
            <w:vAlign w:val="bottom"/>
          </w:tcPr>
          <w:p>
            <w:pPr>
              <w:spacing w:after="0"/>
              <w:rPr>
                <w:sz w:val="14"/>
                <w:szCs w:val="14"/>
                <w:color w:val="auto"/>
              </w:rPr>
            </w:pPr>
          </w:p>
        </w:tc>
        <w:tc>
          <w:tcPr>
            <w:tcW w:w="680" w:type="dxa"/>
            <w:vAlign w:val="bottom"/>
          </w:tcPr>
          <w:p>
            <w:pPr>
              <w:jc w:val="right"/>
              <w:ind w:right="263"/>
              <w:spacing w:after="0"/>
              <w:rPr>
                <w:sz w:val="20"/>
                <w:szCs w:val="20"/>
                <w:color w:val="auto"/>
              </w:rPr>
            </w:pPr>
            <w:r>
              <w:rPr>
                <w:rFonts w:ascii="Arial" w:cs="Arial" w:eastAsia="Arial" w:hAnsi="Arial"/>
                <w:sz w:val="11"/>
                <w:szCs w:val="11"/>
                <w:color w:val="auto"/>
              </w:rPr>
              <w:t>14</w:t>
            </w:r>
          </w:p>
        </w:tc>
        <w:tc>
          <w:tcPr>
            <w:tcW w:w="60" w:type="dxa"/>
            <w:vAlign w:val="bottom"/>
          </w:tcPr>
          <w:p>
            <w:pPr>
              <w:spacing w:after="0"/>
              <w:rPr>
                <w:sz w:val="14"/>
                <w:szCs w:val="14"/>
                <w:color w:val="auto"/>
              </w:rPr>
            </w:pPr>
          </w:p>
        </w:tc>
        <w:tc>
          <w:tcPr>
            <w:tcW w:w="660" w:type="dxa"/>
            <w:vAlign w:val="bottom"/>
          </w:tcPr>
          <w:p>
            <w:pPr>
              <w:jc w:val="right"/>
              <w:ind w:right="103"/>
              <w:spacing w:after="0"/>
              <w:rPr>
                <w:sz w:val="20"/>
                <w:szCs w:val="20"/>
                <w:color w:val="auto"/>
              </w:rPr>
            </w:pPr>
            <w:r>
              <w:rPr>
                <w:rFonts w:ascii="Arial" w:cs="Arial" w:eastAsia="Arial" w:hAnsi="Arial"/>
                <w:sz w:val="11"/>
                <w:szCs w:val="11"/>
                <w:color w:val="auto"/>
              </w:rPr>
              <w:t>14</w:t>
            </w:r>
          </w:p>
        </w:tc>
        <w:tc>
          <w:tcPr>
            <w:tcW w:w="160" w:type="dxa"/>
            <w:vAlign w:val="bottom"/>
          </w:tcPr>
          <w:p>
            <w:pPr>
              <w:spacing w:after="0"/>
              <w:rPr>
                <w:sz w:val="14"/>
                <w:szCs w:val="14"/>
                <w:color w:val="auto"/>
              </w:rPr>
            </w:pPr>
          </w:p>
        </w:tc>
        <w:tc>
          <w:tcPr>
            <w:tcW w:w="720" w:type="dxa"/>
            <w:vAlign w:val="bottom"/>
            <w:gridSpan w:val="2"/>
          </w:tcPr>
          <w:p>
            <w:pPr>
              <w:jc w:val="center"/>
              <w:ind w:left="3"/>
              <w:spacing w:after="0"/>
              <w:rPr>
                <w:sz w:val="20"/>
                <w:szCs w:val="20"/>
                <w:color w:val="auto"/>
              </w:rPr>
            </w:pPr>
            <w:r>
              <w:rPr>
                <w:rFonts w:ascii="Arial" w:cs="Arial" w:eastAsia="Arial" w:hAnsi="Arial"/>
                <w:sz w:val="11"/>
                <w:szCs w:val="11"/>
                <w:color w:val="auto"/>
              </w:rPr>
              <w:t>2024</w:t>
            </w:r>
          </w:p>
        </w:tc>
        <w:tc>
          <w:tcPr>
            <w:tcW w:w="4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1"/>
                <w:szCs w:val="11"/>
                <w:color w:val="auto"/>
              </w:rPr>
              <w:t>2026</w:t>
            </w:r>
          </w:p>
        </w:tc>
        <w:tc>
          <w:tcPr>
            <w:tcW w:w="0" w:type="dxa"/>
            <w:vAlign w:val="bottom"/>
          </w:tcPr>
          <w:p>
            <w:pPr>
              <w:spacing w:after="0"/>
              <w:rPr>
                <w:sz w:val="1"/>
                <w:szCs w:val="1"/>
                <w:color w:val="auto"/>
              </w:rPr>
            </w:pPr>
          </w:p>
        </w:tc>
      </w:tr>
      <w:tr>
        <w:trPr>
          <w:trHeight w:val="161"/>
        </w:trPr>
        <w:tc>
          <w:tcPr>
            <w:tcW w:w="4520" w:type="dxa"/>
            <w:vAlign w:val="bottom"/>
            <w:gridSpan w:val="2"/>
            <w:shd w:val="clear" w:color="auto" w:fill="CCEEFF"/>
          </w:tcPr>
          <w:p>
            <w:pPr>
              <w:ind w:left="120"/>
              <w:spacing w:after="0"/>
              <w:rPr>
                <w:sz w:val="20"/>
                <w:szCs w:val="20"/>
                <w:color w:val="auto"/>
              </w:rPr>
            </w:pPr>
            <w:r>
              <w:rPr>
                <w:rFonts w:ascii="Arial" w:cs="Arial" w:eastAsia="Arial" w:hAnsi="Arial"/>
                <w:sz w:val="11"/>
                <w:szCs w:val="11"/>
                <w:color w:val="auto"/>
              </w:rPr>
              <w:t>421 Park Drive/Greater Boston/Fenway</w:t>
            </w:r>
          </w:p>
        </w:tc>
        <w:tc>
          <w:tcPr>
            <w:tcW w:w="780" w:type="dxa"/>
            <w:vAlign w:val="bottom"/>
            <w:gridSpan w:val="2"/>
            <w:shd w:val="clear" w:color="auto" w:fill="CCEEFF"/>
          </w:tcPr>
          <w:p>
            <w:pPr>
              <w:jc w:val="center"/>
              <w:ind w:right="20"/>
              <w:spacing w:after="0"/>
              <w:rPr>
                <w:sz w:val="20"/>
                <w:szCs w:val="20"/>
                <w:color w:val="auto"/>
              </w:rPr>
            </w:pPr>
            <w:r>
              <w:rPr>
                <w:rFonts w:ascii="Arial" w:cs="Arial" w:eastAsia="Arial" w:hAnsi="Arial"/>
                <w:sz w:val="11"/>
                <w:szCs w:val="11"/>
                <w:color w:val="auto"/>
              </w:rPr>
              <w:t>Dev</w:t>
            </w:r>
          </w:p>
        </w:tc>
        <w:tc>
          <w:tcPr>
            <w:tcW w:w="7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ind w:left="300"/>
              <w:spacing w:after="0"/>
              <w:rPr>
                <w:sz w:val="20"/>
                <w:szCs w:val="20"/>
                <w:color w:val="auto"/>
              </w:rPr>
            </w:pPr>
            <w:r>
              <w:rPr>
                <w:rFonts w:ascii="Arial" w:cs="Arial" w:eastAsia="Arial" w:hAnsi="Arial"/>
                <w:sz w:val="11"/>
                <w:szCs w:val="11"/>
                <w:color w:val="auto"/>
              </w:rPr>
              <w:t>392,011</w:t>
            </w: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392,011</w:t>
            </w: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263"/>
              <w:spacing w:after="0"/>
              <w:rPr>
                <w:sz w:val="20"/>
                <w:szCs w:val="20"/>
                <w:color w:val="auto"/>
              </w:rPr>
            </w:pPr>
            <w:r>
              <w:rPr>
                <w:rFonts w:ascii="Arial" w:cs="Arial" w:eastAsia="Arial" w:hAnsi="Arial"/>
                <w:sz w:val="11"/>
                <w:szCs w:val="11"/>
                <w:color w:val="auto"/>
              </w:rPr>
              <w:t>13</w:t>
            </w: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13</w:t>
            </w:r>
          </w:p>
        </w:tc>
        <w:tc>
          <w:tcPr>
            <w:tcW w:w="1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center"/>
              <w:ind w:left="3"/>
              <w:spacing w:after="0"/>
              <w:rPr>
                <w:sz w:val="20"/>
                <w:szCs w:val="20"/>
                <w:color w:val="auto"/>
              </w:rPr>
            </w:pPr>
            <w:r>
              <w:rPr>
                <w:rFonts w:ascii="Arial" w:cs="Arial" w:eastAsia="Arial" w:hAnsi="Arial"/>
                <w:sz w:val="11"/>
                <w:szCs w:val="11"/>
                <w:color w:val="auto"/>
              </w:rPr>
              <w:t>2026</w:t>
            </w:r>
          </w:p>
        </w:tc>
        <w:tc>
          <w:tcPr>
            <w:tcW w:w="40" w:type="dxa"/>
            <w:vAlign w:val="bottom"/>
            <w:shd w:val="clear" w:color="auto" w:fill="CCEEFF"/>
          </w:tcPr>
          <w:p>
            <w:pPr>
              <w:spacing w:after="0"/>
              <w:rPr>
                <w:sz w:val="14"/>
                <w:szCs w:val="14"/>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2027</w:t>
            </w:r>
          </w:p>
        </w:tc>
        <w:tc>
          <w:tcPr>
            <w:tcW w:w="0" w:type="dxa"/>
            <w:vAlign w:val="bottom"/>
          </w:tcPr>
          <w:p>
            <w:pPr>
              <w:spacing w:after="0"/>
              <w:rPr>
                <w:sz w:val="1"/>
                <w:szCs w:val="1"/>
                <w:color w:val="auto"/>
              </w:rPr>
            </w:pPr>
          </w:p>
        </w:tc>
      </w:tr>
      <w:tr>
        <w:trPr>
          <w:trHeight w:val="161"/>
        </w:trPr>
        <w:tc>
          <w:tcPr>
            <w:tcW w:w="4520" w:type="dxa"/>
            <w:vAlign w:val="bottom"/>
            <w:gridSpan w:val="2"/>
          </w:tcPr>
          <w:p>
            <w:pPr>
              <w:ind w:left="120"/>
              <w:spacing w:after="0"/>
              <w:rPr>
                <w:sz w:val="20"/>
                <w:szCs w:val="20"/>
                <w:color w:val="auto"/>
              </w:rPr>
            </w:pPr>
            <w:r>
              <w:rPr>
                <w:rFonts w:ascii="Arial" w:cs="Arial" w:eastAsia="Arial" w:hAnsi="Arial"/>
                <w:sz w:val="11"/>
                <w:szCs w:val="11"/>
                <w:color w:val="auto"/>
              </w:rPr>
              <w:t>40, 50, and 60 Sylvan Road/Greater Boston/Route 128</w:t>
            </w:r>
          </w:p>
        </w:tc>
        <w:tc>
          <w:tcPr>
            <w:tcW w:w="780" w:type="dxa"/>
            <w:vAlign w:val="bottom"/>
            <w:gridSpan w:val="2"/>
          </w:tcPr>
          <w:p>
            <w:pPr>
              <w:jc w:val="center"/>
              <w:ind w:right="20"/>
              <w:spacing w:after="0"/>
              <w:rPr>
                <w:sz w:val="20"/>
                <w:szCs w:val="20"/>
                <w:color w:val="auto"/>
              </w:rPr>
            </w:pPr>
            <w:r>
              <w:rPr>
                <w:rFonts w:ascii="Arial" w:cs="Arial" w:eastAsia="Arial" w:hAnsi="Arial"/>
                <w:sz w:val="11"/>
                <w:szCs w:val="11"/>
                <w:color w:val="auto"/>
              </w:rPr>
              <w:t>Redev</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576,924</w:t>
            </w: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576,924</w:t>
            </w:r>
          </w:p>
        </w:tc>
        <w:tc>
          <w:tcPr>
            <w:tcW w:w="60" w:type="dxa"/>
            <w:vAlign w:val="bottom"/>
          </w:tcPr>
          <w:p>
            <w:pPr>
              <w:spacing w:after="0"/>
              <w:rPr>
                <w:sz w:val="14"/>
                <w:szCs w:val="14"/>
                <w:color w:val="auto"/>
              </w:rPr>
            </w:pPr>
          </w:p>
        </w:tc>
        <w:tc>
          <w:tcPr>
            <w:tcW w:w="680" w:type="dxa"/>
            <w:vAlign w:val="bottom"/>
          </w:tcPr>
          <w:p>
            <w:pPr>
              <w:jc w:val="right"/>
              <w:ind w:right="263"/>
              <w:spacing w:after="0"/>
              <w:rPr>
                <w:sz w:val="20"/>
                <w:szCs w:val="20"/>
                <w:color w:val="auto"/>
              </w:rPr>
            </w:pPr>
            <w:r>
              <w:rPr>
                <w:rFonts w:ascii="Arial" w:cs="Arial" w:eastAsia="Arial" w:hAnsi="Arial"/>
                <w:sz w:val="11"/>
                <w:szCs w:val="11"/>
                <w:color w:val="auto"/>
              </w:rPr>
              <w:t>29</w:t>
            </w:r>
          </w:p>
        </w:tc>
        <w:tc>
          <w:tcPr>
            <w:tcW w:w="60" w:type="dxa"/>
            <w:vAlign w:val="bottom"/>
          </w:tcPr>
          <w:p>
            <w:pPr>
              <w:spacing w:after="0"/>
              <w:rPr>
                <w:sz w:val="14"/>
                <w:szCs w:val="14"/>
                <w:color w:val="auto"/>
              </w:rPr>
            </w:pPr>
          </w:p>
        </w:tc>
        <w:tc>
          <w:tcPr>
            <w:tcW w:w="660" w:type="dxa"/>
            <w:vAlign w:val="bottom"/>
          </w:tcPr>
          <w:p>
            <w:pPr>
              <w:jc w:val="right"/>
              <w:ind w:right="103"/>
              <w:spacing w:after="0"/>
              <w:rPr>
                <w:sz w:val="20"/>
                <w:szCs w:val="20"/>
                <w:color w:val="auto"/>
              </w:rPr>
            </w:pPr>
            <w:r>
              <w:rPr>
                <w:rFonts w:ascii="Arial" w:cs="Arial" w:eastAsia="Arial" w:hAnsi="Arial"/>
                <w:sz w:val="11"/>
                <w:szCs w:val="11"/>
                <w:color w:val="auto"/>
              </w:rPr>
              <w:t>29</w:t>
            </w:r>
          </w:p>
        </w:tc>
        <w:tc>
          <w:tcPr>
            <w:tcW w:w="160" w:type="dxa"/>
            <w:vAlign w:val="bottom"/>
          </w:tcPr>
          <w:p>
            <w:pPr>
              <w:spacing w:after="0"/>
              <w:rPr>
                <w:sz w:val="14"/>
                <w:szCs w:val="14"/>
                <w:color w:val="auto"/>
              </w:rPr>
            </w:pPr>
          </w:p>
        </w:tc>
        <w:tc>
          <w:tcPr>
            <w:tcW w:w="720" w:type="dxa"/>
            <w:vAlign w:val="bottom"/>
            <w:gridSpan w:val="2"/>
          </w:tcPr>
          <w:p>
            <w:pPr>
              <w:jc w:val="center"/>
              <w:ind w:left="3"/>
              <w:spacing w:after="0"/>
              <w:rPr>
                <w:sz w:val="20"/>
                <w:szCs w:val="20"/>
                <w:color w:val="auto"/>
              </w:rPr>
            </w:pPr>
            <w:r>
              <w:rPr>
                <w:rFonts w:ascii="Arial" w:cs="Arial" w:eastAsia="Arial" w:hAnsi="Arial"/>
                <w:sz w:val="11"/>
                <w:szCs w:val="11"/>
                <w:color w:val="auto"/>
              </w:rPr>
              <w:t>2025</w:t>
            </w:r>
          </w:p>
        </w:tc>
        <w:tc>
          <w:tcPr>
            <w:tcW w:w="4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1"/>
                <w:szCs w:val="11"/>
                <w:color w:val="auto"/>
              </w:rPr>
              <w:t>2027</w:t>
            </w:r>
          </w:p>
        </w:tc>
        <w:tc>
          <w:tcPr>
            <w:tcW w:w="0" w:type="dxa"/>
            <w:vAlign w:val="bottom"/>
          </w:tcPr>
          <w:p>
            <w:pPr>
              <w:spacing w:after="0"/>
              <w:rPr>
                <w:sz w:val="1"/>
                <w:szCs w:val="1"/>
                <w:color w:val="auto"/>
              </w:rPr>
            </w:pPr>
          </w:p>
        </w:tc>
      </w:tr>
      <w:tr>
        <w:trPr>
          <w:trHeight w:val="141"/>
        </w:trPr>
        <w:tc>
          <w:tcPr>
            <w:tcW w:w="45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1"/>
                <w:szCs w:val="11"/>
                <w:color w:val="auto"/>
              </w:rPr>
              <w:t>Other/Greater Boston</w:t>
            </w:r>
          </w:p>
        </w:tc>
        <w:tc>
          <w:tcPr>
            <w:tcW w:w="780" w:type="dxa"/>
            <w:vAlign w:val="bottom"/>
            <w:tcBorders>
              <w:bottom w:val="single" w:sz="8" w:color="CCEEFF"/>
            </w:tcBorders>
            <w:gridSpan w:val="2"/>
            <w:shd w:val="clear" w:color="auto" w:fill="CCEEFF"/>
          </w:tcPr>
          <w:p>
            <w:pPr>
              <w:jc w:val="center"/>
              <w:ind w:right="20"/>
              <w:spacing w:after="0"/>
              <w:rPr>
                <w:sz w:val="20"/>
                <w:szCs w:val="20"/>
                <w:color w:val="auto"/>
              </w:rPr>
            </w:pPr>
            <w:r>
              <w:rPr>
                <w:rFonts w:ascii="Arial" w:cs="Arial" w:eastAsia="Arial" w:hAnsi="Arial"/>
                <w:sz w:val="11"/>
                <w:szCs w:val="11"/>
                <w:color w:val="auto"/>
              </w:rPr>
              <w:t>Redev</w:t>
            </w:r>
          </w:p>
        </w:tc>
        <w:tc>
          <w:tcPr>
            <w:tcW w:w="76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453,869</w:t>
            </w:r>
          </w:p>
        </w:tc>
        <w:tc>
          <w:tcPr>
            <w:tcW w:w="6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453,869</w:t>
            </w:r>
          </w:p>
        </w:tc>
        <w:tc>
          <w:tcPr>
            <w:tcW w:w="6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CCEEFF"/>
            </w:tcBorders>
            <w:shd w:val="clear" w:color="auto" w:fill="CCEEFF"/>
          </w:tcPr>
          <w:p>
            <w:pPr>
              <w:jc w:val="right"/>
              <w:ind w:right="103"/>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7"/>
                <w:szCs w:val="7"/>
                <w:color w:val="auto"/>
              </w:rPr>
              <w:t>(3)</w:t>
            </w:r>
          </w:p>
        </w:tc>
        <w:tc>
          <w:tcPr>
            <w:tcW w:w="720" w:type="dxa"/>
            <w:vAlign w:val="bottom"/>
            <w:tcBorders>
              <w:bottom w:val="single" w:sz="8" w:color="CCEEFF"/>
            </w:tcBorders>
            <w:gridSpan w:val="2"/>
            <w:shd w:val="clear" w:color="auto" w:fill="CCEEFF"/>
          </w:tcPr>
          <w:p>
            <w:pPr>
              <w:jc w:val="center"/>
              <w:ind w:left="3"/>
              <w:spacing w:after="0"/>
              <w:rPr>
                <w:sz w:val="20"/>
                <w:szCs w:val="20"/>
                <w:color w:val="auto"/>
              </w:rPr>
            </w:pPr>
            <w:r>
              <w:rPr>
                <w:rFonts w:ascii="Arial" w:cs="Arial" w:eastAsia="Arial" w:hAnsi="Arial"/>
                <w:sz w:val="11"/>
                <w:szCs w:val="11"/>
                <w:color w:val="auto"/>
              </w:rPr>
              <w:t>2027</w:t>
            </w:r>
          </w:p>
        </w:tc>
        <w:tc>
          <w:tcPr>
            <w:tcW w:w="4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1"/>
                <w:szCs w:val="11"/>
                <w:color w:val="auto"/>
              </w:rPr>
              <w:t>2027</w:t>
            </w:r>
          </w:p>
        </w:tc>
        <w:tc>
          <w:tcPr>
            <w:tcW w:w="0" w:type="dxa"/>
            <w:vAlign w:val="bottom"/>
          </w:tcPr>
          <w:p>
            <w:pPr>
              <w:spacing w:after="0"/>
              <w:rPr>
                <w:sz w:val="1"/>
                <w:szCs w:val="1"/>
                <w:color w:val="auto"/>
              </w:rPr>
            </w:pPr>
          </w:p>
        </w:tc>
      </w:tr>
      <w:tr>
        <w:trPr>
          <w:trHeight w:val="110"/>
        </w:trPr>
        <w:tc>
          <w:tcPr>
            <w:tcW w:w="4520" w:type="dxa"/>
            <w:vAlign w:val="bottom"/>
            <w:gridSpan w:val="2"/>
            <w:vMerge w:val="restart"/>
          </w:tcPr>
          <w:p>
            <w:pPr>
              <w:ind w:left="120"/>
              <w:spacing w:after="0"/>
              <w:rPr>
                <w:sz w:val="20"/>
                <w:szCs w:val="20"/>
                <w:color w:val="auto"/>
              </w:rPr>
            </w:pPr>
            <w:r>
              <w:rPr>
                <w:rFonts w:ascii="Arial" w:cs="Arial" w:eastAsia="Arial" w:hAnsi="Arial"/>
                <w:sz w:val="11"/>
                <w:szCs w:val="11"/>
                <w:color w:val="auto"/>
              </w:rPr>
              <w:t>1450 Owens Street/San Francisco Bay Area/Mission Bay</w:t>
            </w:r>
          </w:p>
        </w:tc>
        <w:tc>
          <w:tcPr>
            <w:tcW w:w="780" w:type="dxa"/>
            <w:vAlign w:val="bottom"/>
            <w:gridSpan w:val="2"/>
            <w:vMerge w:val="restart"/>
          </w:tcPr>
          <w:p>
            <w:pPr>
              <w:jc w:val="center"/>
              <w:ind w:right="20"/>
              <w:spacing w:after="0"/>
              <w:rPr>
                <w:sz w:val="20"/>
                <w:szCs w:val="20"/>
                <w:color w:val="auto"/>
              </w:rPr>
            </w:pPr>
            <w:r>
              <w:rPr>
                <w:rFonts w:ascii="Arial" w:cs="Arial" w:eastAsia="Arial" w:hAnsi="Arial"/>
                <w:sz w:val="11"/>
                <w:szCs w:val="11"/>
                <w:color w:val="auto"/>
              </w:rPr>
              <w:t>Dev</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9"/>
                <w:szCs w:val="9"/>
                <w:color w:val="auto"/>
              </w:rPr>
            </w:pPr>
          </w:p>
        </w:tc>
        <w:tc>
          <w:tcPr>
            <w:tcW w:w="740" w:type="dxa"/>
            <w:vAlign w:val="bottom"/>
            <w:vMerge w:val="restart"/>
          </w:tcPr>
          <w:p>
            <w:pPr>
              <w:jc w:val="right"/>
              <w:spacing w:after="0"/>
              <w:rPr>
                <w:sz w:val="20"/>
                <w:szCs w:val="20"/>
                <w:color w:val="auto"/>
              </w:rPr>
            </w:pPr>
            <w:r>
              <w:rPr>
                <w:rFonts w:ascii="Arial" w:cs="Arial" w:eastAsia="Arial" w:hAnsi="Arial"/>
                <w:sz w:val="11"/>
                <w:szCs w:val="11"/>
                <w:color w:val="auto"/>
              </w:rPr>
              <w:t>212,796</w:t>
            </w:r>
          </w:p>
        </w:tc>
        <w:tc>
          <w:tcPr>
            <w:tcW w:w="60" w:type="dxa"/>
            <w:vAlign w:val="bottom"/>
          </w:tcPr>
          <w:p>
            <w:pPr>
              <w:spacing w:after="0"/>
              <w:rPr>
                <w:sz w:val="9"/>
                <w:szCs w:val="9"/>
                <w:color w:val="auto"/>
              </w:rPr>
            </w:pPr>
          </w:p>
        </w:tc>
        <w:tc>
          <w:tcPr>
            <w:tcW w:w="740" w:type="dxa"/>
            <w:vAlign w:val="bottom"/>
            <w:vMerge w:val="restart"/>
          </w:tcPr>
          <w:p>
            <w:pPr>
              <w:jc w:val="right"/>
              <w:spacing w:after="0"/>
              <w:rPr>
                <w:sz w:val="20"/>
                <w:szCs w:val="20"/>
                <w:color w:val="auto"/>
              </w:rPr>
            </w:pPr>
            <w:r>
              <w:rPr>
                <w:rFonts w:ascii="Arial" w:cs="Arial" w:eastAsia="Arial" w:hAnsi="Arial"/>
                <w:sz w:val="11"/>
                <w:szCs w:val="11"/>
                <w:color w:val="auto"/>
              </w:rPr>
              <w:t>212,796</w:t>
            </w:r>
          </w:p>
        </w:tc>
        <w:tc>
          <w:tcPr>
            <w:tcW w:w="60" w:type="dxa"/>
            <w:vAlign w:val="bottom"/>
          </w:tcPr>
          <w:p>
            <w:pPr>
              <w:spacing w:after="0"/>
              <w:rPr>
                <w:sz w:val="9"/>
                <w:szCs w:val="9"/>
                <w:color w:val="auto"/>
              </w:rPr>
            </w:pPr>
          </w:p>
        </w:tc>
        <w:tc>
          <w:tcPr>
            <w:tcW w:w="740" w:type="dxa"/>
            <w:vAlign w:val="bottom"/>
            <w:gridSpan w:val="2"/>
            <w:vMerge w:val="restart"/>
          </w:tcPr>
          <w:p>
            <w:pPr>
              <w:jc w:val="right"/>
              <w:ind w:right="380"/>
              <w:spacing w:after="0"/>
              <w:rPr>
                <w:sz w:val="20"/>
                <w:szCs w:val="20"/>
                <w:color w:val="auto"/>
              </w:rPr>
            </w:pPr>
            <w:r>
              <w:rPr>
                <w:rFonts w:ascii="Arial" w:cs="Arial" w:eastAsia="Arial" w:hAnsi="Arial"/>
                <w:sz w:val="11"/>
                <w:szCs w:val="11"/>
                <w:color w:val="auto"/>
              </w:rPr>
              <w:t>—</w:t>
            </w:r>
          </w:p>
        </w:tc>
        <w:tc>
          <w:tcPr>
            <w:tcW w:w="660" w:type="dxa"/>
            <w:vAlign w:val="bottom"/>
            <w:vMerge w:val="restart"/>
          </w:tcPr>
          <w:p>
            <w:pPr>
              <w:jc w:val="right"/>
              <w:ind w:right="103"/>
              <w:spacing w:after="0"/>
              <w:rPr>
                <w:sz w:val="20"/>
                <w:szCs w:val="20"/>
                <w:color w:val="auto"/>
              </w:rPr>
            </w:pPr>
            <w:r>
              <w:rPr>
                <w:rFonts w:ascii="Arial" w:cs="Arial" w:eastAsia="Arial" w:hAnsi="Arial"/>
                <w:sz w:val="11"/>
                <w:szCs w:val="11"/>
                <w:color w:val="auto"/>
              </w:rPr>
              <w:t>—</w:t>
            </w:r>
          </w:p>
        </w:tc>
        <w:tc>
          <w:tcPr>
            <w:tcW w:w="160" w:type="dxa"/>
            <w:vAlign w:val="bottom"/>
          </w:tcPr>
          <w:p>
            <w:pPr>
              <w:jc w:val="right"/>
              <w:ind w:right="3"/>
              <w:spacing w:after="0"/>
              <w:rPr>
                <w:sz w:val="20"/>
                <w:szCs w:val="20"/>
                <w:color w:val="auto"/>
              </w:rPr>
            </w:pPr>
            <w:r>
              <w:rPr>
                <w:rFonts w:ascii="Arial" w:cs="Arial" w:eastAsia="Arial" w:hAnsi="Arial"/>
                <w:sz w:val="7"/>
                <w:szCs w:val="7"/>
                <w:color w:val="auto"/>
              </w:rPr>
              <w:t>(4)</w:t>
            </w:r>
          </w:p>
        </w:tc>
        <w:tc>
          <w:tcPr>
            <w:tcW w:w="720" w:type="dxa"/>
            <w:vAlign w:val="bottom"/>
            <w:gridSpan w:val="2"/>
            <w:vMerge w:val="restart"/>
          </w:tcPr>
          <w:p>
            <w:pPr>
              <w:jc w:val="center"/>
              <w:ind w:left="3"/>
              <w:spacing w:after="0"/>
              <w:rPr>
                <w:sz w:val="20"/>
                <w:szCs w:val="20"/>
                <w:color w:val="auto"/>
              </w:rPr>
            </w:pPr>
            <w:r>
              <w:rPr>
                <w:rFonts w:ascii="Arial" w:cs="Arial" w:eastAsia="Arial" w:hAnsi="Arial"/>
                <w:sz w:val="11"/>
                <w:szCs w:val="11"/>
                <w:color w:val="auto"/>
              </w:rPr>
              <w:t>2025</w:t>
            </w:r>
          </w:p>
        </w:tc>
        <w:tc>
          <w:tcPr>
            <w:tcW w:w="40" w:type="dxa"/>
            <w:vAlign w:val="bottom"/>
          </w:tcPr>
          <w:p>
            <w:pPr>
              <w:spacing w:after="0"/>
              <w:rPr>
                <w:sz w:val="9"/>
                <w:szCs w:val="9"/>
                <w:color w:val="auto"/>
              </w:rPr>
            </w:pPr>
          </w:p>
        </w:tc>
        <w:tc>
          <w:tcPr>
            <w:tcW w:w="600" w:type="dxa"/>
            <w:vAlign w:val="bottom"/>
            <w:vMerge w:val="restart"/>
          </w:tcPr>
          <w:p>
            <w:pPr>
              <w:jc w:val="center"/>
              <w:spacing w:after="0"/>
              <w:rPr>
                <w:sz w:val="20"/>
                <w:szCs w:val="20"/>
                <w:color w:val="auto"/>
              </w:rPr>
            </w:pPr>
            <w:r>
              <w:rPr>
                <w:rFonts w:ascii="Arial" w:cs="Arial" w:eastAsia="Arial" w:hAnsi="Arial"/>
                <w:sz w:val="11"/>
                <w:szCs w:val="11"/>
                <w:color w:val="auto"/>
              </w:rPr>
              <w:t>2026</w:t>
            </w:r>
          </w:p>
        </w:tc>
        <w:tc>
          <w:tcPr>
            <w:tcW w:w="0" w:type="dxa"/>
            <w:vAlign w:val="bottom"/>
          </w:tcPr>
          <w:p>
            <w:pPr>
              <w:spacing w:after="0"/>
              <w:rPr>
                <w:sz w:val="1"/>
                <w:szCs w:val="1"/>
                <w:color w:val="auto"/>
              </w:rPr>
            </w:pPr>
          </w:p>
        </w:tc>
      </w:tr>
      <w:tr>
        <w:trPr>
          <w:trHeight w:val="51"/>
        </w:trPr>
        <w:tc>
          <w:tcPr>
            <w:tcW w:w="4520" w:type="dxa"/>
            <w:vAlign w:val="bottom"/>
            <w:gridSpan w:val="2"/>
            <w:vMerge w:val="continue"/>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66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4520" w:type="dxa"/>
            <w:vAlign w:val="bottom"/>
            <w:gridSpan w:val="2"/>
            <w:shd w:val="clear" w:color="auto" w:fill="CCEEFF"/>
          </w:tcPr>
          <w:p>
            <w:pPr>
              <w:ind w:left="120"/>
              <w:spacing w:after="0"/>
              <w:rPr>
                <w:sz w:val="20"/>
                <w:szCs w:val="20"/>
                <w:color w:val="auto"/>
              </w:rPr>
            </w:pPr>
            <w:r>
              <w:rPr>
                <w:rFonts w:ascii="Arial" w:cs="Arial" w:eastAsia="Arial" w:hAnsi="Arial"/>
                <w:sz w:val="11"/>
                <w:szCs w:val="11"/>
                <w:color w:val="auto"/>
              </w:rPr>
              <w:t>651 Gateway Boulevard/San Francisco Bay Area/South San Francisco</w:t>
            </w:r>
          </w:p>
        </w:tc>
        <w:tc>
          <w:tcPr>
            <w:tcW w:w="780" w:type="dxa"/>
            <w:vAlign w:val="bottom"/>
            <w:gridSpan w:val="2"/>
            <w:shd w:val="clear" w:color="auto" w:fill="CCEEFF"/>
          </w:tcPr>
          <w:p>
            <w:pPr>
              <w:jc w:val="center"/>
              <w:ind w:right="20"/>
              <w:spacing w:after="0"/>
              <w:rPr>
                <w:sz w:val="20"/>
                <w:szCs w:val="20"/>
                <w:color w:val="auto"/>
              </w:rPr>
            </w:pPr>
            <w:r>
              <w:rPr>
                <w:rFonts w:ascii="Arial" w:cs="Arial" w:eastAsia="Arial" w:hAnsi="Arial"/>
                <w:sz w:val="11"/>
                <w:szCs w:val="11"/>
                <w:color w:val="auto"/>
              </w:rPr>
              <w:t>Redev</w:t>
            </w:r>
          </w:p>
        </w:tc>
        <w:tc>
          <w:tcPr>
            <w:tcW w:w="7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44,652</w:t>
            </w: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282,054</w:t>
            </w: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326,706</w:t>
            </w: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263"/>
              <w:spacing w:after="0"/>
              <w:rPr>
                <w:sz w:val="20"/>
                <w:szCs w:val="20"/>
                <w:color w:val="auto"/>
              </w:rPr>
            </w:pPr>
            <w:r>
              <w:rPr>
                <w:rFonts w:ascii="Arial" w:cs="Arial" w:eastAsia="Arial" w:hAnsi="Arial"/>
                <w:sz w:val="11"/>
                <w:szCs w:val="11"/>
                <w:color w:val="auto"/>
              </w:rPr>
              <w:t>21</w:t>
            </w: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21</w:t>
            </w: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center"/>
              <w:ind w:right="40"/>
              <w:spacing w:after="0"/>
              <w:rPr>
                <w:sz w:val="20"/>
                <w:szCs w:val="20"/>
                <w:color w:val="auto"/>
              </w:rPr>
            </w:pPr>
            <w:r>
              <w:rPr>
                <w:rFonts w:ascii="Arial" w:cs="Arial" w:eastAsia="Arial" w:hAnsi="Arial"/>
                <w:sz w:val="11"/>
                <w:szCs w:val="11"/>
                <w:color w:val="auto"/>
              </w:rPr>
              <w:t>1Q24</w:t>
            </w:r>
          </w:p>
        </w:tc>
        <w:tc>
          <w:tcPr>
            <w:tcW w:w="60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2026</w:t>
            </w:r>
          </w:p>
        </w:tc>
        <w:tc>
          <w:tcPr>
            <w:tcW w:w="0" w:type="dxa"/>
            <w:vAlign w:val="bottom"/>
          </w:tcPr>
          <w:p>
            <w:pPr>
              <w:spacing w:after="0"/>
              <w:rPr>
                <w:sz w:val="1"/>
                <w:szCs w:val="1"/>
                <w:color w:val="auto"/>
              </w:rPr>
            </w:pPr>
          </w:p>
        </w:tc>
      </w:tr>
      <w:tr>
        <w:trPr>
          <w:trHeight w:val="161"/>
        </w:trPr>
        <w:tc>
          <w:tcPr>
            <w:tcW w:w="4520" w:type="dxa"/>
            <w:vAlign w:val="bottom"/>
            <w:gridSpan w:val="2"/>
          </w:tcPr>
          <w:p>
            <w:pPr>
              <w:ind w:left="120"/>
              <w:spacing w:after="0"/>
              <w:rPr>
                <w:sz w:val="20"/>
                <w:szCs w:val="20"/>
                <w:color w:val="auto"/>
              </w:rPr>
            </w:pPr>
            <w:r>
              <w:rPr>
                <w:rFonts w:ascii="Arial" w:cs="Arial" w:eastAsia="Arial" w:hAnsi="Arial"/>
                <w:sz w:val="11"/>
                <w:szCs w:val="11"/>
                <w:color w:val="auto"/>
              </w:rPr>
              <w:t>10935, 10945, and 10955 Alexandria Way/San Diego/Torrey Pines</w:t>
            </w:r>
          </w:p>
        </w:tc>
        <w:tc>
          <w:tcPr>
            <w:tcW w:w="780" w:type="dxa"/>
            <w:vAlign w:val="bottom"/>
            <w:gridSpan w:val="2"/>
          </w:tcPr>
          <w:p>
            <w:pPr>
              <w:jc w:val="center"/>
              <w:ind w:right="20"/>
              <w:spacing w:after="0"/>
              <w:rPr>
                <w:sz w:val="20"/>
                <w:szCs w:val="20"/>
                <w:color w:val="auto"/>
              </w:rPr>
            </w:pPr>
            <w:r>
              <w:rPr>
                <w:rFonts w:ascii="Arial" w:cs="Arial" w:eastAsia="Arial" w:hAnsi="Arial"/>
                <w:sz w:val="11"/>
                <w:szCs w:val="11"/>
                <w:color w:val="auto"/>
              </w:rPr>
              <w:t>Dev</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334,996</w:t>
            </w: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334,996</w:t>
            </w:r>
          </w:p>
        </w:tc>
        <w:tc>
          <w:tcPr>
            <w:tcW w:w="60" w:type="dxa"/>
            <w:vAlign w:val="bottom"/>
          </w:tcPr>
          <w:p>
            <w:pPr>
              <w:spacing w:after="0"/>
              <w:rPr>
                <w:sz w:val="14"/>
                <w:szCs w:val="14"/>
                <w:color w:val="auto"/>
              </w:rPr>
            </w:pPr>
          </w:p>
        </w:tc>
        <w:tc>
          <w:tcPr>
            <w:tcW w:w="680" w:type="dxa"/>
            <w:vAlign w:val="bottom"/>
          </w:tcPr>
          <w:p>
            <w:pPr>
              <w:jc w:val="right"/>
              <w:ind w:right="263"/>
              <w:spacing w:after="0"/>
              <w:rPr>
                <w:sz w:val="20"/>
                <w:szCs w:val="20"/>
                <w:color w:val="auto"/>
              </w:rPr>
            </w:pPr>
            <w:r>
              <w:rPr>
                <w:rFonts w:ascii="Arial" w:cs="Arial" w:eastAsia="Arial" w:hAnsi="Arial"/>
                <w:sz w:val="11"/>
                <w:szCs w:val="11"/>
                <w:color w:val="auto"/>
              </w:rPr>
              <w:t>100</w:t>
            </w:r>
          </w:p>
        </w:tc>
        <w:tc>
          <w:tcPr>
            <w:tcW w:w="60" w:type="dxa"/>
            <w:vAlign w:val="bottom"/>
          </w:tcPr>
          <w:p>
            <w:pPr>
              <w:spacing w:after="0"/>
              <w:rPr>
                <w:sz w:val="14"/>
                <w:szCs w:val="14"/>
                <w:color w:val="auto"/>
              </w:rPr>
            </w:pPr>
          </w:p>
        </w:tc>
        <w:tc>
          <w:tcPr>
            <w:tcW w:w="660" w:type="dxa"/>
            <w:vAlign w:val="bottom"/>
          </w:tcPr>
          <w:p>
            <w:pPr>
              <w:jc w:val="right"/>
              <w:ind w:right="103"/>
              <w:spacing w:after="0"/>
              <w:rPr>
                <w:sz w:val="20"/>
                <w:szCs w:val="20"/>
                <w:color w:val="auto"/>
              </w:rPr>
            </w:pPr>
            <w:r>
              <w:rPr>
                <w:rFonts w:ascii="Arial" w:cs="Arial" w:eastAsia="Arial" w:hAnsi="Arial"/>
                <w:sz w:val="11"/>
                <w:szCs w:val="11"/>
                <w:color w:val="auto"/>
              </w:rPr>
              <w:t>100</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jc w:val="center"/>
              <w:ind w:right="40"/>
              <w:spacing w:after="0"/>
              <w:rPr>
                <w:sz w:val="20"/>
                <w:szCs w:val="20"/>
                <w:color w:val="auto"/>
              </w:rPr>
            </w:pPr>
            <w:r>
              <w:rPr>
                <w:rFonts w:ascii="Arial" w:cs="Arial" w:eastAsia="Arial" w:hAnsi="Arial"/>
                <w:sz w:val="11"/>
                <w:szCs w:val="11"/>
                <w:color w:val="auto"/>
              </w:rPr>
              <w:t>4Q24</w:t>
            </w:r>
          </w:p>
        </w:tc>
        <w:tc>
          <w:tcPr>
            <w:tcW w:w="600" w:type="dxa"/>
            <w:vAlign w:val="bottom"/>
          </w:tcPr>
          <w:p>
            <w:pPr>
              <w:jc w:val="center"/>
              <w:spacing w:after="0"/>
              <w:rPr>
                <w:sz w:val="20"/>
                <w:szCs w:val="20"/>
                <w:color w:val="auto"/>
              </w:rPr>
            </w:pPr>
            <w:r>
              <w:rPr>
                <w:rFonts w:ascii="Arial" w:cs="Arial" w:eastAsia="Arial" w:hAnsi="Arial"/>
                <w:sz w:val="11"/>
                <w:szCs w:val="11"/>
                <w:color w:val="auto"/>
              </w:rPr>
              <w:t>2026</w:t>
            </w:r>
          </w:p>
        </w:tc>
        <w:tc>
          <w:tcPr>
            <w:tcW w:w="0" w:type="dxa"/>
            <w:vAlign w:val="bottom"/>
          </w:tcPr>
          <w:p>
            <w:pPr>
              <w:spacing w:after="0"/>
              <w:rPr>
                <w:sz w:val="1"/>
                <w:szCs w:val="1"/>
                <w:color w:val="auto"/>
              </w:rPr>
            </w:pPr>
          </w:p>
        </w:tc>
      </w:tr>
      <w:tr>
        <w:trPr>
          <w:trHeight w:val="161"/>
        </w:trPr>
        <w:tc>
          <w:tcPr>
            <w:tcW w:w="4520" w:type="dxa"/>
            <w:vAlign w:val="bottom"/>
            <w:gridSpan w:val="2"/>
            <w:shd w:val="clear" w:color="auto" w:fill="CCEEFF"/>
          </w:tcPr>
          <w:p>
            <w:pPr>
              <w:ind w:left="120"/>
              <w:spacing w:after="0"/>
              <w:rPr>
                <w:sz w:val="20"/>
                <w:szCs w:val="20"/>
                <w:color w:val="auto"/>
              </w:rPr>
            </w:pPr>
            <w:r>
              <w:rPr>
                <w:rFonts w:ascii="Arial" w:cs="Arial" w:eastAsia="Arial" w:hAnsi="Arial"/>
                <w:sz w:val="11"/>
                <w:szCs w:val="11"/>
                <w:color w:val="auto"/>
              </w:rPr>
              <w:t>4135 Campus Point Court/San Diego/University Town Center</w:t>
            </w:r>
          </w:p>
        </w:tc>
        <w:tc>
          <w:tcPr>
            <w:tcW w:w="780" w:type="dxa"/>
            <w:vAlign w:val="bottom"/>
            <w:gridSpan w:val="2"/>
            <w:shd w:val="clear" w:color="auto" w:fill="CCEEFF"/>
          </w:tcPr>
          <w:p>
            <w:pPr>
              <w:jc w:val="center"/>
              <w:ind w:right="20"/>
              <w:spacing w:after="0"/>
              <w:rPr>
                <w:sz w:val="20"/>
                <w:szCs w:val="20"/>
                <w:color w:val="auto"/>
              </w:rPr>
            </w:pPr>
            <w:r>
              <w:rPr>
                <w:rFonts w:ascii="Arial" w:cs="Arial" w:eastAsia="Arial" w:hAnsi="Arial"/>
                <w:sz w:val="11"/>
                <w:szCs w:val="11"/>
                <w:color w:val="auto"/>
              </w:rPr>
              <w:t>Dev</w:t>
            </w:r>
          </w:p>
        </w:tc>
        <w:tc>
          <w:tcPr>
            <w:tcW w:w="7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426,927</w:t>
            </w: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426,927</w:t>
            </w: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263"/>
              <w:spacing w:after="0"/>
              <w:rPr>
                <w:sz w:val="20"/>
                <w:szCs w:val="20"/>
                <w:color w:val="auto"/>
              </w:rPr>
            </w:pPr>
            <w:r>
              <w:rPr>
                <w:rFonts w:ascii="Arial" w:cs="Arial" w:eastAsia="Arial" w:hAnsi="Arial"/>
                <w:sz w:val="11"/>
                <w:szCs w:val="11"/>
                <w:color w:val="auto"/>
              </w:rPr>
              <w:t>100</w:t>
            </w: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100</w:t>
            </w:r>
          </w:p>
        </w:tc>
        <w:tc>
          <w:tcPr>
            <w:tcW w:w="1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center"/>
              <w:ind w:left="3"/>
              <w:spacing w:after="0"/>
              <w:rPr>
                <w:sz w:val="20"/>
                <w:szCs w:val="20"/>
                <w:color w:val="auto"/>
              </w:rPr>
            </w:pPr>
            <w:r>
              <w:rPr>
                <w:rFonts w:ascii="Arial" w:cs="Arial" w:eastAsia="Arial" w:hAnsi="Arial"/>
                <w:sz w:val="11"/>
                <w:szCs w:val="11"/>
                <w:color w:val="auto"/>
              </w:rPr>
              <w:t>2026</w:t>
            </w:r>
          </w:p>
        </w:tc>
        <w:tc>
          <w:tcPr>
            <w:tcW w:w="40" w:type="dxa"/>
            <w:vAlign w:val="bottom"/>
            <w:shd w:val="clear" w:color="auto" w:fill="CCEEFF"/>
          </w:tcPr>
          <w:p>
            <w:pPr>
              <w:spacing w:after="0"/>
              <w:rPr>
                <w:sz w:val="14"/>
                <w:szCs w:val="14"/>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2026</w:t>
            </w:r>
          </w:p>
        </w:tc>
        <w:tc>
          <w:tcPr>
            <w:tcW w:w="0" w:type="dxa"/>
            <w:vAlign w:val="bottom"/>
          </w:tcPr>
          <w:p>
            <w:pPr>
              <w:spacing w:after="0"/>
              <w:rPr>
                <w:sz w:val="1"/>
                <w:szCs w:val="1"/>
                <w:color w:val="auto"/>
              </w:rPr>
            </w:pPr>
          </w:p>
        </w:tc>
      </w:tr>
      <w:tr>
        <w:trPr>
          <w:trHeight w:val="161"/>
        </w:trPr>
        <w:tc>
          <w:tcPr>
            <w:tcW w:w="4520" w:type="dxa"/>
            <w:vAlign w:val="bottom"/>
            <w:tcBorders>
              <w:bottom w:val="single" w:sz="8" w:color="CCEEFF"/>
            </w:tcBorders>
            <w:gridSpan w:val="2"/>
          </w:tcPr>
          <w:p>
            <w:pPr>
              <w:ind w:left="120"/>
              <w:spacing w:after="0"/>
              <w:rPr>
                <w:sz w:val="20"/>
                <w:szCs w:val="20"/>
                <w:color w:val="auto"/>
              </w:rPr>
            </w:pPr>
            <w:r>
              <w:rPr>
                <w:rFonts w:ascii="Arial" w:cs="Arial" w:eastAsia="Arial" w:hAnsi="Arial"/>
                <w:sz w:val="11"/>
                <w:szCs w:val="11"/>
                <w:color w:val="auto"/>
              </w:rPr>
              <w:t>10075 Barnes Canyon Road/San Diego/Sorrento Mesa</w:t>
            </w:r>
          </w:p>
        </w:tc>
        <w:tc>
          <w:tcPr>
            <w:tcW w:w="780" w:type="dxa"/>
            <w:vAlign w:val="bottom"/>
            <w:tcBorders>
              <w:bottom w:val="single" w:sz="8" w:color="CCEEFF"/>
            </w:tcBorders>
            <w:gridSpan w:val="2"/>
          </w:tcPr>
          <w:p>
            <w:pPr>
              <w:jc w:val="center"/>
              <w:ind w:right="20"/>
              <w:spacing w:after="0"/>
              <w:rPr>
                <w:sz w:val="20"/>
                <w:szCs w:val="20"/>
                <w:color w:val="auto"/>
              </w:rPr>
            </w:pPr>
            <w:r>
              <w:rPr>
                <w:rFonts w:ascii="Arial" w:cs="Arial" w:eastAsia="Arial" w:hAnsi="Arial"/>
                <w:sz w:val="11"/>
                <w:szCs w:val="11"/>
                <w:color w:val="auto"/>
              </w:rPr>
              <w:t>Dev</w:t>
            </w:r>
          </w:p>
        </w:tc>
        <w:tc>
          <w:tcPr>
            <w:tcW w:w="7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253,079</w:t>
            </w:r>
          </w:p>
        </w:tc>
        <w:tc>
          <w:tcPr>
            <w:tcW w:w="6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253,079</w:t>
            </w:r>
          </w:p>
        </w:tc>
        <w:tc>
          <w:tcPr>
            <w:tcW w:w="6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ind w:right="263"/>
              <w:spacing w:after="0"/>
              <w:rPr>
                <w:sz w:val="20"/>
                <w:szCs w:val="20"/>
                <w:color w:val="auto"/>
              </w:rPr>
            </w:pPr>
            <w:r>
              <w:rPr>
                <w:rFonts w:ascii="Arial" w:cs="Arial" w:eastAsia="Arial" w:hAnsi="Arial"/>
                <w:sz w:val="11"/>
                <w:szCs w:val="11"/>
                <w:color w:val="auto"/>
              </w:rPr>
              <w:t>70</w:t>
            </w:r>
          </w:p>
        </w:tc>
        <w:tc>
          <w:tcPr>
            <w:tcW w:w="6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color w:val="auto"/>
              </w:rPr>
              <w:t>70</w:t>
            </w: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CCEEFF"/>
            </w:tcBorders>
            <w:gridSpan w:val="2"/>
          </w:tcPr>
          <w:p>
            <w:pPr>
              <w:jc w:val="center"/>
              <w:ind w:left="3"/>
              <w:spacing w:after="0"/>
              <w:rPr>
                <w:sz w:val="20"/>
                <w:szCs w:val="20"/>
                <w:color w:val="auto"/>
              </w:rPr>
            </w:pPr>
            <w:r>
              <w:rPr>
                <w:rFonts w:ascii="Arial" w:cs="Arial" w:eastAsia="Arial" w:hAnsi="Arial"/>
                <w:sz w:val="11"/>
                <w:szCs w:val="11"/>
                <w:color w:val="auto"/>
              </w:rPr>
              <w:t>2025</w:t>
            </w:r>
          </w:p>
        </w:tc>
        <w:tc>
          <w:tcPr>
            <w:tcW w:w="40" w:type="dxa"/>
            <w:vAlign w:val="bottom"/>
            <w:tcBorders>
              <w:bottom w:val="single" w:sz="8" w:color="CCEEFF"/>
            </w:tcBorders>
          </w:tcPr>
          <w:p>
            <w:pPr>
              <w:spacing w:after="0"/>
              <w:rPr>
                <w:sz w:val="14"/>
                <w:szCs w:val="14"/>
                <w:color w:val="auto"/>
              </w:rPr>
            </w:pPr>
          </w:p>
        </w:tc>
        <w:tc>
          <w:tcPr>
            <w:tcW w:w="600" w:type="dxa"/>
            <w:vAlign w:val="bottom"/>
            <w:tcBorders>
              <w:bottom w:val="single" w:sz="8" w:color="CCEEFF"/>
            </w:tcBorders>
          </w:tcPr>
          <w:p>
            <w:pPr>
              <w:jc w:val="center"/>
              <w:spacing w:after="0"/>
              <w:rPr>
                <w:sz w:val="20"/>
                <w:szCs w:val="20"/>
                <w:color w:val="auto"/>
              </w:rPr>
            </w:pPr>
            <w:r>
              <w:rPr>
                <w:rFonts w:ascii="Arial" w:cs="Arial" w:eastAsia="Arial" w:hAnsi="Arial"/>
                <w:sz w:val="11"/>
                <w:szCs w:val="11"/>
                <w:color w:val="auto"/>
              </w:rPr>
              <w:t>2026</w:t>
            </w:r>
          </w:p>
        </w:tc>
        <w:tc>
          <w:tcPr>
            <w:tcW w:w="0" w:type="dxa"/>
            <w:vAlign w:val="bottom"/>
          </w:tcPr>
          <w:p>
            <w:pPr>
              <w:spacing w:after="0"/>
              <w:rPr>
                <w:sz w:val="1"/>
                <w:szCs w:val="1"/>
                <w:color w:val="auto"/>
              </w:rPr>
            </w:pPr>
          </w:p>
        </w:tc>
      </w:tr>
      <w:tr>
        <w:trPr>
          <w:trHeight w:val="141"/>
        </w:trPr>
        <w:tc>
          <w:tcPr>
            <w:tcW w:w="44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126,868</w:t>
            </w:r>
          </w:p>
        </w:tc>
        <w:tc>
          <w:tcPr>
            <w:tcW w:w="18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3,401,061</w:t>
            </w:r>
          </w:p>
        </w:tc>
        <w:tc>
          <w:tcPr>
            <w:tcW w:w="6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3,527,929</w:t>
            </w:r>
          </w:p>
        </w:tc>
        <w:tc>
          <w:tcPr>
            <w:tcW w:w="60" w:type="dxa"/>
            <w:vAlign w:val="bottom"/>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ind w:right="263"/>
              <w:spacing w:after="0"/>
              <w:rPr>
                <w:sz w:val="20"/>
                <w:szCs w:val="20"/>
                <w:color w:val="auto"/>
              </w:rPr>
            </w:pPr>
            <w:r>
              <w:rPr>
                <w:rFonts w:ascii="Arial" w:cs="Arial" w:eastAsia="Arial" w:hAnsi="Arial"/>
                <w:sz w:val="11"/>
                <w:szCs w:val="11"/>
                <w:color w:val="auto"/>
              </w:rPr>
              <w:t>38</w:t>
            </w:r>
          </w:p>
        </w:tc>
        <w:tc>
          <w:tcPr>
            <w:tcW w:w="60" w:type="dxa"/>
            <w:vAlign w:val="bottom"/>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color w:val="auto"/>
              </w:rPr>
              <w:t>38</w:t>
            </w:r>
          </w:p>
        </w:tc>
        <w:tc>
          <w:tcPr>
            <w:tcW w:w="160" w:type="dxa"/>
            <w:vAlign w:val="bottom"/>
            <w:tcBorders>
              <w:bottom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1,782,997</w:t>
            </w:r>
          </w:p>
        </w:tc>
        <w:tc>
          <w:tcPr>
            <w:tcW w:w="1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4,940,345</w:t>
            </w:r>
          </w:p>
        </w:tc>
        <w:tc>
          <w:tcPr>
            <w:tcW w:w="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6,723,342</w:t>
            </w:r>
          </w:p>
        </w:tc>
        <w:tc>
          <w:tcPr>
            <w:tcW w:w="60" w:type="dxa"/>
            <w:vAlign w:val="bottom"/>
          </w:tcPr>
          <w:p>
            <w:pPr>
              <w:spacing w:after="0"/>
              <w:rPr>
                <w:sz w:val="12"/>
                <w:szCs w:val="12"/>
                <w:color w:val="auto"/>
              </w:rPr>
            </w:pPr>
          </w:p>
        </w:tc>
        <w:tc>
          <w:tcPr>
            <w:tcW w:w="680" w:type="dxa"/>
            <w:vAlign w:val="bottom"/>
          </w:tcPr>
          <w:p>
            <w:pPr>
              <w:jc w:val="right"/>
              <w:ind w:right="263"/>
              <w:spacing w:after="0"/>
              <w:rPr>
                <w:sz w:val="20"/>
                <w:szCs w:val="20"/>
                <w:color w:val="auto"/>
              </w:rPr>
            </w:pPr>
            <w:r>
              <w:rPr>
                <w:rFonts w:ascii="Arial" w:cs="Arial" w:eastAsia="Arial" w:hAnsi="Arial"/>
                <w:sz w:val="11"/>
                <w:szCs w:val="11"/>
                <w:color w:val="auto"/>
              </w:rPr>
              <w:t>61</w:t>
            </w:r>
          </w:p>
        </w:tc>
        <w:tc>
          <w:tcPr>
            <w:tcW w:w="60" w:type="dxa"/>
            <w:vAlign w:val="bottom"/>
          </w:tcPr>
          <w:p>
            <w:pPr>
              <w:spacing w:after="0"/>
              <w:rPr>
                <w:sz w:val="12"/>
                <w:szCs w:val="12"/>
                <w:color w:val="auto"/>
              </w:rPr>
            </w:pPr>
          </w:p>
        </w:tc>
        <w:tc>
          <w:tcPr>
            <w:tcW w:w="660" w:type="dxa"/>
            <w:vAlign w:val="bottom"/>
          </w:tcPr>
          <w:p>
            <w:pPr>
              <w:jc w:val="right"/>
              <w:ind w:right="103"/>
              <w:spacing w:after="0"/>
              <w:rPr>
                <w:sz w:val="20"/>
                <w:szCs w:val="20"/>
                <w:color w:val="auto"/>
              </w:rPr>
            </w:pPr>
            <w:r>
              <w:rPr>
                <w:rFonts w:ascii="Arial" w:cs="Arial" w:eastAsia="Arial" w:hAnsi="Arial"/>
                <w:sz w:val="11"/>
                <w:szCs w:val="11"/>
                <w:color w:val="auto"/>
              </w:rPr>
              <w:t>61</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5300" w:type="dxa"/>
            <w:vAlign w:val="bottom"/>
            <w:gridSpan w:val="4"/>
            <w:shd w:val="clear" w:color="auto" w:fill="CCEEFF"/>
          </w:tcPr>
          <w:p>
            <w:pPr>
              <w:ind w:left="40"/>
              <w:spacing w:after="0"/>
              <w:rPr>
                <w:sz w:val="20"/>
                <w:szCs w:val="20"/>
                <w:color w:val="auto"/>
              </w:rPr>
            </w:pPr>
            <w:r>
              <w:rPr>
                <w:rFonts w:ascii="Arial" w:cs="Arial" w:eastAsia="Arial" w:hAnsi="Arial"/>
                <w:sz w:val="11"/>
                <w:szCs w:val="11"/>
                <w:b w:val="1"/>
                <w:bCs w:val="1"/>
                <w:color w:val="auto"/>
              </w:rPr>
              <w:t>Committed near-term project expected to commence construction in the next two years</w:t>
            </w:r>
          </w:p>
        </w:tc>
        <w:tc>
          <w:tcPr>
            <w:tcW w:w="7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520" w:type="dxa"/>
            <w:vAlign w:val="bottom"/>
            <w:gridSpan w:val="2"/>
          </w:tcPr>
          <w:p>
            <w:pPr>
              <w:ind w:left="120"/>
              <w:spacing w:after="0"/>
              <w:rPr>
                <w:sz w:val="20"/>
                <w:szCs w:val="20"/>
                <w:color w:val="auto"/>
              </w:rPr>
            </w:pPr>
            <w:r>
              <w:rPr>
                <w:rFonts w:ascii="Arial" w:cs="Arial" w:eastAsia="Arial" w:hAnsi="Arial"/>
                <w:sz w:val="11"/>
                <w:szCs w:val="11"/>
                <w:color w:val="auto"/>
              </w:rPr>
              <w:t>4165 Campus Point Court/San Diego/University Town Center</w:t>
            </w:r>
          </w:p>
        </w:tc>
        <w:tc>
          <w:tcPr>
            <w:tcW w:w="780" w:type="dxa"/>
            <w:vAlign w:val="bottom"/>
            <w:gridSpan w:val="2"/>
          </w:tcPr>
          <w:p>
            <w:pPr>
              <w:jc w:val="center"/>
              <w:ind w:right="20"/>
              <w:spacing w:after="0"/>
              <w:rPr>
                <w:sz w:val="20"/>
                <w:szCs w:val="20"/>
                <w:color w:val="auto"/>
              </w:rPr>
            </w:pPr>
            <w:r>
              <w:rPr>
                <w:rFonts w:ascii="Arial" w:cs="Arial" w:eastAsia="Arial" w:hAnsi="Arial"/>
                <w:sz w:val="11"/>
                <w:szCs w:val="11"/>
                <w:color w:val="auto"/>
              </w:rPr>
              <w:t>Dev</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492,570</w:t>
            </w: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492,570</w:t>
            </w:r>
          </w:p>
        </w:tc>
        <w:tc>
          <w:tcPr>
            <w:tcW w:w="60" w:type="dxa"/>
            <w:vAlign w:val="bottom"/>
          </w:tcPr>
          <w:p>
            <w:pPr>
              <w:spacing w:after="0"/>
              <w:rPr>
                <w:sz w:val="14"/>
                <w:szCs w:val="14"/>
                <w:color w:val="auto"/>
              </w:rPr>
            </w:pPr>
          </w:p>
        </w:tc>
        <w:tc>
          <w:tcPr>
            <w:tcW w:w="740" w:type="dxa"/>
            <w:vAlign w:val="bottom"/>
            <w:gridSpan w:val="2"/>
          </w:tcPr>
          <w:p>
            <w:pPr>
              <w:jc w:val="right"/>
              <w:ind w:right="380"/>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103"/>
              <w:spacing w:after="0"/>
              <w:rPr>
                <w:sz w:val="20"/>
                <w:szCs w:val="20"/>
                <w:color w:val="auto"/>
              </w:rPr>
            </w:pPr>
            <w:r>
              <w:rPr>
                <w:rFonts w:ascii="Arial" w:cs="Arial" w:eastAsia="Arial" w:hAnsi="Arial"/>
                <w:sz w:val="11"/>
                <w:szCs w:val="11"/>
                <w:color w:val="auto"/>
              </w:rPr>
              <w:t>51</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4520" w:type="dxa"/>
            <w:vAlign w:val="bottom"/>
            <w:tcBorders>
              <w:top w:val="single" w:sz="8" w:color="CCEEFF"/>
              <w:bottom w:val="single" w:sz="8" w:color="CCEEFF"/>
            </w:tcBorders>
            <w:gridSpan w:val="2"/>
            <w:shd w:val="clear" w:color="auto" w:fill="CCEEFF"/>
          </w:tcPr>
          <w:p>
            <w:pPr>
              <w:ind w:left="40"/>
              <w:spacing w:after="0" w:line="120" w:lineRule="exact"/>
              <w:rPr>
                <w:sz w:val="20"/>
                <w:szCs w:val="20"/>
                <w:color w:val="auto"/>
              </w:rPr>
            </w:pPr>
            <w:r>
              <w:rPr>
                <w:rFonts w:ascii="Arial" w:cs="Arial" w:eastAsia="Arial" w:hAnsi="Arial"/>
                <w:sz w:val="11"/>
                <w:szCs w:val="11"/>
                <w:color w:val="auto"/>
              </w:rPr>
              <w:t>Total</w:t>
            </w:r>
          </w:p>
        </w:tc>
        <w:tc>
          <w:tcPr>
            <w:tcW w:w="72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ind w:right="3"/>
              <w:spacing w:after="0" w:line="120" w:lineRule="exact"/>
              <w:rPr>
                <w:sz w:val="20"/>
                <w:szCs w:val="20"/>
                <w:color w:val="auto"/>
              </w:rPr>
            </w:pPr>
            <w:r>
              <w:rPr>
                <w:rFonts w:ascii="Arial" w:cs="Arial" w:eastAsia="Arial" w:hAnsi="Arial"/>
                <w:sz w:val="11"/>
                <w:szCs w:val="11"/>
                <w:color w:val="auto"/>
              </w:rPr>
              <w:t>1,782,997</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spacing w:after="0" w:line="120" w:lineRule="exact"/>
              <w:rPr>
                <w:sz w:val="20"/>
                <w:szCs w:val="20"/>
                <w:color w:val="auto"/>
              </w:rPr>
            </w:pPr>
            <w:r>
              <w:rPr>
                <w:rFonts w:ascii="Arial" w:cs="Arial" w:eastAsia="Arial" w:hAnsi="Arial"/>
                <w:sz w:val="11"/>
                <w:szCs w:val="11"/>
                <w:color w:val="auto"/>
              </w:rPr>
              <w:t>5,432,915</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spacing w:after="0" w:line="120" w:lineRule="exact"/>
              <w:rPr>
                <w:sz w:val="20"/>
                <w:szCs w:val="20"/>
                <w:color w:val="auto"/>
              </w:rPr>
            </w:pPr>
            <w:r>
              <w:rPr>
                <w:rFonts w:ascii="Arial" w:cs="Arial" w:eastAsia="Arial" w:hAnsi="Arial"/>
                <w:sz w:val="11"/>
                <w:szCs w:val="11"/>
                <w:color w:val="auto"/>
              </w:rPr>
              <w:t>7,215,912</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ind w:right="163"/>
              <w:spacing w:after="0" w:line="120" w:lineRule="exact"/>
              <w:rPr>
                <w:sz w:val="20"/>
                <w:szCs w:val="20"/>
                <w:color w:val="auto"/>
              </w:rPr>
            </w:pPr>
            <w:r>
              <w:rPr>
                <w:rFonts w:ascii="Arial" w:cs="Arial" w:eastAsia="Arial" w:hAnsi="Arial"/>
                <w:sz w:val="11"/>
                <w:szCs w:val="11"/>
                <w:color w:val="auto"/>
              </w:rPr>
              <w:t>57%</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ind w:right="3"/>
              <w:spacing w:after="0" w:line="120" w:lineRule="exact"/>
              <w:rPr>
                <w:sz w:val="20"/>
                <w:szCs w:val="20"/>
                <w:color w:val="auto"/>
              </w:rPr>
            </w:pPr>
            <w:r>
              <w:rPr>
                <w:rFonts w:ascii="Arial" w:cs="Arial" w:eastAsia="Arial" w:hAnsi="Arial"/>
                <w:sz w:val="11"/>
                <w:szCs w:val="11"/>
                <w:color w:val="auto"/>
              </w:rPr>
              <w:t>61%</w:t>
            </w: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68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60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97" w:lineRule="exact"/>
        <w:rPr>
          <w:sz w:val="20"/>
          <w:szCs w:val="20"/>
          <w:color w:val="auto"/>
        </w:rPr>
      </w:pPr>
    </w:p>
    <w:p>
      <w:pPr>
        <w:ind w:left="320" w:hanging="261"/>
        <w:spacing w:after="0"/>
        <w:tabs>
          <w:tab w:leader="none" w:pos="320" w:val="left"/>
        </w:tabs>
        <w:numPr>
          <w:ilvl w:val="0"/>
          <w:numId w:val="88"/>
        </w:numPr>
        <w:rPr>
          <w:rFonts w:ascii="Arial" w:cs="Arial" w:eastAsia="Arial" w:hAnsi="Arial"/>
          <w:sz w:val="10"/>
          <w:szCs w:val="10"/>
          <w:color w:val="auto"/>
        </w:rPr>
      </w:pPr>
      <w:r>
        <w:rPr>
          <w:rFonts w:ascii="Arial" w:cs="Arial" w:eastAsia="Arial" w:hAnsi="Arial"/>
          <w:sz w:val="10"/>
          <w:szCs w:val="10"/>
          <w:color w:val="auto"/>
        </w:rPr>
        <w:t>Initial occupancy dates are subject to leasing and/or market conditions. Stabilized occupancy may vary depending on single tenancy versus multi-tenancy. Multi-tenant projects may increase in occupancy over a period of time.</w:t>
      </w:r>
    </w:p>
    <w:p>
      <w:pPr>
        <w:spacing w:after="0" w:line="13" w:lineRule="exact"/>
        <w:rPr>
          <w:rFonts w:ascii="Arial" w:cs="Arial" w:eastAsia="Arial" w:hAnsi="Arial"/>
          <w:sz w:val="10"/>
          <w:szCs w:val="10"/>
          <w:color w:val="auto"/>
        </w:rPr>
      </w:pPr>
    </w:p>
    <w:p>
      <w:pPr>
        <w:ind w:left="320" w:right="560" w:hanging="261"/>
        <w:spacing w:after="0" w:line="257" w:lineRule="auto"/>
        <w:tabs>
          <w:tab w:leader="none" w:pos="320" w:val="left"/>
        </w:tabs>
        <w:numPr>
          <w:ilvl w:val="0"/>
          <w:numId w:val="88"/>
        </w:numPr>
        <w:rPr>
          <w:rFonts w:ascii="Arial" w:cs="Arial" w:eastAsia="Arial" w:hAnsi="Arial"/>
          <w:sz w:val="10"/>
          <w:szCs w:val="10"/>
          <w:color w:val="auto"/>
        </w:rPr>
      </w:pPr>
      <w:r>
        <w:rPr>
          <w:rFonts w:ascii="Arial" w:cs="Arial" w:eastAsia="Arial" w:hAnsi="Arial"/>
          <w:sz w:val="10"/>
          <w:szCs w:val="10"/>
          <w:color w:val="auto"/>
        </w:rPr>
        <w:t>We expect to redevelop an additional 25,312 RSF of space occupied as of June 30, 2024 into laboratory space upon expiration of the existing leases through the second half of 2025. Refer to “Investments in real estate” under “Definitions and reconciliations” in Item 2 for additional information.</w:t>
      </w:r>
    </w:p>
    <w:p>
      <w:pPr>
        <w:ind w:left="320" w:hanging="261"/>
        <w:spacing w:after="0"/>
        <w:tabs>
          <w:tab w:leader="none" w:pos="320" w:val="left"/>
        </w:tabs>
        <w:numPr>
          <w:ilvl w:val="0"/>
          <w:numId w:val="88"/>
        </w:numPr>
        <w:rPr>
          <w:rFonts w:ascii="Arial" w:cs="Arial" w:eastAsia="Arial" w:hAnsi="Arial"/>
          <w:sz w:val="10"/>
          <w:szCs w:val="10"/>
          <w:color w:val="auto"/>
        </w:rPr>
      </w:pPr>
      <w:r>
        <w:rPr>
          <w:rFonts w:ascii="Arial" w:cs="Arial" w:eastAsia="Arial" w:hAnsi="Arial"/>
          <w:sz w:val="10"/>
          <w:szCs w:val="10"/>
          <w:color w:val="auto"/>
        </w:rPr>
        <w:t>Represents a project focused on demand from our existing tenants in our adjacent properties/campuses and that will also address demand from other non-Alexandria properties/campuses.</w:t>
      </w:r>
    </w:p>
    <w:p>
      <w:pPr>
        <w:spacing w:after="0" w:line="3" w:lineRule="exact"/>
        <w:rPr>
          <w:rFonts w:ascii="Arial" w:cs="Arial" w:eastAsia="Arial" w:hAnsi="Arial"/>
          <w:sz w:val="10"/>
          <w:szCs w:val="10"/>
          <w:color w:val="auto"/>
        </w:rPr>
      </w:pPr>
    </w:p>
    <w:p>
      <w:pPr>
        <w:ind w:left="320" w:right="440" w:hanging="261"/>
        <w:spacing w:after="0" w:line="262" w:lineRule="auto"/>
        <w:tabs>
          <w:tab w:leader="none" w:pos="320" w:val="left"/>
        </w:tabs>
        <w:numPr>
          <w:ilvl w:val="0"/>
          <w:numId w:val="88"/>
        </w:numPr>
        <w:rPr>
          <w:rFonts w:ascii="Arial" w:cs="Arial" w:eastAsia="Arial" w:hAnsi="Arial"/>
          <w:sz w:val="10"/>
          <w:szCs w:val="10"/>
          <w:color w:val="auto"/>
        </w:rPr>
      </w:pPr>
      <w:r>
        <w:rPr>
          <w:rFonts w:ascii="Arial" w:cs="Arial" w:eastAsia="Arial" w:hAnsi="Arial"/>
          <w:sz w:val="10"/>
          <w:szCs w:val="10"/>
          <w:color w:val="auto"/>
        </w:rPr>
        <w:t>Represents a single- or multi-tenant project expanding our existing mega campus, where our joint venture partner will fund 100% of the construction cost until it attains an ownership interest of 75%, after which it will contribute its respective share of additional capital. We are currently marketing the space for lease and have initial interest from publicly traded biotechnology and institutional tenants.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188595</wp:posOffset>
            </wp:positionV>
            <wp:extent cx="7212965" cy="51377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12965" cy="5137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New Class A/A+ development and redevelopment properties: current projects (continued)</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4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vMerge w:val="restart"/>
          </w:tcPr>
          <w:p>
            <w:pPr>
              <w:jc w:val="center"/>
              <w:ind w:right="40"/>
              <w:spacing w:after="0"/>
              <w:rPr>
                <w:sz w:val="20"/>
                <w:szCs w:val="20"/>
                <w:color w:val="auto"/>
              </w:rPr>
            </w:pPr>
            <w:r>
              <w:rPr>
                <w:rFonts w:ascii="Arial" w:cs="Arial" w:eastAsia="Arial" w:hAnsi="Arial"/>
                <w:sz w:val="11"/>
                <w:szCs w:val="11"/>
                <w:b w:val="1"/>
                <w:bCs w:val="1"/>
                <w:color w:val="auto"/>
              </w:rPr>
              <w:t>Our</w:t>
            </w: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gridSpan w:val="3"/>
          </w:tcPr>
          <w:p>
            <w:pPr>
              <w:jc w:val="right"/>
              <w:ind w:right="443"/>
              <w:spacing w:after="0"/>
              <w:rPr>
                <w:sz w:val="20"/>
                <w:szCs w:val="20"/>
                <w:color w:val="auto"/>
              </w:rPr>
            </w:pPr>
            <w:r>
              <w:rPr>
                <w:rFonts w:ascii="Arial" w:cs="Arial" w:eastAsia="Arial" w:hAnsi="Arial"/>
                <w:sz w:val="11"/>
                <w:szCs w:val="11"/>
                <w:b w:val="1"/>
                <w:bCs w:val="1"/>
                <w:color w:val="auto"/>
              </w:rPr>
              <w:t>At 100%</w:t>
            </w:r>
          </w:p>
        </w:tc>
        <w:tc>
          <w:tcPr>
            <w:tcW w:w="1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760" w:type="dxa"/>
            <w:vAlign w:val="bottom"/>
            <w:tcBorders>
              <w:bottom w:val="single" w:sz="8" w:color="auto"/>
            </w:tcBorders>
            <w:gridSpan w:val="3"/>
          </w:tcPr>
          <w:p>
            <w:pPr>
              <w:jc w:val="right"/>
              <w:ind w:right="343"/>
              <w:spacing w:after="0"/>
              <w:rPr>
                <w:sz w:val="20"/>
                <w:szCs w:val="20"/>
                <w:color w:val="auto"/>
              </w:rPr>
            </w:pPr>
            <w:r>
              <w:rPr>
                <w:rFonts w:ascii="Arial" w:cs="Arial" w:eastAsia="Arial" w:hAnsi="Arial"/>
                <w:sz w:val="11"/>
                <w:szCs w:val="11"/>
                <w:b w:val="1"/>
                <w:bCs w:val="1"/>
                <w:color w:val="auto"/>
              </w:rPr>
              <w:t>Unlevered Yields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4"/>
        </w:trPr>
        <w:tc>
          <w:tcPr>
            <w:tcW w:w="46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vMerge w:val="restart"/>
          </w:tcPr>
          <w:p>
            <w:pPr>
              <w:jc w:val="right"/>
              <w:ind w:right="123"/>
              <w:spacing w:after="0"/>
              <w:rPr>
                <w:sz w:val="20"/>
                <w:szCs w:val="20"/>
                <w:color w:val="auto"/>
              </w:rPr>
            </w:pPr>
            <w:r>
              <w:rPr>
                <w:rFonts w:ascii="Arial" w:cs="Arial" w:eastAsia="Arial" w:hAnsi="Arial"/>
                <w:sz w:val="11"/>
                <w:szCs w:val="11"/>
                <w:b w:val="1"/>
                <w:bCs w:val="1"/>
                <w:color w:val="auto"/>
              </w:rPr>
              <w:t>Cost to</w:t>
            </w: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Total at</w:t>
            </w: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gridSpan w:val="2"/>
            <w:vMerge w:val="restart"/>
          </w:tcPr>
          <w:p>
            <w:pPr>
              <w:jc w:val="center"/>
              <w:ind w:right="20"/>
              <w:spacing w:after="0"/>
              <w:rPr>
                <w:sz w:val="20"/>
                <w:szCs w:val="20"/>
                <w:color w:val="auto"/>
              </w:rPr>
            </w:pPr>
            <w:r>
              <w:rPr>
                <w:rFonts w:ascii="Arial" w:cs="Arial" w:eastAsia="Arial" w:hAnsi="Arial"/>
                <w:sz w:val="11"/>
                <w:szCs w:val="11"/>
                <w:b w:val="1"/>
                <w:bCs w:val="1"/>
                <w:color w:val="auto"/>
              </w:rPr>
              <w:t>Initial</w:t>
            </w:r>
          </w:p>
        </w:tc>
        <w:tc>
          <w:tcPr>
            <w:tcW w:w="96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Initial Stabilized</w:t>
            </w: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10"/>
        </w:trPr>
        <w:tc>
          <w:tcPr>
            <w:tcW w:w="468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Property/Market/Submarket</w:t>
            </w:r>
          </w:p>
        </w:tc>
        <w:tc>
          <w:tcPr>
            <w:tcW w:w="60" w:type="dxa"/>
            <w:vAlign w:val="bottom"/>
          </w:tcPr>
          <w:p>
            <w:pPr>
              <w:spacing w:after="0"/>
              <w:rPr>
                <w:sz w:val="9"/>
                <w:szCs w:val="9"/>
                <w:color w:val="auto"/>
              </w:rPr>
            </w:pPr>
          </w:p>
        </w:tc>
        <w:tc>
          <w:tcPr>
            <w:tcW w:w="720" w:type="dxa"/>
            <w:vAlign w:val="bottom"/>
            <w:gridSpan w:val="2"/>
          </w:tcPr>
          <w:p>
            <w:pPr>
              <w:jc w:val="center"/>
              <w:ind w:right="60"/>
              <w:spacing w:after="0" w:line="110" w:lineRule="exact"/>
              <w:rPr>
                <w:sz w:val="20"/>
                <w:szCs w:val="20"/>
                <w:color w:val="auto"/>
              </w:rPr>
            </w:pPr>
            <w:r>
              <w:rPr>
                <w:rFonts w:ascii="Arial" w:cs="Arial" w:eastAsia="Arial" w:hAnsi="Arial"/>
                <w:sz w:val="11"/>
                <w:szCs w:val="11"/>
                <w:b w:val="1"/>
                <w:bCs w:val="1"/>
                <w:color w:val="auto"/>
              </w:rPr>
              <w:t>Ownership</w:t>
            </w:r>
          </w:p>
        </w:tc>
        <w:tc>
          <w:tcPr>
            <w:tcW w:w="120" w:type="dxa"/>
            <w:vAlign w:val="bottom"/>
          </w:tcPr>
          <w:p>
            <w:pPr>
              <w:spacing w:after="0"/>
              <w:rPr>
                <w:sz w:val="9"/>
                <w:szCs w:val="9"/>
                <w:color w:val="auto"/>
              </w:rPr>
            </w:pPr>
          </w:p>
        </w:tc>
        <w:tc>
          <w:tcPr>
            <w:tcW w:w="72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In Service</w:t>
            </w:r>
          </w:p>
        </w:tc>
        <w:tc>
          <w:tcPr>
            <w:tcW w:w="160" w:type="dxa"/>
            <w:vAlign w:val="bottom"/>
          </w:tcPr>
          <w:p>
            <w:pPr>
              <w:spacing w:after="0"/>
              <w:rPr>
                <w:sz w:val="9"/>
                <w:szCs w:val="9"/>
                <w:color w:val="auto"/>
              </w:rPr>
            </w:pPr>
          </w:p>
        </w:tc>
        <w:tc>
          <w:tcPr>
            <w:tcW w:w="680" w:type="dxa"/>
            <w:vAlign w:val="bottom"/>
            <w:vMerge w:val="restart"/>
          </w:tcPr>
          <w:p>
            <w:pPr>
              <w:jc w:val="right"/>
              <w:ind w:right="283"/>
              <w:spacing w:after="0"/>
              <w:rPr>
                <w:sz w:val="20"/>
                <w:szCs w:val="20"/>
                <w:color w:val="auto"/>
              </w:rPr>
            </w:pPr>
            <w:r>
              <w:rPr>
                <w:rFonts w:ascii="Arial" w:cs="Arial" w:eastAsia="Arial" w:hAnsi="Arial"/>
                <w:sz w:val="11"/>
                <w:szCs w:val="11"/>
                <w:b w:val="1"/>
                <w:bCs w:val="1"/>
                <w:color w:val="auto"/>
              </w:rPr>
              <w:t>CIP</w:t>
            </w:r>
          </w:p>
        </w:tc>
        <w:tc>
          <w:tcPr>
            <w:tcW w:w="10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6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rPr>
              <w:t>Interest</w:t>
            </w:r>
          </w:p>
        </w:tc>
        <w:tc>
          <w:tcPr>
            <w:tcW w:w="12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ind w:right="63"/>
              <w:spacing w:after="0"/>
              <w:rPr>
                <w:sz w:val="20"/>
                <w:szCs w:val="20"/>
                <w:color w:val="auto"/>
              </w:rPr>
            </w:pPr>
            <w:r>
              <w:rPr>
                <w:rFonts w:ascii="Arial" w:cs="Arial" w:eastAsia="Arial" w:hAnsi="Arial"/>
                <w:sz w:val="11"/>
                <w:szCs w:val="11"/>
                <w:b w:val="1"/>
                <w:bCs w:val="1"/>
                <w:color w:val="auto"/>
              </w:rPr>
              <w:t>Complete</w:t>
            </w:r>
          </w:p>
        </w:tc>
        <w:tc>
          <w:tcPr>
            <w:tcW w:w="180" w:type="dxa"/>
            <w:vAlign w:val="bottom"/>
          </w:tcPr>
          <w:p>
            <w:pPr>
              <w:spacing w:after="0"/>
              <w:rPr>
                <w:sz w:val="12"/>
                <w:szCs w:val="12"/>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Completion</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center"/>
              <w:ind w:right="20"/>
              <w:spacing w:after="0"/>
              <w:rPr>
                <w:sz w:val="20"/>
                <w:szCs w:val="20"/>
                <w:color w:val="auto"/>
              </w:rPr>
            </w:pPr>
            <w:r>
              <w:rPr>
                <w:rFonts w:ascii="Arial" w:cs="Arial" w:eastAsia="Arial" w:hAnsi="Arial"/>
                <w:sz w:val="11"/>
                <w:szCs w:val="11"/>
                <w:b w:val="1"/>
                <w:bCs w:val="1"/>
                <w:color w:val="auto"/>
              </w:rPr>
              <w:t>Stabilized</w:t>
            </w:r>
          </w:p>
        </w:tc>
        <w:tc>
          <w:tcPr>
            <w:tcW w:w="960" w:type="dxa"/>
            <w:vAlign w:val="bottom"/>
          </w:tcPr>
          <w:p>
            <w:pPr>
              <w:jc w:val="right"/>
              <w:ind w:right="63"/>
              <w:spacing w:after="0"/>
              <w:rPr>
                <w:sz w:val="20"/>
                <w:szCs w:val="20"/>
                <w:color w:val="auto"/>
              </w:rPr>
            </w:pPr>
            <w:r>
              <w:rPr>
                <w:rFonts w:ascii="Arial" w:cs="Arial" w:eastAsia="Arial" w:hAnsi="Arial"/>
                <w:sz w:val="11"/>
                <w:szCs w:val="11"/>
                <w:b w:val="1"/>
                <w:bCs w:val="1"/>
                <w:color w:val="auto"/>
              </w:rPr>
              <w:t>(Cash Basis)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6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1"/>
                <w:szCs w:val="11"/>
                <w:b w:val="1"/>
                <w:bCs w:val="1"/>
                <w:color w:val="auto"/>
              </w:rPr>
              <w:t>Under construction</w:t>
            </w:r>
          </w:p>
        </w:tc>
        <w:tc>
          <w:tcPr>
            <w:tcW w:w="6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right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680" w:type="dxa"/>
            <w:vAlign w:val="bottom"/>
          </w:tcPr>
          <w:p>
            <w:pPr>
              <w:ind w:left="40"/>
              <w:spacing w:after="0"/>
              <w:rPr>
                <w:sz w:val="20"/>
                <w:szCs w:val="20"/>
                <w:color w:val="auto"/>
              </w:rPr>
            </w:pPr>
            <w:r>
              <w:rPr>
                <w:rFonts w:ascii="Arial" w:cs="Arial" w:eastAsia="Arial" w:hAnsi="Arial"/>
                <w:sz w:val="11"/>
                <w:szCs w:val="11"/>
                <w:color w:val="auto"/>
              </w:rPr>
              <w:t>2024 and 2025 stabilization</w:t>
            </w: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680" w:type="dxa"/>
            <w:vAlign w:val="bottom"/>
            <w:shd w:val="clear" w:color="auto" w:fill="CCEEFF"/>
          </w:tcPr>
          <w:p>
            <w:pPr>
              <w:ind w:left="120"/>
              <w:spacing w:after="0"/>
              <w:rPr>
                <w:sz w:val="20"/>
                <w:szCs w:val="20"/>
                <w:color w:val="auto"/>
              </w:rPr>
            </w:pPr>
            <w:r>
              <w:rPr>
                <w:rFonts w:ascii="Arial" w:cs="Arial" w:eastAsia="Arial" w:hAnsi="Arial"/>
                <w:sz w:val="11"/>
                <w:szCs w:val="11"/>
                <w:color w:val="auto"/>
              </w:rPr>
              <w:t>99 Coolidge Avenue/Greater Boston/Cambridge/Inner Suburbs</w:t>
            </w:r>
          </w:p>
        </w:tc>
        <w:tc>
          <w:tcPr>
            <w:tcW w:w="720" w:type="dxa"/>
            <w:vAlign w:val="bottom"/>
            <w:gridSpan w:val="2"/>
            <w:shd w:val="clear" w:color="auto" w:fill="CCEEFF"/>
          </w:tcPr>
          <w:p>
            <w:pPr>
              <w:jc w:val="right"/>
              <w:ind w:right="143"/>
              <w:spacing w:after="0"/>
              <w:rPr>
                <w:sz w:val="20"/>
                <w:szCs w:val="20"/>
                <w:color w:val="auto"/>
              </w:rPr>
            </w:pPr>
            <w:r>
              <w:rPr>
                <w:rFonts w:ascii="Arial" w:cs="Arial" w:eastAsia="Arial" w:hAnsi="Arial"/>
                <w:sz w:val="11"/>
                <w:szCs w:val="11"/>
                <w:color w:val="auto"/>
              </w:rPr>
              <w:t>75.0%</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135,922</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680" w:type="dxa"/>
            <w:vAlign w:val="bottom"/>
            <w:tcBorders>
              <w:right w:val="single" w:sz="8" w:color="CCEEFF"/>
            </w:tcBorders>
            <w:shd w:val="clear" w:color="auto" w:fill="CCEEFF"/>
          </w:tcPr>
          <w:p>
            <w:pPr>
              <w:jc w:val="right"/>
              <w:ind w:right="43"/>
              <w:spacing w:after="0"/>
              <w:rPr>
                <w:sz w:val="20"/>
                <w:szCs w:val="20"/>
                <w:color w:val="auto"/>
              </w:rPr>
            </w:pPr>
            <w:r>
              <w:rPr>
                <w:rFonts w:ascii="Arial" w:cs="Arial" w:eastAsia="Arial" w:hAnsi="Arial"/>
                <w:sz w:val="11"/>
                <w:szCs w:val="11"/>
                <w:color w:val="auto"/>
              </w:rPr>
              <w:t>184,887</w:t>
            </w: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147,191</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40" w:type="dxa"/>
            <w:vAlign w:val="bottom"/>
            <w:shd w:val="clear" w:color="auto" w:fill="CCEEFF"/>
          </w:tcPr>
          <w:p>
            <w:pPr>
              <w:ind w:left="200"/>
              <w:spacing w:after="0"/>
              <w:rPr>
                <w:sz w:val="20"/>
                <w:szCs w:val="20"/>
                <w:color w:val="auto"/>
              </w:rPr>
            </w:pPr>
            <w:r>
              <w:rPr>
                <w:rFonts w:ascii="Arial" w:cs="Arial" w:eastAsia="Arial" w:hAnsi="Arial"/>
                <w:sz w:val="11"/>
                <w:szCs w:val="11"/>
                <w:color w:val="auto"/>
              </w:rPr>
              <w:t>468,000</w:t>
            </w:r>
          </w:p>
        </w:tc>
        <w:tc>
          <w:tcPr>
            <w:tcW w:w="920" w:type="dxa"/>
            <w:vAlign w:val="bottom"/>
            <w:gridSpan w:val="3"/>
            <w:shd w:val="clear" w:color="auto" w:fill="CCEEFF"/>
          </w:tcPr>
          <w:p>
            <w:pPr>
              <w:jc w:val="center"/>
              <w:ind w:left="163"/>
              <w:spacing w:after="0"/>
              <w:rPr>
                <w:sz w:val="20"/>
                <w:szCs w:val="20"/>
                <w:color w:val="auto"/>
              </w:rPr>
            </w:pPr>
            <w:r>
              <w:rPr>
                <w:rFonts w:ascii="Arial" w:cs="Arial" w:eastAsia="Arial" w:hAnsi="Arial"/>
                <w:sz w:val="11"/>
                <w:szCs w:val="11"/>
                <w:color w:val="auto"/>
              </w:rPr>
              <w:t>7.1%</w:t>
            </w:r>
          </w:p>
        </w:tc>
        <w:tc>
          <w:tcPr>
            <w:tcW w:w="6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243"/>
              <w:spacing w:after="0"/>
              <w:rPr>
                <w:sz w:val="20"/>
                <w:szCs w:val="20"/>
                <w:color w:val="auto"/>
              </w:rPr>
            </w:pPr>
            <w:r>
              <w:rPr>
                <w:rFonts w:ascii="Arial" w:cs="Arial" w:eastAsia="Arial" w:hAnsi="Arial"/>
                <w:sz w:val="11"/>
                <w:szCs w:val="11"/>
                <w:color w:val="auto"/>
              </w:rPr>
              <w:t>7.0%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680" w:type="dxa"/>
            <w:vAlign w:val="bottom"/>
          </w:tcPr>
          <w:p>
            <w:pPr>
              <w:ind w:left="120"/>
              <w:spacing w:after="0"/>
              <w:rPr>
                <w:sz w:val="20"/>
                <w:szCs w:val="20"/>
                <w:color w:val="auto"/>
              </w:rPr>
            </w:pPr>
            <w:r>
              <w:rPr>
                <w:rFonts w:ascii="Arial" w:cs="Arial" w:eastAsia="Arial" w:hAnsi="Arial"/>
                <w:sz w:val="11"/>
                <w:szCs w:val="11"/>
                <w:color w:val="auto"/>
              </w:rPr>
              <w:t>500 North Beacon Street and 4 Kingsbury Avenue/Greater Boston/</w:t>
            </w:r>
          </w:p>
        </w:tc>
        <w:tc>
          <w:tcPr>
            <w:tcW w:w="720" w:type="dxa"/>
            <w:vAlign w:val="bottom"/>
            <w:gridSpan w:val="2"/>
            <w:vMerge w:val="restart"/>
          </w:tcPr>
          <w:p>
            <w:pPr>
              <w:jc w:val="right"/>
              <w:ind w:right="143"/>
              <w:spacing w:after="0"/>
              <w:rPr>
                <w:sz w:val="20"/>
                <w:szCs w:val="20"/>
                <w:color w:val="auto"/>
              </w:rPr>
            </w:pPr>
            <w:r>
              <w:rPr>
                <w:rFonts w:ascii="Arial" w:cs="Arial" w:eastAsia="Arial" w:hAnsi="Arial"/>
                <w:sz w:val="11"/>
                <w:szCs w:val="11"/>
                <w:color w:val="auto"/>
              </w:rPr>
              <w:t>100%</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Arial" w:cs="Arial" w:eastAsia="Arial" w:hAnsi="Arial"/>
                <w:sz w:val="11"/>
                <w:szCs w:val="11"/>
                <w:color w:val="auto"/>
              </w:rPr>
              <w:t>279,029</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vMerge w:val="restart"/>
          </w:tcPr>
          <w:p>
            <w:pPr>
              <w:jc w:val="right"/>
              <w:ind w:right="63"/>
              <w:spacing w:after="0"/>
              <w:rPr>
                <w:sz w:val="20"/>
                <w:szCs w:val="20"/>
                <w:color w:val="auto"/>
              </w:rPr>
            </w:pPr>
            <w:r>
              <w:rPr>
                <w:rFonts w:ascii="Arial" w:cs="Arial" w:eastAsia="Arial" w:hAnsi="Arial"/>
                <w:sz w:val="11"/>
                <w:szCs w:val="11"/>
                <w:color w:val="auto"/>
              </w:rPr>
              <w:t>110,110</w:t>
            </w:r>
          </w:p>
        </w:tc>
        <w:tc>
          <w:tcPr>
            <w:tcW w:w="10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Arial" w:cs="Arial" w:eastAsia="Arial" w:hAnsi="Arial"/>
                <w:sz w:val="11"/>
                <w:szCs w:val="11"/>
                <w:color w:val="auto"/>
              </w:rPr>
              <w:t>37,861</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vMerge w:val="restart"/>
          </w:tcPr>
          <w:p>
            <w:pPr>
              <w:ind w:left="200"/>
              <w:spacing w:after="0"/>
              <w:rPr>
                <w:sz w:val="20"/>
                <w:szCs w:val="20"/>
                <w:color w:val="auto"/>
              </w:rPr>
            </w:pPr>
            <w:r>
              <w:rPr>
                <w:rFonts w:ascii="Arial" w:cs="Arial" w:eastAsia="Arial" w:hAnsi="Arial"/>
                <w:sz w:val="11"/>
                <w:szCs w:val="11"/>
                <w:color w:val="auto"/>
              </w:rPr>
              <w:t>427,000</w:t>
            </w:r>
          </w:p>
        </w:tc>
        <w:tc>
          <w:tcPr>
            <w:tcW w:w="920" w:type="dxa"/>
            <w:vAlign w:val="bottom"/>
            <w:gridSpan w:val="3"/>
            <w:vMerge w:val="restart"/>
          </w:tcPr>
          <w:p>
            <w:pPr>
              <w:jc w:val="center"/>
              <w:ind w:left="163"/>
              <w:spacing w:after="0"/>
              <w:rPr>
                <w:sz w:val="20"/>
                <w:szCs w:val="20"/>
                <w:color w:val="auto"/>
              </w:rPr>
            </w:pPr>
            <w:r>
              <w:rPr>
                <w:rFonts w:ascii="Arial" w:cs="Arial" w:eastAsia="Arial" w:hAnsi="Arial"/>
                <w:sz w:val="11"/>
                <w:szCs w:val="11"/>
                <w:color w:val="auto"/>
              </w:rPr>
              <w:t>6.2%</w:t>
            </w:r>
          </w:p>
        </w:tc>
        <w:tc>
          <w:tcPr>
            <w:tcW w:w="60" w:type="dxa"/>
            <w:vAlign w:val="bottom"/>
          </w:tcPr>
          <w:p>
            <w:pPr>
              <w:spacing w:after="0"/>
              <w:rPr>
                <w:sz w:val="13"/>
                <w:szCs w:val="13"/>
                <w:color w:val="auto"/>
              </w:rPr>
            </w:pPr>
          </w:p>
        </w:tc>
        <w:tc>
          <w:tcPr>
            <w:tcW w:w="960" w:type="dxa"/>
            <w:vAlign w:val="bottom"/>
            <w:vMerge w:val="restart"/>
          </w:tcPr>
          <w:p>
            <w:pPr>
              <w:jc w:val="right"/>
              <w:ind w:right="243"/>
              <w:spacing w:after="0"/>
              <w:rPr>
                <w:sz w:val="20"/>
                <w:szCs w:val="20"/>
                <w:color w:val="auto"/>
              </w:rPr>
            </w:pPr>
            <w:r>
              <w:rPr>
                <w:rFonts w:ascii="Arial" w:cs="Arial" w:eastAsia="Arial" w:hAnsi="Arial"/>
                <w:sz w:val="11"/>
                <w:szCs w:val="11"/>
                <w:color w:val="auto"/>
              </w:rPr>
              <w:t>5.5%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680" w:type="dxa"/>
            <w:vAlign w:val="bottom"/>
          </w:tcPr>
          <w:p>
            <w:pPr>
              <w:ind w:left="240"/>
              <w:spacing w:after="0"/>
              <w:rPr>
                <w:sz w:val="20"/>
                <w:szCs w:val="20"/>
                <w:color w:val="auto"/>
              </w:rPr>
            </w:pPr>
            <w:r>
              <w:rPr>
                <w:rFonts w:ascii="Arial" w:cs="Arial" w:eastAsia="Arial" w:hAnsi="Arial"/>
                <w:sz w:val="11"/>
                <w:szCs w:val="11"/>
                <w:color w:val="auto"/>
              </w:rPr>
              <w:t>Cambridge/Inner Suburbs</w:t>
            </w:r>
          </w:p>
        </w:tc>
        <w:tc>
          <w:tcPr>
            <w:tcW w:w="7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680" w:type="dxa"/>
            <w:vAlign w:val="bottom"/>
            <w:shd w:val="clear" w:color="auto" w:fill="CCEEFF"/>
          </w:tcPr>
          <w:p>
            <w:pPr>
              <w:ind w:left="120"/>
              <w:spacing w:after="0"/>
              <w:rPr>
                <w:sz w:val="20"/>
                <w:szCs w:val="20"/>
                <w:color w:val="auto"/>
              </w:rPr>
            </w:pPr>
            <w:r>
              <w:rPr>
                <w:rFonts w:ascii="Arial" w:cs="Arial" w:eastAsia="Arial" w:hAnsi="Arial"/>
                <w:sz w:val="11"/>
                <w:szCs w:val="11"/>
                <w:color w:val="auto"/>
              </w:rPr>
              <w:t>201 Brookline Avenue/Greater Boston/Fenway</w:t>
            </w:r>
          </w:p>
        </w:tc>
        <w:tc>
          <w:tcPr>
            <w:tcW w:w="720" w:type="dxa"/>
            <w:vAlign w:val="bottom"/>
            <w:gridSpan w:val="2"/>
            <w:shd w:val="clear" w:color="auto" w:fill="CCEEFF"/>
          </w:tcPr>
          <w:p>
            <w:pPr>
              <w:jc w:val="right"/>
              <w:ind w:right="143"/>
              <w:spacing w:after="0"/>
              <w:rPr>
                <w:sz w:val="20"/>
                <w:szCs w:val="20"/>
                <w:color w:val="auto"/>
              </w:rPr>
            </w:pPr>
            <w:r>
              <w:rPr>
                <w:rFonts w:ascii="Arial" w:cs="Arial" w:eastAsia="Arial" w:hAnsi="Arial"/>
                <w:sz w:val="11"/>
                <w:szCs w:val="11"/>
                <w:color w:val="auto"/>
              </w:rPr>
              <w:t>99.0%</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664,823</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tcBorders>
              <w:right w:val="single" w:sz="8" w:color="CCEEFF"/>
            </w:tcBorders>
            <w:shd w:val="clear" w:color="auto" w:fill="CCEEFF"/>
          </w:tcPr>
          <w:p>
            <w:pPr>
              <w:jc w:val="right"/>
              <w:ind w:right="43"/>
              <w:spacing w:after="0"/>
              <w:rPr>
                <w:sz w:val="20"/>
                <w:szCs w:val="20"/>
                <w:color w:val="auto"/>
              </w:rPr>
            </w:pPr>
            <w:r>
              <w:rPr>
                <w:rFonts w:ascii="Arial" w:cs="Arial" w:eastAsia="Arial" w:hAnsi="Arial"/>
                <w:sz w:val="11"/>
                <w:szCs w:val="11"/>
                <w:color w:val="auto"/>
              </w:rPr>
              <w:t>88,711</w:t>
            </w: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21,466</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ind w:left="200"/>
              <w:spacing w:after="0"/>
              <w:rPr>
                <w:sz w:val="20"/>
                <w:szCs w:val="20"/>
                <w:color w:val="auto"/>
              </w:rPr>
            </w:pPr>
            <w:r>
              <w:rPr>
                <w:rFonts w:ascii="Arial" w:cs="Arial" w:eastAsia="Arial" w:hAnsi="Arial"/>
                <w:sz w:val="11"/>
                <w:szCs w:val="11"/>
                <w:color w:val="auto"/>
              </w:rPr>
              <w:t>775,000</w:t>
            </w:r>
          </w:p>
        </w:tc>
        <w:tc>
          <w:tcPr>
            <w:tcW w:w="920" w:type="dxa"/>
            <w:vAlign w:val="bottom"/>
            <w:gridSpan w:val="3"/>
            <w:shd w:val="clear" w:color="auto" w:fill="CCEEFF"/>
          </w:tcPr>
          <w:p>
            <w:pPr>
              <w:jc w:val="center"/>
              <w:ind w:left="163"/>
              <w:spacing w:after="0"/>
              <w:rPr>
                <w:sz w:val="20"/>
                <w:szCs w:val="20"/>
                <w:color w:val="auto"/>
              </w:rPr>
            </w:pPr>
            <w:r>
              <w:rPr>
                <w:rFonts w:ascii="Arial" w:cs="Arial" w:eastAsia="Arial" w:hAnsi="Arial"/>
                <w:sz w:val="11"/>
                <w:szCs w:val="11"/>
                <w:color w:val="auto"/>
              </w:rPr>
              <w:t>7.2%</w:t>
            </w:r>
          </w:p>
        </w:tc>
        <w:tc>
          <w:tcPr>
            <w:tcW w:w="6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243"/>
              <w:spacing w:after="0"/>
              <w:rPr>
                <w:sz w:val="20"/>
                <w:szCs w:val="20"/>
                <w:color w:val="auto"/>
              </w:rPr>
            </w:pPr>
            <w:r>
              <w:rPr>
                <w:rFonts w:ascii="Arial" w:cs="Arial" w:eastAsia="Arial" w:hAnsi="Arial"/>
                <w:sz w:val="11"/>
                <w:szCs w:val="11"/>
                <w:color w:val="auto"/>
              </w:rPr>
              <w:t>6.5%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680" w:type="dxa"/>
            <w:vAlign w:val="bottom"/>
          </w:tcPr>
          <w:p>
            <w:pPr>
              <w:ind w:left="120"/>
              <w:spacing w:after="0"/>
              <w:rPr>
                <w:sz w:val="20"/>
                <w:szCs w:val="20"/>
                <w:color w:val="auto"/>
              </w:rPr>
            </w:pPr>
            <w:r>
              <w:rPr>
                <w:rFonts w:ascii="Arial" w:cs="Arial" w:eastAsia="Arial" w:hAnsi="Arial"/>
                <w:sz w:val="11"/>
                <w:szCs w:val="11"/>
                <w:color w:val="auto"/>
              </w:rPr>
              <w:t>840 Winter Street/Greater Boston/Route 128</w:t>
            </w:r>
          </w:p>
        </w:tc>
        <w:tc>
          <w:tcPr>
            <w:tcW w:w="720" w:type="dxa"/>
            <w:vAlign w:val="bottom"/>
            <w:gridSpan w:val="2"/>
          </w:tcPr>
          <w:p>
            <w:pPr>
              <w:jc w:val="right"/>
              <w:ind w:right="143"/>
              <w:spacing w:after="0"/>
              <w:rPr>
                <w:sz w:val="20"/>
                <w:szCs w:val="20"/>
                <w:color w:val="auto"/>
              </w:rPr>
            </w:pPr>
            <w:r>
              <w:rPr>
                <w:rFonts w:ascii="Arial" w:cs="Arial" w:eastAsia="Arial" w:hAnsi="Arial"/>
                <w:sz w:val="11"/>
                <w:szCs w:val="11"/>
                <w:color w:val="auto"/>
              </w:rPr>
              <w:t>100%</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13,651</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ind w:right="43"/>
              <w:spacing w:after="0"/>
              <w:rPr>
                <w:sz w:val="20"/>
                <w:szCs w:val="20"/>
                <w:color w:val="auto"/>
              </w:rPr>
            </w:pPr>
            <w:r>
              <w:rPr>
                <w:rFonts w:ascii="Arial" w:cs="Arial" w:eastAsia="Arial" w:hAnsi="Arial"/>
                <w:sz w:val="11"/>
                <w:szCs w:val="11"/>
                <w:color w:val="auto"/>
              </w:rPr>
              <w:t>184,050</w:t>
            </w: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39,299</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ind w:left="200"/>
              <w:spacing w:after="0"/>
              <w:rPr>
                <w:sz w:val="20"/>
                <w:szCs w:val="20"/>
                <w:color w:val="auto"/>
              </w:rPr>
            </w:pPr>
            <w:r>
              <w:rPr>
                <w:rFonts w:ascii="Arial" w:cs="Arial" w:eastAsia="Arial" w:hAnsi="Arial"/>
                <w:sz w:val="11"/>
                <w:szCs w:val="11"/>
                <w:color w:val="auto"/>
              </w:rPr>
              <w:t>237,000</w:t>
            </w:r>
          </w:p>
        </w:tc>
        <w:tc>
          <w:tcPr>
            <w:tcW w:w="920" w:type="dxa"/>
            <w:vAlign w:val="bottom"/>
            <w:gridSpan w:val="3"/>
          </w:tcPr>
          <w:p>
            <w:pPr>
              <w:jc w:val="center"/>
              <w:ind w:left="163"/>
              <w:spacing w:after="0"/>
              <w:rPr>
                <w:sz w:val="20"/>
                <w:szCs w:val="20"/>
                <w:color w:val="auto"/>
              </w:rPr>
            </w:pPr>
            <w:r>
              <w:rPr>
                <w:rFonts w:ascii="Arial" w:cs="Arial" w:eastAsia="Arial" w:hAnsi="Arial"/>
                <w:sz w:val="11"/>
                <w:szCs w:val="11"/>
                <w:color w:val="auto"/>
              </w:rPr>
              <w:t>7.6%</w:t>
            </w:r>
          </w:p>
        </w:tc>
        <w:tc>
          <w:tcPr>
            <w:tcW w:w="60" w:type="dxa"/>
            <w:vAlign w:val="bottom"/>
          </w:tcPr>
          <w:p>
            <w:pPr>
              <w:spacing w:after="0"/>
              <w:rPr>
                <w:sz w:val="14"/>
                <w:szCs w:val="14"/>
                <w:color w:val="auto"/>
              </w:rPr>
            </w:pPr>
          </w:p>
        </w:tc>
        <w:tc>
          <w:tcPr>
            <w:tcW w:w="960" w:type="dxa"/>
            <w:vAlign w:val="bottom"/>
          </w:tcPr>
          <w:p>
            <w:pPr>
              <w:jc w:val="right"/>
              <w:ind w:right="243"/>
              <w:spacing w:after="0"/>
              <w:rPr>
                <w:sz w:val="20"/>
                <w:szCs w:val="20"/>
                <w:color w:val="auto"/>
              </w:rPr>
            </w:pPr>
            <w:r>
              <w:rPr>
                <w:rFonts w:ascii="Arial" w:cs="Arial" w:eastAsia="Arial" w:hAnsi="Arial"/>
                <w:sz w:val="11"/>
                <w:szCs w:val="11"/>
                <w:color w:val="auto"/>
              </w:rPr>
              <w:t>6.5%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680" w:type="dxa"/>
            <w:vAlign w:val="bottom"/>
            <w:shd w:val="clear" w:color="auto" w:fill="CCEEFF"/>
          </w:tcPr>
          <w:p>
            <w:pPr>
              <w:ind w:left="120"/>
              <w:spacing w:after="0"/>
              <w:rPr>
                <w:sz w:val="20"/>
                <w:szCs w:val="20"/>
                <w:color w:val="auto"/>
              </w:rPr>
            </w:pPr>
            <w:r>
              <w:rPr>
                <w:rFonts w:ascii="Arial" w:cs="Arial" w:eastAsia="Arial" w:hAnsi="Arial"/>
                <w:sz w:val="11"/>
                <w:szCs w:val="11"/>
                <w:color w:val="auto"/>
              </w:rPr>
              <w:t>230 Harriet Tubman Way/San Francisco Bay Area/South San Francisco</w:t>
            </w:r>
          </w:p>
        </w:tc>
        <w:tc>
          <w:tcPr>
            <w:tcW w:w="720" w:type="dxa"/>
            <w:vAlign w:val="bottom"/>
            <w:gridSpan w:val="2"/>
            <w:shd w:val="clear" w:color="auto" w:fill="CCEEFF"/>
          </w:tcPr>
          <w:p>
            <w:pPr>
              <w:jc w:val="right"/>
              <w:ind w:right="143"/>
              <w:spacing w:after="0"/>
              <w:rPr>
                <w:sz w:val="20"/>
                <w:szCs w:val="20"/>
                <w:color w:val="auto"/>
              </w:rPr>
            </w:pPr>
            <w:r>
              <w:rPr>
                <w:rFonts w:ascii="Arial" w:cs="Arial" w:eastAsia="Arial" w:hAnsi="Arial"/>
                <w:sz w:val="11"/>
                <w:szCs w:val="11"/>
                <w:color w:val="auto"/>
              </w:rPr>
              <w:t>47.7%</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4"/>
                <w:szCs w:val="14"/>
                <w:color w:val="auto"/>
              </w:rPr>
            </w:pPr>
          </w:p>
        </w:tc>
        <w:tc>
          <w:tcPr>
            <w:tcW w:w="680" w:type="dxa"/>
            <w:vAlign w:val="bottom"/>
            <w:tcBorders>
              <w:right w:val="single" w:sz="8" w:color="CCEEFF"/>
            </w:tcBorders>
            <w:shd w:val="clear" w:color="auto" w:fill="CCEEFF"/>
          </w:tcPr>
          <w:p>
            <w:pPr>
              <w:jc w:val="right"/>
              <w:ind w:right="43"/>
              <w:spacing w:after="0"/>
              <w:rPr>
                <w:sz w:val="20"/>
                <w:szCs w:val="20"/>
                <w:color w:val="auto"/>
              </w:rPr>
            </w:pPr>
            <w:r>
              <w:rPr>
                <w:rFonts w:ascii="Arial" w:cs="Arial" w:eastAsia="Arial" w:hAnsi="Arial"/>
                <w:sz w:val="11"/>
                <w:szCs w:val="11"/>
                <w:color w:val="auto"/>
              </w:rPr>
              <w:t>312,344</w:t>
            </w: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197,656</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ind w:left="200"/>
              <w:spacing w:after="0"/>
              <w:rPr>
                <w:sz w:val="20"/>
                <w:szCs w:val="20"/>
                <w:color w:val="auto"/>
              </w:rPr>
            </w:pPr>
            <w:r>
              <w:rPr>
                <w:rFonts w:ascii="Arial" w:cs="Arial" w:eastAsia="Arial" w:hAnsi="Arial"/>
                <w:sz w:val="11"/>
                <w:szCs w:val="11"/>
                <w:color w:val="auto"/>
              </w:rPr>
              <w:t>510,000</w:t>
            </w:r>
          </w:p>
        </w:tc>
        <w:tc>
          <w:tcPr>
            <w:tcW w:w="920" w:type="dxa"/>
            <w:vAlign w:val="bottom"/>
            <w:gridSpan w:val="3"/>
            <w:shd w:val="clear" w:color="auto" w:fill="CCEEFF"/>
          </w:tcPr>
          <w:p>
            <w:pPr>
              <w:jc w:val="center"/>
              <w:ind w:left="163"/>
              <w:spacing w:after="0"/>
              <w:rPr>
                <w:sz w:val="20"/>
                <w:szCs w:val="20"/>
                <w:color w:val="auto"/>
              </w:rPr>
            </w:pPr>
            <w:r>
              <w:rPr>
                <w:rFonts w:ascii="Arial" w:cs="Arial" w:eastAsia="Arial" w:hAnsi="Arial"/>
                <w:sz w:val="11"/>
                <w:szCs w:val="11"/>
                <w:color w:val="auto"/>
              </w:rPr>
              <w:t>7.4%</w:t>
            </w:r>
          </w:p>
        </w:tc>
        <w:tc>
          <w:tcPr>
            <w:tcW w:w="6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243"/>
              <w:spacing w:after="0"/>
              <w:rPr>
                <w:sz w:val="20"/>
                <w:szCs w:val="20"/>
                <w:color w:val="auto"/>
              </w:rPr>
            </w:pPr>
            <w:r>
              <w:rPr>
                <w:rFonts w:ascii="Arial" w:cs="Arial" w:eastAsia="Arial" w:hAnsi="Arial"/>
                <w:sz w:val="11"/>
                <w:szCs w:val="11"/>
                <w:color w:val="auto"/>
              </w:rPr>
              <w:t>6.4%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680" w:type="dxa"/>
            <w:vAlign w:val="bottom"/>
          </w:tcPr>
          <w:p>
            <w:pPr>
              <w:ind w:left="120"/>
              <w:spacing w:after="0"/>
              <w:rPr>
                <w:sz w:val="20"/>
                <w:szCs w:val="20"/>
                <w:color w:val="auto"/>
              </w:rPr>
            </w:pPr>
            <w:r>
              <w:rPr>
                <w:rFonts w:ascii="Arial" w:cs="Arial" w:eastAsia="Arial" w:hAnsi="Arial"/>
                <w:sz w:val="11"/>
                <w:szCs w:val="11"/>
                <w:color w:val="auto"/>
              </w:rPr>
              <w:t>4155 Campus Point Court/San Diego/University Town Center</w:t>
            </w:r>
          </w:p>
        </w:tc>
        <w:tc>
          <w:tcPr>
            <w:tcW w:w="720" w:type="dxa"/>
            <w:vAlign w:val="bottom"/>
            <w:gridSpan w:val="2"/>
          </w:tcPr>
          <w:p>
            <w:pPr>
              <w:jc w:val="right"/>
              <w:ind w:right="143"/>
              <w:spacing w:after="0"/>
              <w:rPr>
                <w:sz w:val="20"/>
                <w:szCs w:val="20"/>
                <w:color w:val="auto"/>
              </w:rPr>
            </w:pPr>
            <w:r>
              <w:rPr>
                <w:rFonts w:ascii="Arial" w:cs="Arial" w:eastAsia="Arial" w:hAnsi="Arial"/>
                <w:sz w:val="11"/>
                <w:szCs w:val="11"/>
                <w:color w:val="auto"/>
              </w:rPr>
              <w:t>55.0%</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680" w:type="dxa"/>
            <w:vAlign w:val="bottom"/>
          </w:tcPr>
          <w:p>
            <w:pPr>
              <w:jc w:val="right"/>
              <w:ind w:right="43"/>
              <w:spacing w:after="0"/>
              <w:rPr>
                <w:sz w:val="20"/>
                <w:szCs w:val="20"/>
                <w:color w:val="auto"/>
              </w:rPr>
            </w:pPr>
            <w:r>
              <w:rPr>
                <w:rFonts w:ascii="Arial" w:cs="Arial" w:eastAsia="Arial" w:hAnsi="Arial"/>
                <w:sz w:val="11"/>
                <w:szCs w:val="11"/>
                <w:color w:val="auto"/>
              </w:rPr>
              <w:t>124,823</w:t>
            </w: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48,177</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ind w:left="200"/>
              <w:spacing w:after="0"/>
              <w:rPr>
                <w:sz w:val="20"/>
                <w:szCs w:val="20"/>
                <w:color w:val="auto"/>
              </w:rPr>
            </w:pPr>
            <w:r>
              <w:rPr>
                <w:rFonts w:ascii="Arial" w:cs="Arial" w:eastAsia="Arial" w:hAnsi="Arial"/>
                <w:sz w:val="11"/>
                <w:szCs w:val="11"/>
                <w:color w:val="auto"/>
              </w:rPr>
              <w:t>173,000</w:t>
            </w:r>
          </w:p>
        </w:tc>
        <w:tc>
          <w:tcPr>
            <w:tcW w:w="920" w:type="dxa"/>
            <w:vAlign w:val="bottom"/>
            <w:gridSpan w:val="3"/>
          </w:tcPr>
          <w:p>
            <w:pPr>
              <w:jc w:val="center"/>
              <w:ind w:left="163"/>
              <w:spacing w:after="0"/>
              <w:rPr>
                <w:sz w:val="20"/>
                <w:szCs w:val="20"/>
                <w:color w:val="auto"/>
              </w:rPr>
            </w:pPr>
            <w:r>
              <w:rPr>
                <w:rFonts w:ascii="Arial" w:cs="Arial" w:eastAsia="Arial" w:hAnsi="Arial"/>
                <w:sz w:val="11"/>
                <w:szCs w:val="11"/>
                <w:color w:val="auto"/>
              </w:rPr>
              <w:t>7.4%</w:t>
            </w:r>
          </w:p>
        </w:tc>
        <w:tc>
          <w:tcPr>
            <w:tcW w:w="60" w:type="dxa"/>
            <w:vAlign w:val="bottom"/>
          </w:tcPr>
          <w:p>
            <w:pPr>
              <w:spacing w:after="0"/>
              <w:rPr>
                <w:sz w:val="14"/>
                <w:szCs w:val="14"/>
                <w:color w:val="auto"/>
              </w:rPr>
            </w:pPr>
          </w:p>
        </w:tc>
        <w:tc>
          <w:tcPr>
            <w:tcW w:w="960" w:type="dxa"/>
            <w:vAlign w:val="bottom"/>
          </w:tcPr>
          <w:p>
            <w:pPr>
              <w:jc w:val="right"/>
              <w:ind w:right="243"/>
              <w:spacing w:after="0"/>
              <w:rPr>
                <w:sz w:val="20"/>
                <w:szCs w:val="20"/>
                <w:color w:val="auto"/>
              </w:rPr>
            </w:pPr>
            <w:r>
              <w:rPr>
                <w:rFonts w:ascii="Arial" w:cs="Arial" w:eastAsia="Arial" w:hAnsi="Arial"/>
                <w:sz w:val="11"/>
                <w:szCs w:val="11"/>
                <w:color w:val="auto"/>
              </w:rPr>
              <w:t>6.5%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680" w:type="dxa"/>
            <w:vAlign w:val="bottom"/>
            <w:shd w:val="clear" w:color="auto" w:fill="CCEEFF"/>
          </w:tcPr>
          <w:p>
            <w:pPr>
              <w:ind w:left="120"/>
              <w:spacing w:after="0"/>
              <w:rPr>
                <w:sz w:val="20"/>
                <w:szCs w:val="20"/>
                <w:color w:val="auto"/>
              </w:rPr>
            </w:pPr>
            <w:r>
              <w:rPr>
                <w:rFonts w:ascii="Arial" w:cs="Arial" w:eastAsia="Arial" w:hAnsi="Arial"/>
                <w:sz w:val="11"/>
                <w:szCs w:val="11"/>
                <w:color w:val="auto"/>
              </w:rPr>
              <w:t>1150 Eastlake Avenue East/Seattle/Lake Union</w:t>
            </w:r>
          </w:p>
        </w:tc>
        <w:tc>
          <w:tcPr>
            <w:tcW w:w="720" w:type="dxa"/>
            <w:vAlign w:val="bottom"/>
            <w:gridSpan w:val="2"/>
            <w:shd w:val="clear" w:color="auto" w:fill="CCEEFF"/>
          </w:tcPr>
          <w:p>
            <w:pPr>
              <w:jc w:val="right"/>
              <w:ind w:right="143"/>
              <w:spacing w:after="0"/>
              <w:rPr>
                <w:sz w:val="20"/>
                <w:szCs w:val="20"/>
                <w:color w:val="auto"/>
              </w:rPr>
            </w:pPr>
            <w:r>
              <w:rPr>
                <w:rFonts w:ascii="Arial" w:cs="Arial" w:eastAsia="Arial" w:hAnsi="Arial"/>
                <w:sz w:val="11"/>
                <w:szCs w:val="11"/>
                <w:color w:val="auto"/>
              </w:rPr>
              <w:t>100%</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373,827</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tcBorders>
              <w:right w:val="single" w:sz="8" w:color="CCEEFF"/>
            </w:tcBorders>
            <w:shd w:val="clear" w:color="auto" w:fill="CCEEFF"/>
          </w:tcPr>
          <w:p>
            <w:pPr>
              <w:jc w:val="right"/>
              <w:ind w:right="43"/>
              <w:spacing w:after="0"/>
              <w:rPr>
                <w:sz w:val="20"/>
                <w:szCs w:val="20"/>
                <w:color w:val="auto"/>
              </w:rPr>
            </w:pPr>
            <w:r>
              <w:rPr>
                <w:rFonts w:ascii="Arial" w:cs="Arial" w:eastAsia="Arial" w:hAnsi="Arial"/>
                <w:sz w:val="11"/>
                <w:szCs w:val="11"/>
                <w:color w:val="auto"/>
              </w:rPr>
              <w:t>45,984</w:t>
            </w: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23,189</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ind w:left="200"/>
              <w:spacing w:after="0"/>
              <w:rPr>
                <w:sz w:val="20"/>
                <w:szCs w:val="20"/>
                <w:color w:val="auto"/>
              </w:rPr>
            </w:pPr>
            <w:r>
              <w:rPr>
                <w:rFonts w:ascii="Arial" w:cs="Arial" w:eastAsia="Arial" w:hAnsi="Arial"/>
                <w:sz w:val="11"/>
                <w:szCs w:val="11"/>
                <w:color w:val="auto"/>
              </w:rPr>
              <w:t>443,000</w:t>
            </w:r>
          </w:p>
        </w:tc>
        <w:tc>
          <w:tcPr>
            <w:tcW w:w="920" w:type="dxa"/>
            <w:vAlign w:val="bottom"/>
            <w:gridSpan w:val="3"/>
            <w:shd w:val="clear" w:color="auto" w:fill="CCEEFF"/>
          </w:tcPr>
          <w:p>
            <w:pPr>
              <w:jc w:val="center"/>
              <w:ind w:left="163"/>
              <w:spacing w:after="0"/>
              <w:rPr>
                <w:sz w:val="20"/>
                <w:szCs w:val="20"/>
                <w:color w:val="auto"/>
              </w:rPr>
            </w:pPr>
            <w:r>
              <w:rPr>
                <w:rFonts w:ascii="Arial" w:cs="Arial" w:eastAsia="Arial" w:hAnsi="Arial"/>
                <w:sz w:val="11"/>
                <w:szCs w:val="11"/>
                <w:color w:val="auto"/>
              </w:rPr>
              <w:t>6.6%</w:t>
            </w:r>
          </w:p>
        </w:tc>
        <w:tc>
          <w:tcPr>
            <w:tcW w:w="6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243"/>
              <w:spacing w:after="0"/>
              <w:rPr>
                <w:sz w:val="20"/>
                <w:szCs w:val="20"/>
                <w:color w:val="auto"/>
              </w:rPr>
            </w:pPr>
            <w:r>
              <w:rPr>
                <w:rFonts w:ascii="Arial" w:cs="Arial" w:eastAsia="Arial" w:hAnsi="Arial"/>
                <w:sz w:val="11"/>
                <w:szCs w:val="11"/>
                <w:color w:val="auto"/>
              </w:rPr>
              <w:t>6.7%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680" w:type="dxa"/>
            <w:vAlign w:val="bottom"/>
          </w:tcPr>
          <w:p>
            <w:pPr>
              <w:ind w:left="120"/>
              <w:spacing w:after="0"/>
              <w:rPr>
                <w:sz w:val="20"/>
                <w:szCs w:val="20"/>
                <w:color w:val="auto"/>
              </w:rPr>
            </w:pPr>
            <w:r>
              <w:rPr>
                <w:rFonts w:ascii="Arial" w:cs="Arial" w:eastAsia="Arial" w:hAnsi="Arial"/>
                <w:sz w:val="11"/>
                <w:szCs w:val="11"/>
                <w:color w:val="auto"/>
              </w:rPr>
              <w:t>Alexandria Center</w:t>
            </w:r>
            <w:r>
              <w:rPr>
                <w:rFonts w:ascii="Arial" w:cs="Arial" w:eastAsia="Arial" w:hAnsi="Arial"/>
                <w:sz w:val="14"/>
                <w:szCs w:val="14"/>
                <w:color w:val="auto"/>
                <w:vertAlign w:val="superscript"/>
              </w:rPr>
              <w:t>®</w:t>
            </w:r>
            <w:r>
              <w:rPr>
                <w:rFonts w:ascii="Arial" w:cs="Arial" w:eastAsia="Arial" w:hAnsi="Arial"/>
                <w:sz w:val="11"/>
                <w:szCs w:val="11"/>
                <w:color w:val="auto"/>
              </w:rPr>
              <w:t xml:space="preserve"> for Advanced Technologies – Monte Villa Parkway/Seattle/Bothell</w:t>
            </w:r>
          </w:p>
        </w:tc>
        <w:tc>
          <w:tcPr>
            <w:tcW w:w="720" w:type="dxa"/>
            <w:vAlign w:val="bottom"/>
            <w:gridSpan w:val="2"/>
          </w:tcPr>
          <w:p>
            <w:pPr>
              <w:jc w:val="right"/>
              <w:ind w:right="143"/>
              <w:spacing w:after="0"/>
              <w:rPr>
                <w:sz w:val="20"/>
                <w:szCs w:val="20"/>
                <w:color w:val="auto"/>
              </w:rPr>
            </w:pPr>
            <w:r>
              <w:rPr>
                <w:rFonts w:ascii="Arial" w:cs="Arial" w:eastAsia="Arial" w:hAnsi="Arial"/>
                <w:sz w:val="11"/>
                <w:szCs w:val="11"/>
                <w:color w:val="auto"/>
              </w:rPr>
              <w:t>100%</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193,641</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ind w:right="43"/>
              <w:spacing w:after="0"/>
              <w:rPr>
                <w:sz w:val="20"/>
                <w:szCs w:val="20"/>
                <w:color w:val="auto"/>
              </w:rPr>
            </w:pPr>
            <w:r>
              <w:rPr>
                <w:rFonts w:ascii="Arial" w:cs="Arial" w:eastAsia="Arial" w:hAnsi="Arial"/>
                <w:sz w:val="11"/>
                <w:szCs w:val="11"/>
                <w:color w:val="auto"/>
              </w:rPr>
              <w:t>11,144</w:t>
            </w: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24,215</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ind w:left="200"/>
              <w:spacing w:after="0"/>
              <w:rPr>
                <w:sz w:val="20"/>
                <w:szCs w:val="20"/>
                <w:color w:val="auto"/>
              </w:rPr>
            </w:pPr>
            <w:r>
              <w:rPr>
                <w:rFonts w:ascii="Arial" w:cs="Arial" w:eastAsia="Arial" w:hAnsi="Arial"/>
                <w:sz w:val="11"/>
                <w:szCs w:val="11"/>
                <w:color w:val="auto"/>
              </w:rPr>
              <w:t>229,000</w:t>
            </w:r>
          </w:p>
        </w:tc>
        <w:tc>
          <w:tcPr>
            <w:tcW w:w="920" w:type="dxa"/>
            <w:vAlign w:val="bottom"/>
            <w:gridSpan w:val="3"/>
          </w:tcPr>
          <w:p>
            <w:pPr>
              <w:jc w:val="center"/>
              <w:ind w:left="163"/>
              <w:spacing w:after="0"/>
              <w:rPr>
                <w:sz w:val="20"/>
                <w:szCs w:val="20"/>
                <w:color w:val="auto"/>
              </w:rPr>
            </w:pPr>
            <w:r>
              <w:rPr>
                <w:rFonts w:ascii="Arial" w:cs="Arial" w:eastAsia="Arial" w:hAnsi="Arial"/>
                <w:sz w:val="11"/>
                <w:szCs w:val="11"/>
                <w:color w:val="auto"/>
              </w:rPr>
              <w:t>6.3%</w:t>
            </w:r>
          </w:p>
        </w:tc>
        <w:tc>
          <w:tcPr>
            <w:tcW w:w="60" w:type="dxa"/>
            <w:vAlign w:val="bottom"/>
          </w:tcPr>
          <w:p>
            <w:pPr>
              <w:spacing w:after="0"/>
              <w:rPr>
                <w:sz w:val="14"/>
                <w:szCs w:val="14"/>
                <w:color w:val="auto"/>
              </w:rPr>
            </w:pPr>
          </w:p>
        </w:tc>
        <w:tc>
          <w:tcPr>
            <w:tcW w:w="960" w:type="dxa"/>
            <w:vAlign w:val="bottom"/>
          </w:tcPr>
          <w:p>
            <w:pPr>
              <w:jc w:val="right"/>
              <w:ind w:right="243"/>
              <w:spacing w:after="0"/>
              <w:rPr>
                <w:sz w:val="20"/>
                <w:szCs w:val="20"/>
                <w:color w:val="auto"/>
              </w:rPr>
            </w:pPr>
            <w:r>
              <w:rPr>
                <w:rFonts w:ascii="Arial" w:cs="Arial" w:eastAsia="Arial" w:hAnsi="Arial"/>
                <w:sz w:val="11"/>
                <w:szCs w:val="11"/>
                <w:color w:val="auto"/>
              </w:rPr>
              <w:t>6.2%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680" w:type="dxa"/>
            <w:vAlign w:val="bottom"/>
            <w:shd w:val="clear" w:color="auto" w:fill="CCEEFF"/>
          </w:tcPr>
          <w:p>
            <w:pPr>
              <w:ind w:left="120"/>
              <w:spacing w:after="0"/>
              <w:rPr>
                <w:sz w:val="20"/>
                <w:szCs w:val="20"/>
                <w:color w:val="auto"/>
              </w:rPr>
            </w:pPr>
            <w:r>
              <w:rPr>
                <w:rFonts w:ascii="Arial" w:cs="Arial" w:eastAsia="Arial" w:hAnsi="Arial"/>
                <w:sz w:val="11"/>
                <w:szCs w:val="11"/>
                <w:color w:val="auto"/>
              </w:rPr>
              <w:t>9820 Darnestown Road/Maryland/Rockville</w:t>
            </w:r>
          </w:p>
        </w:tc>
        <w:tc>
          <w:tcPr>
            <w:tcW w:w="720" w:type="dxa"/>
            <w:vAlign w:val="bottom"/>
            <w:gridSpan w:val="2"/>
            <w:shd w:val="clear" w:color="auto" w:fill="CCEEFF"/>
          </w:tcPr>
          <w:p>
            <w:pPr>
              <w:jc w:val="right"/>
              <w:ind w:right="143"/>
              <w:spacing w:after="0"/>
              <w:rPr>
                <w:sz w:val="20"/>
                <w:szCs w:val="20"/>
                <w:color w:val="auto"/>
              </w:rPr>
            </w:pPr>
            <w:r>
              <w:rPr>
                <w:rFonts w:ascii="Arial" w:cs="Arial" w:eastAsia="Arial" w:hAnsi="Arial"/>
                <w:sz w:val="11"/>
                <w:szCs w:val="11"/>
                <w:color w:val="auto"/>
              </w:rPr>
              <w:t>100%</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4"/>
                <w:szCs w:val="14"/>
                <w:color w:val="auto"/>
              </w:rPr>
            </w:pPr>
          </w:p>
        </w:tc>
        <w:tc>
          <w:tcPr>
            <w:tcW w:w="680" w:type="dxa"/>
            <w:vAlign w:val="bottom"/>
            <w:tcBorders>
              <w:right w:val="single" w:sz="8" w:color="CCEEFF"/>
            </w:tcBorders>
            <w:shd w:val="clear" w:color="auto" w:fill="CCEEFF"/>
          </w:tcPr>
          <w:p>
            <w:pPr>
              <w:jc w:val="right"/>
              <w:ind w:right="43"/>
              <w:spacing w:after="0"/>
              <w:rPr>
                <w:sz w:val="20"/>
                <w:szCs w:val="20"/>
                <w:color w:val="auto"/>
              </w:rPr>
            </w:pPr>
            <w:r>
              <w:rPr>
                <w:rFonts w:ascii="Arial" w:cs="Arial" w:eastAsia="Arial" w:hAnsi="Arial"/>
                <w:sz w:val="11"/>
                <w:szCs w:val="11"/>
                <w:color w:val="auto"/>
              </w:rPr>
              <w:t>161,736</w:t>
            </w: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15,264</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ind w:left="200"/>
              <w:spacing w:after="0"/>
              <w:rPr>
                <w:sz w:val="20"/>
                <w:szCs w:val="20"/>
                <w:color w:val="auto"/>
              </w:rPr>
            </w:pPr>
            <w:r>
              <w:rPr>
                <w:rFonts w:ascii="Arial" w:cs="Arial" w:eastAsia="Arial" w:hAnsi="Arial"/>
                <w:sz w:val="11"/>
                <w:szCs w:val="11"/>
                <w:color w:val="auto"/>
              </w:rPr>
              <w:t>177,000</w:t>
            </w:r>
          </w:p>
        </w:tc>
        <w:tc>
          <w:tcPr>
            <w:tcW w:w="920" w:type="dxa"/>
            <w:vAlign w:val="bottom"/>
            <w:gridSpan w:val="3"/>
            <w:shd w:val="clear" w:color="auto" w:fill="CCEEFF"/>
          </w:tcPr>
          <w:p>
            <w:pPr>
              <w:jc w:val="center"/>
              <w:ind w:left="163"/>
              <w:spacing w:after="0"/>
              <w:rPr>
                <w:sz w:val="20"/>
                <w:szCs w:val="20"/>
                <w:color w:val="auto"/>
              </w:rPr>
            </w:pPr>
            <w:r>
              <w:rPr>
                <w:rFonts w:ascii="Arial" w:cs="Arial" w:eastAsia="Arial" w:hAnsi="Arial"/>
                <w:sz w:val="11"/>
                <w:szCs w:val="11"/>
                <w:color w:val="auto"/>
              </w:rPr>
              <w:t>6.3%</w:t>
            </w:r>
          </w:p>
        </w:tc>
        <w:tc>
          <w:tcPr>
            <w:tcW w:w="6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243"/>
              <w:spacing w:after="0"/>
              <w:rPr>
                <w:sz w:val="20"/>
                <w:szCs w:val="20"/>
                <w:color w:val="auto"/>
              </w:rPr>
            </w:pPr>
            <w:r>
              <w:rPr>
                <w:rFonts w:ascii="Arial" w:cs="Arial" w:eastAsia="Arial" w:hAnsi="Arial"/>
                <w:sz w:val="11"/>
                <w:szCs w:val="11"/>
                <w:color w:val="auto"/>
              </w:rPr>
              <w:t>5.6%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680" w:type="dxa"/>
            <w:vAlign w:val="bottom"/>
          </w:tcPr>
          <w:p>
            <w:pPr>
              <w:ind w:left="120"/>
              <w:spacing w:after="0"/>
              <w:rPr>
                <w:sz w:val="20"/>
                <w:szCs w:val="20"/>
                <w:color w:val="auto"/>
              </w:rPr>
            </w:pPr>
            <w:r>
              <w:rPr>
                <w:rFonts w:ascii="Arial" w:cs="Arial" w:eastAsia="Arial" w:hAnsi="Arial"/>
                <w:sz w:val="11"/>
                <w:szCs w:val="11"/>
                <w:color w:val="auto"/>
              </w:rPr>
              <w:t>9808 Medical Center Drive/Maryland/Rockville</w:t>
            </w:r>
          </w:p>
        </w:tc>
        <w:tc>
          <w:tcPr>
            <w:tcW w:w="720" w:type="dxa"/>
            <w:vAlign w:val="bottom"/>
            <w:gridSpan w:val="2"/>
          </w:tcPr>
          <w:p>
            <w:pPr>
              <w:jc w:val="right"/>
              <w:ind w:right="143"/>
              <w:spacing w:after="0"/>
              <w:rPr>
                <w:sz w:val="20"/>
                <w:szCs w:val="20"/>
                <w:color w:val="auto"/>
              </w:rPr>
            </w:pPr>
            <w:r>
              <w:rPr>
                <w:rFonts w:ascii="Arial" w:cs="Arial" w:eastAsia="Arial" w:hAnsi="Arial"/>
                <w:sz w:val="11"/>
                <w:szCs w:val="11"/>
                <w:color w:val="auto"/>
              </w:rPr>
              <w:t>100%</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63,410</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ind w:right="43"/>
              <w:spacing w:after="0"/>
              <w:rPr>
                <w:sz w:val="20"/>
                <w:szCs w:val="20"/>
                <w:color w:val="auto"/>
              </w:rPr>
            </w:pPr>
            <w:r>
              <w:rPr>
                <w:rFonts w:ascii="Arial" w:cs="Arial" w:eastAsia="Arial" w:hAnsi="Arial"/>
                <w:sz w:val="11"/>
                <w:szCs w:val="11"/>
                <w:color w:val="auto"/>
              </w:rPr>
              <w:t>47,451</w:t>
            </w: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2,139</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ind w:left="200"/>
              <w:spacing w:after="0"/>
              <w:rPr>
                <w:sz w:val="20"/>
                <w:szCs w:val="20"/>
                <w:color w:val="auto"/>
              </w:rPr>
            </w:pPr>
            <w:r>
              <w:rPr>
                <w:rFonts w:ascii="Arial" w:cs="Arial" w:eastAsia="Arial" w:hAnsi="Arial"/>
                <w:sz w:val="11"/>
                <w:szCs w:val="11"/>
                <w:color w:val="auto"/>
              </w:rPr>
              <w:t>113,000</w:t>
            </w:r>
          </w:p>
        </w:tc>
        <w:tc>
          <w:tcPr>
            <w:tcW w:w="920" w:type="dxa"/>
            <w:vAlign w:val="bottom"/>
            <w:gridSpan w:val="3"/>
          </w:tcPr>
          <w:p>
            <w:pPr>
              <w:jc w:val="center"/>
              <w:ind w:left="163"/>
              <w:spacing w:after="0"/>
              <w:rPr>
                <w:sz w:val="20"/>
                <w:szCs w:val="20"/>
                <w:color w:val="auto"/>
              </w:rPr>
            </w:pPr>
            <w:r>
              <w:rPr>
                <w:rFonts w:ascii="Arial" w:cs="Arial" w:eastAsia="Arial" w:hAnsi="Arial"/>
                <w:sz w:val="11"/>
                <w:szCs w:val="11"/>
                <w:color w:val="auto"/>
              </w:rPr>
              <w:t>5.5%</w:t>
            </w:r>
          </w:p>
        </w:tc>
        <w:tc>
          <w:tcPr>
            <w:tcW w:w="60" w:type="dxa"/>
            <w:vAlign w:val="bottom"/>
          </w:tcPr>
          <w:p>
            <w:pPr>
              <w:spacing w:after="0"/>
              <w:rPr>
                <w:sz w:val="14"/>
                <w:szCs w:val="14"/>
                <w:color w:val="auto"/>
              </w:rPr>
            </w:pPr>
          </w:p>
        </w:tc>
        <w:tc>
          <w:tcPr>
            <w:tcW w:w="960" w:type="dxa"/>
            <w:vAlign w:val="bottom"/>
          </w:tcPr>
          <w:p>
            <w:pPr>
              <w:jc w:val="right"/>
              <w:ind w:right="243"/>
              <w:spacing w:after="0"/>
              <w:rPr>
                <w:sz w:val="20"/>
                <w:szCs w:val="20"/>
                <w:color w:val="auto"/>
              </w:rPr>
            </w:pPr>
            <w:r>
              <w:rPr>
                <w:rFonts w:ascii="Arial" w:cs="Arial" w:eastAsia="Arial" w:hAnsi="Arial"/>
                <w:sz w:val="11"/>
                <w:szCs w:val="11"/>
                <w:color w:val="auto"/>
              </w:rPr>
              <w:t>5.5%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680" w:type="dxa"/>
            <w:vAlign w:val="bottom"/>
            <w:shd w:val="clear" w:color="auto" w:fill="CCEEFF"/>
          </w:tcPr>
          <w:p>
            <w:pPr>
              <w:ind w:left="120"/>
              <w:spacing w:after="0"/>
              <w:rPr>
                <w:sz w:val="20"/>
                <w:szCs w:val="20"/>
                <w:color w:val="auto"/>
              </w:rPr>
            </w:pPr>
            <w:r>
              <w:rPr>
                <w:rFonts w:ascii="Arial" w:cs="Arial" w:eastAsia="Arial" w:hAnsi="Arial"/>
                <w:sz w:val="11"/>
                <w:szCs w:val="11"/>
                <w:color w:val="auto"/>
              </w:rPr>
              <w:t>8800 Technology Forest Place/Texas/Greater Houston</w:t>
            </w:r>
          </w:p>
        </w:tc>
        <w:tc>
          <w:tcPr>
            <w:tcW w:w="720" w:type="dxa"/>
            <w:vAlign w:val="bottom"/>
            <w:gridSpan w:val="2"/>
            <w:shd w:val="clear" w:color="auto" w:fill="CCEEFF"/>
          </w:tcPr>
          <w:p>
            <w:pPr>
              <w:jc w:val="right"/>
              <w:ind w:right="143"/>
              <w:spacing w:after="0"/>
              <w:rPr>
                <w:sz w:val="20"/>
                <w:szCs w:val="20"/>
                <w:color w:val="auto"/>
              </w:rPr>
            </w:pPr>
            <w:r>
              <w:rPr>
                <w:rFonts w:ascii="Arial" w:cs="Arial" w:eastAsia="Arial" w:hAnsi="Arial"/>
                <w:sz w:val="11"/>
                <w:szCs w:val="11"/>
                <w:color w:val="auto"/>
              </w:rPr>
              <w:t>100%</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57,055</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tcBorders>
              <w:right w:val="single" w:sz="8" w:color="CCEEFF"/>
            </w:tcBorders>
            <w:shd w:val="clear" w:color="auto" w:fill="CCEEFF"/>
          </w:tcPr>
          <w:p>
            <w:pPr>
              <w:jc w:val="right"/>
              <w:ind w:right="43"/>
              <w:spacing w:after="0"/>
              <w:rPr>
                <w:sz w:val="20"/>
                <w:szCs w:val="20"/>
                <w:color w:val="auto"/>
              </w:rPr>
            </w:pPr>
            <w:r>
              <w:rPr>
                <w:rFonts w:ascii="Arial" w:cs="Arial" w:eastAsia="Arial" w:hAnsi="Arial"/>
                <w:sz w:val="11"/>
                <w:szCs w:val="11"/>
                <w:color w:val="auto"/>
              </w:rPr>
              <w:t>45,377</w:t>
            </w: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9,568</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ind w:left="200"/>
              <w:spacing w:after="0"/>
              <w:rPr>
                <w:sz w:val="20"/>
                <w:szCs w:val="20"/>
                <w:color w:val="auto"/>
              </w:rPr>
            </w:pPr>
            <w:r>
              <w:rPr>
                <w:rFonts w:ascii="Arial" w:cs="Arial" w:eastAsia="Arial" w:hAnsi="Arial"/>
                <w:sz w:val="11"/>
                <w:szCs w:val="11"/>
                <w:color w:val="auto"/>
              </w:rPr>
              <w:t>112,000</w:t>
            </w:r>
          </w:p>
        </w:tc>
        <w:tc>
          <w:tcPr>
            <w:tcW w:w="920" w:type="dxa"/>
            <w:vAlign w:val="bottom"/>
            <w:gridSpan w:val="3"/>
            <w:shd w:val="clear" w:color="auto" w:fill="CCEEFF"/>
          </w:tcPr>
          <w:p>
            <w:pPr>
              <w:jc w:val="center"/>
              <w:ind w:left="163"/>
              <w:spacing w:after="0"/>
              <w:rPr>
                <w:sz w:val="20"/>
                <w:szCs w:val="20"/>
                <w:color w:val="auto"/>
              </w:rPr>
            </w:pPr>
            <w:r>
              <w:rPr>
                <w:rFonts w:ascii="Arial" w:cs="Arial" w:eastAsia="Arial" w:hAnsi="Arial"/>
                <w:sz w:val="11"/>
                <w:szCs w:val="11"/>
                <w:color w:val="auto"/>
              </w:rPr>
              <w:t>6.3%</w:t>
            </w:r>
          </w:p>
        </w:tc>
        <w:tc>
          <w:tcPr>
            <w:tcW w:w="6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243"/>
              <w:spacing w:after="0"/>
              <w:rPr>
                <w:sz w:val="20"/>
                <w:szCs w:val="20"/>
                <w:color w:val="auto"/>
              </w:rPr>
            </w:pPr>
            <w:r>
              <w:rPr>
                <w:rFonts w:ascii="Arial" w:cs="Arial" w:eastAsia="Arial" w:hAnsi="Arial"/>
                <w:sz w:val="11"/>
                <w:szCs w:val="11"/>
                <w:color w:val="auto"/>
              </w:rPr>
              <w:t>6.0%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680" w:type="dxa"/>
            <w:vAlign w:val="bottom"/>
            <w:tcBorders>
              <w:bottom w:val="single" w:sz="8" w:color="CCEEFF"/>
            </w:tcBorders>
          </w:tcPr>
          <w:p>
            <w:pPr>
              <w:ind w:left="120"/>
              <w:spacing w:after="0"/>
              <w:rPr>
                <w:sz w:val="20"/>
                <w:szCs w:val="20"/>
                <w:color w:val="auto"/>
              </w:rPr>
            </w:pPr>
            <w:r>
              <w:rPr>
                <w:rFonts w:ascii="Arial" w:cs="Arial" w:eastAsia="Arial" w:hAnsi="Arial"/>
                <w:sz w:val="11"/>
                <w:szCs w:val="11"/>
                <w:color w:val="auto"/>
              </w:rPr>
              <w:t>Canada</w:t>
            </w:r>
          </w:p>
        </w:tc>
        <w:tc>
          <w:tcPr>
            <w:tcW w:w="720" w:type="dxa"/>
            <w:vAlign w:val="bottom"/>
            <w:tcBorders>
              <w:bottom w:val="single" w:sz="8" w:color="CCEEFF"/>
            </w:tcBorders>
            <w:gridSpan w:val="2"/>
          </w:tcPr>
          <w:p>
            <w:pPr>
              <w:jc w:val="right"/>
              <w:ind w:right="143"/>
              <w:spacing w:after="0"/>
              <w:rPr>
                <w:sz w:val="20"/>
                <w:szCs w:val="20"/>
                <w:color w:val="auto"/>
              </w:rPr>
            </w:pPr>
            <w:r>
              <w:rPr>
                <w:rFonts w:ascii="Arial" w:cs="Arial" w:eastAsia="Arial" w:hAnsi="Arial"/>
                <w:sz w:val="11"/>
                <w:szCs w:val="11"/>
                <w:color w:val="auto"/>
              </w:rPr>
              <w:t>100%</w:t>
            </w:r>
          </w:p>
        </w:tc>
        <w:tc>
          <w:tcPr>
            <w:tcW w:w="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49,303</w:t>
            </w:r>
          </w:p>
        </w:tc>
        <w:tc>
          <w:tcPr>
            <w:tcW w:w="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44,036</w:t>
            </w:r>
          </w:p>
        </w:tc>
        <w:tc>
          <w:tcPr>
            <w:tcW w:w="10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jc w:val="right"/>
              <w:spacing w:after="0"/>
              <w:rPr>
                <w:sz w:val="20"/>
                <w:szCs w:val="20"/>
                <w:color w:val="auto"/>
              </w:rPr>
            </w:pPr>
            <w:r>
              <w:rPr>
                <w:rFonts w:ascii="Arial" w:cs="Arial" w:eastAsia="Arial" w:hAnsi="Arial"/>
                <w:sz w:val="11"/>
                <w:szCs w:val="11"/>
                <w:color w:val="auto"/>
              </w:rPr>
              <w:t>19,661</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640" w:type="dxa"/>
            <w:vAlign w:val="bottom"/>
            <w:tcBorders>
              <w:bottom w:val="single" w:sz="8" w:color="CCEEFF"/>
            </w:tcBorders>
          </w:tcPr>
          <w:p>
            <w:pPr>
              <w:ind w:left="200"/>
              <w:spacing w:after="0"/>
              <w:rPr>
                <w:sz w:val="20"/>
                <w:szCs w:val="20"/>
                <w:color w:val="auto"/>
              </w:rPr>
            </w:pPr>
            <w:r>
              <w:rPr>
                <w:rFonts w:ascii="Arial" w:cs="Arial" w:eastAsia="Arial" w:hAnsi="Arial"/>
                <w:sz w:val="11"/>
                <w:szCs w:val="11"/>
                <w:color w:val="auto"/>
              </w:rPr>
              <w:t>113,000</w:t>
            </w:r>
          </w:p>
        </w:tc>
        <w:tc>
          <w:tcPr>
            <w:tcW w:w="920" w:type="dxa"/>
            <w:vAlign w:val="bottom"/>
            <w:tcBorders>
              <w:bottom w:val="single" w:sz="8" w:color="CCEEFF"/>
            </w:tcBorders>
            <w:gridSpan w:val="3"/>
          </w:tcPr>
          <w:p>
            <w:pPr>
              <w:jc w:val="center"/>
              <w:ind w:left="163"/>
              <w:spacing w:after="0"/>
              <w:rPr>
                <w:sz w:val="20"/>
                <w:szCs w:val="20"/>
                <w:color w:val="auto"/>
              </w:rPr>
            </w:pPr>
            <w:r>
              <w:rPr>
                <w:rFonts w:ascii="Arial" w:cs="Arial" w:eastAsia="Arial" w:hAnsi="Arial"/>
                <w:sz w:val="11"/>
                <w:szCs w:val="11"/>
                <w:color w:val="auto"/>
              </w:rPr>
              <w:t>6.4%</w:t>
            </w:r>
          </w:p>
        </w:tc>
        <w:tc>
          <w:tcPr>
            <w:tcW w:w="60" w:type="dxa"/>
            <w:vAlign w:val="bottom"/>
            <w:tcBorders>
              <w:bottom w:val="single" w:sz="8" w:color="CCEEFF"/>
            </w:tcBorders>
          </w:tcPr>
          <w:p>
            <w:pPr>
              <w:spacing w:after="0"/>
              <w:rPr>
                <w:sz w:val="14"/>
                <w:szCs w:val="14"/>
                <w:color w:val="auto"/>
              </w:rPr>
            </w:pPr>
          </w:p>
        </w:tc>
        <w:tc>
          <w:tcPr>
            <w:tcW w:w="960" w:type="dxa"/>
            <w:vAlign w:val="bottom"/>
            <w:tcBorders>
              <w:bottom w:val="single" w:sz="8" w:color="CCEEFF"/>
            </w:tcBorders>
          </w:tcPr>
          <w:p>
            <w:pPr>
              <w:jc w:val="right"/>
              <w:ind w:right="243"/>
              <w:spacing w:after="0"/>
              <w:rPr>
                <w:sz w:val="20"/>
                <w:szCs w:val="20"/>
                <w:color w:val="auto"/>
              </w:rPr>
            </w:pPr>
            <w:r>
              <w:rPr>
                <w:rFonts w:ascii="Arial" w:cs="Arial" w:eastAsia="Arial" w:hAnsi="Arial"/>
                <w:sz w:val="11"/>
                <w:szCs w:val="11"/>
                <w:color w:val="auto"/>
              </w:rPr>
              <w:t>6.3%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4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1,830,661</w:t>
            </w: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tcBorders>
              <w:right w:val="single" w:sz="8" w:color="CCEEFF"/>
            </w:tcBorders>
            <w:shd w:val="clear" w:color="auto" w:fill="CCEEFF"/>
          </w:tcPr>
          <w:p>
            <w:pPr>
              <w:jc w:val="right"/>
              <w:ind w:right="43"/>
              <w:spacing w:after="0"/>
              <w:rPr>
                <w:sz w:val="20"/>
                <w:szCs w:val="20"/>
                <w:color w:val="auto"/>
              </w:rPr>
            </w:pPr>
            <w:r>
              <w:rPr>
                <w:rFonts w:ascii="Arial" w:cs="Arial" w:eastAsia="Arial" w:hAnsi="Arial"/>
                <w:sz w:val="11"/>
                <w:szCs w:val="11"/>
                <w:color w:val="auto"/>
              </w:rPr>
              <w:t>1,360,653</w:t>
            </w: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4680" w:type="dxa"/>
            <w:vAlign w:val="bottom"/>
            <w:tcBorders>
              <w:bottom w:val="single" w:sz="8" w:color="CCEEFF"/>
            </w:tcBorders>
          </w:tcPr>
          <w:p>
            <w:pPr>
              <w:ind w:left="40"/>
              <w:spacing w:after="0"/>
              <w:rPr>
                <w:sz w:val="20"/>
                <w:szCs w:val="20"/>
                <w:color w:val="auto"/>
              </w:rPr>
            </w:pPr>
            <w:r>
              <w:rPr>
                <w:rFonts w:ascii="Arial" w:cs="Arial" w:eastAsia="Arial" w:hAnsi="Arial"/>
                <w:sz w:val="11"/>
                <w:szCs w:val="11"/>
                <w:color w:val="auto"/>
              </w:rPr>
              <w:t>2026 and beyond stabilization</w:t>
            </w:r>
            <w:r>
              <w:rPr>
                <w:rFonts w:ascii="Arial" w:cs="Arial" w:eastAsia="Arial" w:hAnsi="Arial"/>
                <w:sz w:val="14"/>
                <w:szCs w:val="14"/>
                <w:color w:val="auto"/>
                <w:vertAlign w:val="superscript"/>
              </w:rPr>
              <w:t>(1)</w:t>
            </w:r>
          </w:p>
        </w:tc>
        <w:tc>
          <w:tcPr>
            <w:tcW w:w="6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100" w:type="dxa"/>
            <w:vAlign w:val="bottom"/>
            <w:tcBorders>
              <w:bottom w:val="single" w:sz="8" w:color="B6B6B6"/>
            </w:tcBorders>
          </w:tcPr>
          <w:p>
            <w:pPr>
              <w:spacing w:after="0"/>
              <w:rPr>
                <w:sz w:val="14"/>
                <w:szCs w:val="14"/>
                <w:color w:val="auto"/>
              </w:rPr>
            </w:pPr>
          </w:p>
        </w:tc>
        <w:tc>
          <w:tcPr>
            <w:tcW w:w="660" w:type="dxa"/>
            <w:vAlign w:val="bottom"/>
            <w:tcBorders>
              <w:bottom w:val="single" w:sz="8" w:color="B6B6B6"/>
            </w:tcBorders>
          </w:tcPr>
          <w:p>
            <w:pPr>
              <w:spacing w:after="0"/>
              <w:rPr>
                <w:sz w:val="14"/>
                <w:szCs w:val="14"/>
                <w:color w:val="auto"/>
              </w:rPr>
            </w:pPr>
          </w:p>
        </w:tc>
        <w:tc>
          <w:tcPr>
            <w:tcW w:w="180" w:type="dxa"/>
            <w:vAlign w:val="bottom"/>
            <w:tcBorders>
              <w:bottom w:val="single" w:sz="8" w:color="B6B6B6"/>
            </w:tcBorders>
          </w:tcPr>
          <w:p>
            <w:pPr>
              <w:spacing w:after="0"/>
              <w:rPr>
                <w:sz w:val="14"/>
                <w:szCs w:val="14"/>
                <w:color w:val="auto"/>
              </w:rPr>
            </w:pPr>
          </w:p>
        </w:tc>
        <w:tc>
          <w:tcPr>
            <w:tcW w:w="140" w:type="dxa"/>
            <w:vAlign w:val="bottom"/>
            <w:tcBorders>
              <w:bottom w:val="single" w:sz="8" w:color="B6B6B6"/>
            </w:tcBorders>
          </w:tcPr>
          <w:p>
            <w:pPr>
              <w:spacing w:after="0"/>
              <w:rPr>
                <w:sz w:val="14"/>
                <w:szCs w:val="14"/>
                <w:color w:val="auto"/>
              </w:rPr>
            </w:pPr>
          </w:p>
        </w:tc>
        <w:tc>
          <w:tcPr>
            <w:tcW w:w="640" w:type="dxa"/>
            <w:vAlign w:val="bottom"/>
            <w:tcBorders>
              <w:bottom w:val="single" w:sz="8" w:color="B6B6B6"/>
            </w:tcBorders>
          </w:tcPr>
          <w:p>
            <w:pPr>
              <w:spacing w:after="0"/>
              <w:rPr>
                <w:sz w:val="14"/>
                <w:szCs w:val="14"/>
                <w:color w:val="auto"/>
              </w:rPr>
            </w:pPr>
          </w:p>
        </w:tc>
        <w:tc>
          <w:tcPr>
            <w:tcW w:w="20" w:type="dxa"/>
            <w:vAlign w:val="bottom"/>
            <w:tcBorders>
              <w:bottom w:val="single" w:sz="8" w:color="B6B6B6"/>
            </w:tcBorders>
          </w:tcPr>
          <w:p>
            <w:pPr>
              <w:spacing w:after="0"/>
              <w:rPr>
                <w:sz w:val="14"/>
                <w:szCs w:val="14"/>
                <w:color w:val="auto"/>
              </w:rPr>
            </w:pPr>
          </w:p>
        </w:tc>
        <w:tc>
          <w:tcPr>
            <w:tcW w:w="160" w:type="dxa"/>
            <w:vAlign w:val="bottom"/>
            <w:tcBorders>
              <w:bottom w:val="single" w:sz="8" w:color="B6B6B6"/>
            </w:tcBorders>
          </w:tcPr>
          <w:p>
            <w:pPr>
              <w:spacing w:after="0"/>
              <w:rPr>
                <w:sz w:val="14"/>
                <w:szCs w:val="14"/>
                <w:color w:val="auto"/>
              </w:rPr>
            </w:pPr>
          </w:p>
        </w:tc>
        <w:tc>
          <w:tcPr>
            <w:tcW w:w="740" w:type="dxa"/>
            <w:vAlign w:val="bottom"/>
            <w:tcBorders>
              <w:bottom w:val="single" w:sz="8" w:color="B6B6B6"/>
            </w:tcBorders>
          </w:tcPr>
          <w:p>
            <w:pPr>
              <w:spacing w:after="0"/>
              <w:rPr>
                <w:sz w:val="14"/>
                <w:szCs w:val="14"/>
                <w:color w:val="auto"/>
              </w:rPr>
            </w:pPr>
          </w:p>
        </w:tc>
        <w:tc>
          <w:tcPr>
            <w:tcW w:w="60" w:type="dxa"/>
            <w:vAlign w:val="bottom"/>
            <w:tcBorders>
              <w:bottom w:val="single" w:sz="8" w:color="B6B6B6"/>
            </w:tcBorders>
          </w:tcPr>
          <w:p>
            <w:pPr>
              <w:spacing w:after="0"/>
              <w:rPr>
                <w:sz w:val="14"/>
                <w:szCs w:val="14"/>
                <w:color w:val="auto"/>
              </w:rPr>
            </w:pPr>
          </w:p>
        </w:tc>
        <w:tc>
          <w:tcPr>
            <w:tcW w:w="960" w:type="dxa"/>
            <w:vAlign w:val="bottom"/>
            <w:tcBorders>
              <w:bottom w:val="single" w:sz="8" w:color="B6B6B6"/>
            </w:tcBorders>
          </w:tcPr>
          <w:p>
            <w:pPr>
              <w:spacing w:after="0"/>
              <w:rPr>
                <w:sz w:val="14"/>
                <w:szCs w:val="14"/>
                <w:color w:val="auto"/>
              </w:rPr>
            </w:pPr>
          </w:p>
        </w:tc>
        <w:tc>
          <w:tcPr>
            <w:tcW w:w="20" w:type="dxa"/>
            <w:vAlign w:val="bottom"/>
            <w:tcBorders>
              <w:bottom w:val="single" w:sz="8" w:color="B6B6B6"/>
            </w:tcBorders>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4680" w:type="dxa"/>
            <w:vAlign w:val="bottom"/>
            <w:shd w:val="clear" w:color="auto" w:fill="CCEEFF"/>
          </w:tcPr>
          <w:p>
            <w:pPr>
              <w:ind w:left="120"/>
              <w:spacing w:after="0"/>
              <w:rPr>
                <w:sz w:val="20"/>
                <w:szCs w:val="20"/>
                <w:color w:val="auto"/>
              </w:rPr>
            </w:pPr>
            <w:r>
              <w:rPr>
                <w:rFonts w:ascii="Arial" w:cs="Arial" w:eastAsia="Arial" w:hAnsi="Arial"/>
                <w:sz w:val="11"/>
                <w:szCs w:val="11"/>
                <w:color w:val="auto"/>
              </w:rPr>
              <w:t>311 Arsenal Street/Greater Boston/Cambridge/Inner Suburbs</w:t>
            </w:r>
          </w:p>
        </w:tc>
        <w:tc>
          <w:tcPr>
            <w:tcW w:w="720" w:type="dxa"/>
            <w:vAlign w:val="bottom"/>
            <w:gridSpan w:val="2"/>
            <w:shd w:val="clear" w:color="auto" w:fill="CCEEFF"/>
          </w:tcPr>
          <w:p>
            <w:pPr>
              <w:jc w:val="right"/>
              <w:ind w:right="143"/>
              <w:spacing w:after="0"/>
              <w:rPr>
                <w:sz w:val="20"/>
                <w:szCs w:val="20"/>
                <w:color w:val="auto"/>
              </w:rPr>
            </w:pPr>
            <w:r>
              <w:rPr>
                <w:rFonts w:ascii="Arial" w:cs="Arial" w:eastAsia="Arial" w:hAnsi="Arial"/>
                <w:sz w:val="11"/>
                <w:szCs w:val="11"/>
                <w:color w:val="auto"/>
              </w:rPr>
              <w:t>100%</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60,555</w:t>
            </w: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tcBorders>
              <w:right w:val="single" w:sz="8" w:color="B6B6B6"/>
            </w:tcBorders>
            <w:shd w:val="clear" w:color="auto" w:fill="CCEEFF"/>
          </w:tcPr>
          <w:p>
            <w:pPr>
              <w:jc w:val="right"/>
              <w:ind w:right="43"/>
              <w:spacing w:after="0"/>
              <w:rPr>
                <w:sz w:val="20"/>
                <w:szCs w:val="20"/>
                <w:color w:val="auto"/>
              </w:rPr>
            </w:pPr>
            <w:r>
              <w:rPr>
                <w:rFonts w:ascii="Arial" w:cs="Arial" w:eastAsia="Arial" w:hAnsi="Arial"/>
                <w:sz w:val="11"/>
                <w:szCs w:val="11"/>
                <w:color w:val="auto"/>
              </w:rPr>
              <w:t>228,799</w:t>
            </w: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0" w:type="dxa"/>
            <w:vAlign w:val="bottom"/>
            <w:shd w:val="clear" w:color="auto" w:fill="B6B6B6"/>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4680" w:type="dxa"/>
            <w:vAlign w:val="bottom"/>
          </w:tcPr>
          <w:p>
            <w:pPr>
              <w:ind w:left="120"/>
              <w:spacing w:after="0"/>
              <w:rPr>
                <w:sz w:val="20"/>
                <w:szCs w:val="20"/>
                <w:color w:val="auto"/>
              </w:rPr>
            </w:pPr>
            <w:r>
              <w:rPr>
                <w:rFonts w:ascii="Arial" w:cs="Arial" w:eastAsia="Arial" w:hAnsi="Arial"/>
                <w:sz w:val="11"/>
                <w:szCs w:val="11"/>
                <w:color w:val="auto"/>
              </w:rPr>
              <w:t>401 Park Drive/Greater Boston/Fenway</w:t>
            </w:r>
          </w:p>
        </w:tc>
        <w:tc>
          <w:tcPr>
            <w:tcW w:w="720" w:type="dxa"/>
            <w:vAlign w:val="bottom"/>
            <w:gridSpan w:val="2"/>
          </w:tcPr>
          <w:p>
            <w:pPr>
              <w:jc w:val="right"/>
              <w:ind w:right="143"/>
              <w:spacing w:after="0"/>
              <w:rPr>
                <w:sz w:val="20"/>
                <w:szCs w:val="20"/>
                <w:color w:val="auto"/>
              </w:rPr>
            </w:pPr>
            <w:r>
              <w:rPr>
                <w:rFonts w:ascii="Arial" w:cs="Arial" w:eastAsia="Arial" w:hAnsi="Arial"/>
                <w:sz w:val="11"/>
                <w:szCs w:val="11"/>
                <w:color w:val="auto"/>
              </w:rPr>
              <w:t>100%</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680" w:type="dxa"/>
            <w:vAlign w:val="bottom"/>
            <w:tcBorders>
              <w:right w:val="single" w:sz="8" w:color="B6B6B6"/>
            </w:tcBorders>
          </w:tcPr>
          <w:p>
            <w:pPr>
              <w:jc w:val="right"/>
              <w:ind w:right="43"/>
              <w:spacing w:after="0"/>
              <w:rPr>
                <w:sz w:val="20"/>
                <w:szCs w:val="20"/>
                <w:color w:val="auto"/>
              </w:rPr>
            </w:pPr>
            <w:r>
              <w:rPr>
                <w:rFonts w:ascii="Arial" w:cs="Arial" w:eastAsia="Arial" w:hAnsi="Arial"/>
                <w:sz w:val="11"/>
                <w:szCs w:val="11"/>
                <w:color w:val="auto"/>
              </w:rPr>
              <w:t>178,178</w:t>
            </w: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0" w:type="dxa"/>
            <w:vAlign w:val="bottom"/>
            <w:shd w:val="clear" w:color="auto" w:fill="B6B6B6"/>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680" w:type="dxa"/>
            <w:vAlign w:val="bottom"/>
            <w:shd w:val="clear" w:color="auto" w:fill="CCEEFF"/>
          </w:tcPr>
          <w:p>
            <w:pPr>
              <w:ind w:left="120"/>
              <w:spacing w:after="0"/>
              <w:rPr>
                <w:sz w:val="20"/>
                <w:szCs w:val="20"/>
                <w:color w:val="auto"/>
              </w:rPr>
            </w:pPr>
            <w:r>
              <w:rPr>
                <w:rFonts w:ascii="Arial" w:cs="Arial" w:eastAsia="Arial" w:hAnsi="Arial"/>
                <w:sz w:val="11"/>
                <w:szCs w:val="11"/>
                <w:color w:val="auto"/>
              </w:rPr>
              <w:t>421 Park Drive/Greater Boston/Fenway</w:t>
            </w:r>
          </w:p>
        </w:tc>
        <w:tc>
          <w:tcPr>
            <w:tcW w:w="720" w:type="dxa"/>
            <w:vAlign w:val="bottom"/>
            <w:gridSpan w:val="2"/>
            <w:shd w:val="clear" w:color="auto" w:fill="CCEEFF"/>
          </w:tcPr>
          <w:p>
            <w:pPr>
              <w:jc w:val="right"/>
              <w:ind w:right="143"/>
              <w:spacing w:after="0"/>
              <w:rPr>
                <w:sz w:val="20"/>
                <w:szCs w:val="20"/>
                <w:color w:val="auto"/>
              </w:rPr>
            </w:pPr>
            <w:r>
              <w:rPr>
                <w:rFonts w:ascii="Arial" w:cs="Arial" w:eastAsia="Arial" w:hAnsi="Arial"/>
                <w:sz w:val="11"/>
                <w:szCs w:val="11"/>
                <w:color w:val="auto"/>
              </w:rPr>
              <w:t>99.7%</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4"/>
                <w:szCs w:val="14"/>
                <w:color w:val="auto"/>
              </w:rPr>
            </w:pPr>
          </w:p>
        </w:tc>
        <w:tc>
          <w:tcPr>
            <w:tcW w:w="680" w:type="dxa"/>
            <w:vAlign w:val="bottom"/>
            <w:tcBorders>
              <w:right w:val="single" w:sz="8" w:color="B6B6B6"/>
            </w:tcBorders>
            <w:shd w:val="clear" w:color="auto" w:fill="CCEEFF"/>
          </w:tcPr>
          <w:p>
            <w:pPr>
              <w:jc w:val="right"/>
              <w:ind w:right="43"/>
              <w:spacing w:after="0"/>
              <w:rPr>
                <w:sz w:val="20"/>
                <w:szCs w:val="20"/>
                <w:color w:val="auto"/>
              </w:rPr>
            </w:pPr>
            <w:r>
              <w:rPr>
                <w:rFonts w:ascii="Arial" w:cs="Arial" w:eastAsia="Arial" w:hAnsi="Arial"/>
                <w:sz w:val="11"/>
                <w:szCs w:val="11"/>
                <w:color w:val="auto"/>
              </w:rPr>
              <w:t>376,163</w:t>
            </w: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980" w:type="dxa"/>
            <w:vAlign w:val="bottom"/>
            <w:gridSpan w:val="4"/>
            <w:vMerge w:val="restart"/>
            <w:shd w:val="clear" w:color="auto" w:fill="CCEEFF"/>
          </w:tcPr>
          <w:p>
            <w:pPr>
              <w:ind w:left="20"/>
              <w:spacing w:after="0"/>
              <w:rPr>
                <w:sz w:val="20"/>
                <w:szCs w:val="20"/>
                <w:color w:val="auto"/>
              </w:rPr>
            </w:pPr>
            <w:r>
              <w:rPr>
                <w:rFonts w:ascii="Arial" w:cs="Arial" w:eastAsia="Arial" w:hAnsi="Arial"/>
                <w:sz w:val="11"/>
                <w:szCs w:val="11"/>
                <w:color w:val="auto"/>
              </w:rPr>
              <w:t>TBD</w:t>
            </w:r>
          </w:p>
        </w:tc>
        <w:tc>
          <w:tcPr>
            <w:tcW w:w="960" w:type="dxa"/>
            <w:vAlign w:val="bottom"/>
            <w:shd w:val="clear" w:color="auto" w:fill="CCEEFF"/>
          </w:tcPr>
          <w:p>
            <w:pPr>
              <w:spacing w:after="0"/>
              <w:rPr>
                <w:sz w:val="14"/>
                <w:szCs w:val="14"/>
                <w:color w:val="auto"/>
              </w:rPr>
            </w:pPr>
          </w:p>
        </w:tc>
        <w:tc>
          <w:tcPr>
            <w:tcW w:w="20" w:type="dxa"/>
            <w:vAlign w:val="bottom"/>
            <w:shd w:val="clear" w:color="auto" w:fill="B6B6B6"/>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4680" w:type="dxa"/>
            <w:vAlign w:val="bottom"/>
            <w:vMerge w:val="restart"/>
          </w:tcPr>
          <w:p>
            <w:pPr>
              <w:ind w:left="120"/>
              <w:spacing w:after="0"/>
              <w:rPr>
                <w:sz w:val="20"/>
                <w:szCs w:val="20"/>
                <w:color w:val="auto"/>
              </w:rPr>
            </w:pPr>
            <w:r>
              <w:rPr>
                <w:rFonts w:ascii="Arial" w:cs="Arial" w:eastAsia="Arial" w:hAnsi="Arial"/>
                <w:sz w:val="11"/>
                <w:szCs w:val="11"/>
                <w:color w:val="auto"/>
              </w:rPr>
              <w:t>40, 50, and 60 Sylvan Road/Greater Boston/Route 128</w:t>
            </w:r>
          </w:p>
        </w:tc>
        <w:tc>
          <w:tcPr>
            <w:tcW w:w="720" w:type="dxa"/>
            <w:vAlign w:val="bottom"/>
            <w:gridSpan w:val="2"/>
            <w:vMerge w:val="restart"/>
          </w:tcPr>
          <w:p>
            <w:pPr>
              <w:jc w:val="right"/>
              <w:ind w:right="143"/>
              <w:spacing w:after="0"/>
              <w:rPr>
                <w:sz w:val="20"/>
                <w:szCs w:val="20"/>
                <w:color w:val="auto"/>
              </w:rPr>
            </w:pPr>
            <w:r>
              <w:rPr>
                <w:rFonts w:ascii="Arial" w:cs="Arial" w:eastAsia="Arial" w:hAnsi="Arial"/>
                <w:sz w:val="11"/>
                <w:szCs w:val="11"/>
                <w:color w:val="auto"/>
              </w:rPr>
              <w:t>100%</w:t>
            </w: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6"/>
                <w:szCs w:val="6"/>
                <w:color w:val="auto"/>
              </w:rPr>
            </w:pPr>
          </w:p>
        </w:tc>
        <w:tc>
          <w:tcPr>
            <w:tcW w:w="680" w:type="dxa"/>
            <w:vAlign w:val="bottom"/>
            <w:tcBorders>
              <w:right w:val="single" w:sz="8" w:color="B6B6B6"/>
            </w:tcBorders>
            <w:vMerge w:val="restart"/>
          </w:tcPr>
          <w:p>
            <w:pPr>
              <w:jc w:val="right"/>
              <w:ind w:right="43"/>
              <w:spacing w:after="0"/>
              <w:rPr>
                <w:sz w:val="20"/>
                <w:szCs w:val="20"/>
                <w:color w:val="auto"/>
              </w:rPr>
            </w:pPr>
            <w:r>
              <w:rPr>
                <w:rFonts w:ascii="Arial" w:cs="Arial" w:eastAsia="Arial" w:hAnsi="Arial"/>
                <w:sz w:val="11"/>
                <w:szCs w:val="11"/>
                <w:color w:val="auto"/>
              </w:rPr>
              <w:t>419,034</w:t>
            </w:r>
          </w:p>
        </w:tc>
        <w:tc>
          <w:tcPr>
            <w:tcW w:w="10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980" w:type="dxa"/>
            <w:vAlign w:val="bottom"/>
            <w:gridSpan w:val="4"/>
            <w:vMerge w:val="continue"/>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20" w:type="dxa"/>
            <w:vAlign w:val="bottom"/>
            <w:shd w:val="clear" w:color="auto" w:fill="B6B6B6"/>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4680" w:type="dxa"/>
            <w:vAlign w:val="bottom"/>
            <w:vMerge w:val="continue"/>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tcBorders>
              <w:right w:val="single" w:sz="8" w:color="B6B6B6"/>
            </w:tcBorders>
            <w:vMerge w:val="continue"/>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c>
          <w:tcPr>
            <w:tcW w:w="20" w:type="dxa"/>
            <w:vAlign w:val="bottom"/>
            <w:shd w:val="clear" w:color="auto" w:fill="B6B6B6"/>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4680" w:type="dxa"/>
            <w:vAlign w:val="bottom"/>
            <w:shd w:val="clear" w:color="auto" w:fill="CCEEFF"/>
          </w:tcPr>
          <w:p>
            <w:pPr>
              <w:ind w:left="120"/>
              <w:spacing w:after="0"/>
              <w:rPr>
                <w:sz w:val="20"/>
                <w:szCs w:val="20"/>
                <w:color w:val="auto"/>
              </w:rPr>
            </w:pPr>
            <w:r>
              <w:rPr>
                <w:rFonts w:ascii="Arial" w:cs="Arial" w:eastAsia="Arial" w:hAnsi="Arial"/>
                <w:sz w:val="11"/>
                <w:szCs w:val="11"/>
                <w:color w:val="auto"/>
              </w:rPr>
              <w:t>Other/Greater Boston</w:t>
            </w:r>
          </w:p>
        </w:tc>
        <w:tc>
          <w:tcPr>
            <w:tcW w:w="720" w:type="dxa"/>
            <w:vAlign w:val="bottom"/>
            <w:gridSpan w:val="2"/>
            <w:shd w:val="clear" w:color="auto" w:fill="CCEEFF"/>
          </w:tcPr>
          <w:p>
            <w:pPr>
              <w:jc w:val="right"/>
              <w:ind w:right="143"/>
              <w:spacing w:after="0"/>
              <w:rPr>
                <w:sz w:val="20"/>
                <w:szCs w:val="20"/>
                <w:color w:val="auto"/>
              </w:rPr>
            </w:pPr>
            <w:r>
              <w:rPr>
                <w:rFonts w:ascii="Arial" w:cs="Arial" w:eastAsia="Arial" w:hAnsi="Arial"/>
                <w:sz w:val="11"/>
                <w:szCs w:val="11"/>
                <w:color w:val="auto"/>
              </w:rPr>
              <w:t>100%</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4"/>
                <w:szCs w:val="14"/>
                <w:color w:val="auto"/>
              </w:rPr>
            </w:pPr>
          </w:p>
        </w:tc>
        <w:tc>
          <w:tcPr>
            <w:tcW w:w="680" w:type="dxa"/>
            <w:vAlign w:val="bottom"/>
            <w:tcBorders>
              <w:right w:val="single" w:sz="8" w:color="B6B6B6"/>
            </w:tcBorders>
            <w:shd w:val="clear" w:color="auto" w:fill="CCEEFF"/>
          </w:tcPr>
          <w:p>
            <w:pPr>
              <w:jc w:val="right"/>
              <w:ind w:right="43"/>
              <w:spacing w:after="0"/>
              <w:rPr>
                <w:sz w:val="20"/>
                <w:szCs w:val="20"/>
                <w:color w:val="auto"/>
              </w:rPr>
            </w:pPr>
            <w:r>
              <w:rPr>
                <w:rFonts w:ascii="Arial" w:cs="Arial" w:eastAsia="Arial" w:hAnsi="Arial"/>
                <w:sz w:val="11"/>
                <w:szCs w:val="11"/>
                <w:color w:val="auto"/>
              </w:rPr>
              <w:t>141,776</w:t>
            </w: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0" w:type="dxa"/>
            <w:vAlign w:val="bottom"/>
            <w:shd w:val="clear" w:color="auto" w:fill="B6B6B6"/>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680" w:type="dxa"/>
            <w:vAlign w:val="bottom"/>
            <w:tcBorders>
              <w:bottom w:val="single" w:sz="8" w:color="CCEEFF"/>
            </w:tcBorders>
          </w:tcPr>
          <w:p>
            <w:pPr>
              <w:ind w:left="120"/>
              <w:spacing w:after="0"/>
              <w:rPr>
                <w:sz w:val="20"/>
                <w:szCs w:val="20"/>
                <w:color w:val="auto"/>
              </w:rPr>
            </w:pPr>
            <w:r>
              <w:rPr>
                <w:rFonts w:ascii="Arial" w:cs="Arial" w:eastAsia="Arial" w:hAnsi="Arial"/>
                <w:sz w:val="11"/>
                <w:szCs w:val="11"/>
                <w:color w:val="auto"/>
              </w:rPr>
              <w:t>1450 Owens Street/San Francisco Bay Area/Mission Bay</w:t>
            </w:r>
          </w:p>
        </w:tc>
        <w:tc>
          <w:tcPr>
            <w:tcW w:w="720" w:type="dxa"/>
            <w:vAlign w:val="bottom"/>
            <w:tcBorders>
              <w:bottom w:val="single" w:sz="8" w:color="CCEEFF"/>
            </w:tcBorders>
            <w:gridSpan w:val="2"/>
          </w:tcPr>
          <w:p>
            <w:pPr>
              <w:jc w:val="right"/>
              <w:ind w:right="143"/>
              <w:spacing w:after="0"/>
              <w:rPr>
                <w:sz w:val="20"/>
                <w:szCs w:val="20"/>
                <w:color w:val="auto"/>
              </w:rPr>
            </w:pPr>
            <w:r>
              <w:rPr>
                <w:rFonts w:ascii="Arial" w:cs="Arial" w:eastAsia="Arial" w:hAnsi="Arial"/>
                <w:sz w:val="11"/>
                <w:szCs w:val="11"/>
                <w:color w:val="auto"/>
              </w:rPr>
              <w:t>26.3%</w:t>
            </w:r>
          </w:p>
        </w:tc>
        <w:tc>
          <w:tcPr>
            <w:tcW w:w="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right w:val="single" w:sz="8" w:color="B6B6B6"/>
            </w:tcBorders>
          </w:tcPr>
          <w:p>
            <w:pPr>
              <w:jc w:val="right"/>
              <w:ind w:right="43"/>
              <w:spacing w:after="0"/>
              <w:rPr>
                <w:sz w:val="20"/>
                <w:szCs w:val="20"/>
                <w:color w:val="auto"/>
              </w:rPr>
            </w:pPr>
            <w:r>
              <w:rPr>
                <w:rFonts w:ascii="Arial" w:cs="Arial" w:eastAsia="Arial" w:hAnsi="Arial"/>
                <w:sz w:val="11"/>
                <w:szCs w:val="11"/>
                <w:color w:val="auto"/>
              </w:rPr>
              <w:t>230,909</w:t>
            </w:r>
          </w:p>
        </w:tc>
        <w:tc>
          <w:tcPr>
            <w:tcW w:w="100" w:type="dxa"/>
            <w:vAlign w:val="bottom"/>
            <w:tcBorders>
              <w:bottom w:val="single" w:sz="8" w:color="B6B6B6"/>
            </w:tcBorders>
            <w:shd w:val="clear" w:color="auto" w:fill="CCEEFF"/>
          </w:tcPr>
          <w:p>
            <w:pPr>
              <w:spacing w:after="0"/>
              <w:rPr>
                <w:sz w:val="14"/>
                <w:szCs w:val="14"/>
                <w:color w:val="auto"/>
              </w:rPr>
            </w:pPr>
          </w:p>
        </w:tc>
        <w:tc>
          <w:tcPr>
            <w:tcW w:w="660" w:type="dxa"/>
            <w:vAlign w:val="bottom"/>
            <w:tcBorders>
              <w:bottom w:val="single" w:sz="8" w:color="B6B6B6"/>
            </w:tcBorders>
            <w:shd w:val="clear" w:color="auto" w:fill="CCEEFF"/>
          </w:tcPr>
          <w:p>
            <w:pPr>
              <w:spacing w:after="0"/>
              <w:rPr>
                <w:sz w:val="14"/>
                <w:szCs w:val="14"/>
                <w:color w:val="auto"/>
              </w:rPr>
            </w:pPr>
          </w:p>
        </w:tc>
        <w:tc>
          <w:tcPr>
            <w:tcW w:w="180" w:type="dxa"/>
            <w:vAlign w:val="bottom"/>
            <w:tcBorders>
              <w:bottom w:val="single" w:sz="8" w:color="B6B6B6"/>
            </w:tcBorders>
            <w:shd w:val="clear" w:color="auto" w:fill="CCEEFF"/>
          </w:tcPr>
          <w:p>
            <w:pPr>
              <w:spacing w:after="0"/>
              <w:rPr>
                <w:sz w:val="14"/>
                <w:szCs w:val="14"/>
                <w:color w:val="auto"/>
              </w:rPr>
            </w:pPr>
          </w:p>
        </w:tc>
        <w:tc>
          <w:tcPr>
            <w:tcW w:w="140" w:type="dxa"/>
            <w:vAlign w:val="bottom"/>
            <w:tcBorders>
              <w:bottom w:val="single" w:sz="8" w:color="B6B6B6"/>
            </w:tcBorders>
            <w:shd w:val="clear" w:color="auto" w:fill="CCEEFF"/>
          </w:tcPr>
          <w:p>
            <w:pPr>
              <w:spacing w:after="0"/>
              <w:rPr>
                <w:sz w:val="14"/>
                <w:szCs w:val="14"/>
                <w:color w:val="auto"/>
              </w:rPr>
            </w:pPr>
          </w:p>
        </w:tc>
        <w:tc>
          <w:tcPr>
            <w:tcW w:w="640" w:type="dxa"/>
            <w:vAlign w:val="bottom"/>
            <w:tcBorders>
              <w:bottom w:val="single" w:sz="8" w:color="B6B6B6"/>
            </w:tcBorders>
            <w:shd w:val="clear" w:color="auto" w:fill="CCEEFF"/>
          </w:tcPr>
          <w:p>
            <w:pPr>
              <w:spacing w:after="0"/>
              <w:rPr>
                <w:sz w:val="14"/>
                <w:szCs w:val="14"/>
                <w:color w:val="auto"/>
              </w:rPr>
            </w:pPr>
          </w:p>
        </w:tc>
        <w:tc>
          <w:tcPr>
            <w:tcW w:w="20" w:type="dxa"/>
            <w:vAlign w:val="bottom"/>
            <w:tcBorders>
              <w:bottom w:val="single" w:sz="8" w:color="B6B6B6"/>
            </w:tcBorders>
            <w:shd w:val="clear" w:color="auto" w:fill="CCEEFF"/>
          </w:tcPr>
          <w:p>
            <w:pPr>
              <w:spacing w:after="0"/>
              <w:rPr>
                <w:sz w:val="14"/>
                <w:szCs w:val="14"/>
                <w:color w:val="auto"/>
              </w:rPr>
            </w:pPr>
          </w:p>
        </w:tc>
        <w:tc>
          <w:tcPr>
            <w:tcW w:w="160" w:type="dxa"/>
            <w:vAlign w:val="bottom"/>
            <w:tcBorders>
              <w:bottom w:val="single" w:sz="8" w:color="B6B6B6"/>
            </w:tcBorders>
            <w:shd w:val="clear" w:color="auto" w:fill="CCEEFF"/>
          </w:tcPr>
          <w:p>
            <w:pPr>
              <w:spacing w:after="0"/>
              <w:rPr>
                <w:sz w:val="14"/>
                <w:szCs w:val="14"/>
                <w:color w:val="auto"/>
              </w:rPr>
            </w:pPr>
          </w:p>
        </w:tc>
        <w:tc>
          <w:tcPr>
            <w:tcW w:w="740" w:type="dxa"/>
            <w:vAlign w:val="bottom"/>
            <w:tcBorders>
              <w:bottom w:val="single" w:sz="8" w:color="B6B6B6"/>
            </w:tcBorders>
            <w:shd w:val="clear" w:color="auto" w:fill="CCEEFF"/>
          </w:tcPr>
          <w:p>
            <w:pPr>
              <w:spacing w:after="0"/>
              <w:rPr>
                <w:sz w:val="14"/>
                <w:szCs w:val="14"/>
                <w:color w:val="auto"/>
              </w:rPr>
            </w:pPr>
          </w:p>
        </w:tc>
        <w:tc>
          <w:tcPr>
            <w:tcW w:w="60" w:type="dxa"/>
            <w:vAlign w:val="bottom"/>
            <w:tcBorders>
              <w:bottom w:val="single" w:sz="8" w:color="B6B6B6"/>
            </w:tcBorders>
            <w:shd w:val="clear" w:color="auto" w:fill="CCEEFF"/>
          </w:tcPr>
          <w:p>
            <w:pPr>
              <w:spacing w:after="0"/>
              <w:rPr>
                <w:sz w:val="14"/>
                <w:szCs w:val="14"/>
                <w:color w:val="auto"/>
              </w:rPr>
            </w:pPr>
          </w:p>
        </w:tc>
        <w:tc>
          <w:tcPr>
            <w:tcW w:w="960" w:type="dxa"/>
            <w:vAlign w:val="bottom"/>
            <w:tcBorders>
              <w:bottom w:val="single" w:sz="8" w:color="B6B6B6"/>
            </w:tcBorders>
            <w:shd w:val="clear" w:color="auto" w:fill="CCEEFF"/>
          </w:tcPr>
          <w:p>
            <w:pPr>
              <w:spacing w:after="0"/>
              <w:rPr>
                <w:sz w:val="14"/>
                <w:szCs w:val="14"/>
                <w:color w:val="auto"/>
              </w:rPr>
            </w:pPr>
          </w:p>
        </w:tc>
        <w:tc>
          <w:tcPr>
            <w:tcW w:w="20" w:type="dxa"/>
            <w:vAlign w:val="bottom"/>
            <w:tcBorders>
              <w:bottom w:val="single" w:sz="8" w:color="B6B6B6"/>
            </w:tcBorders>
            <w:shd w:val="clear" w:color="auto" w:fill="B6B6B6"/>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4680" w:type="dxa"/>
            <w:vAlign w:val="bottom"/>
            <w:shd w:val="clear" w:color="auto" w:fill="CCEEFF"/>
          </w:tcPr>
          <w:p>
            <w:pPr>
              <w:ind w:left="120"/>
              <w:spacing w:after="0"/>
              <w:rPr>
                <w:sz w:val="20"/>
                <w:szCs w:val="20"/>
                <w:color w:val="auto"/>
              </w:rPr>
            </w:pPr>
            <w:r>
              <w:rPr>
                <w:rFonts w:ascii="Arial" w:cs="Arial" w:eastAsia="Arial" w:hAnsi="Arial"/>
                <w:sz w:val="11"/>
                <w:szCs w:val="11"/>
                <w:color w:val="auto"/>
              </w:rPr>
              <w:t>651 Gateway Boulevard/San Francisco Bay Area/South San Francisco</w:t>
            </w:r>
          </w:p>
        </w:tc>
        <w:tc>
          <w:tcPr>
            <w:tcW w:w="720" w:type="dxa"/>
            <w:vAlign w:val="bottom"/>
            <w:gridSpan w:val="2"/>
            <w:shd w:val="clear" w:color="auto" w:fill="CCEEFF"/>
          </w:tcPr>
          <w:p>
            <w:pPr>
              <w:jc w:val="right"/>
              <w:ind w:right="143"/>
              <w:spacing w:after="0"/>
              <w:rPr>
                <w:sz w:val="20"/>
                <w:szCs w:val="20"/>
                <w:color w:val="auto"/>
              </w:rPr>
            </w:pPr>
            <w:r>
              <w:rPr>
                <w:rFonts w:ascii="Arial" w:cs="Arial" w:eastAsia="Arial" w:hAnsi="Arial"/>
                <w:sz w:val="11"/>
                <w:szCs w:val="11"/>
                <w:color w:val="auto"/>
              </w:rPr>
              <w:t>50.0%</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59,265</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tcBorders>
              <w:right w:val="single" w:sz="8" w:color="CCEEFF"/>
            </w:tcBorders>
            <w:shd w:val="clear" w:color="auto" w:fill="CCEEFF"/>
          </w:tcPr>
          <w:p>
            <w:pPr>
              <w:jc w:val="right"/>
              <w:ind w:right="43"/>
              <w:spacing w:after="0"/>
              <w:rPr>
                <w:sz w:val="20"/>
                <w:szCs w:val="20"/>
                <w:color w:val="auto"/>
              </w:rPr>
            </w:pPr>
            <w:r>
              <w:rPr>
                <w:rFonts w:ascii="Arial" w:cs="Arial" w:eastAsia="Arial" w:hAnsi="Arial"/>
                <w:sz w:val="11"/>
                <w:szCs w:val="11"/>
                <w:color w:val="auto"/>
              </w:rPr>
              <w:t>275,841</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151,894</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ind w:left="200"/>
              <w:spacing w:after="0"/>
              <w:rPr>
                <w:sz w:val="20"/>
                <w:szCs w:val="20"/>
                <w:color w:val="auto"/>
              </w:rPr>
            </w:pPr>
            <w:r>
              <w:rPr>
                <w:rFonts w:ascii="Arial" w:cs="Arial" w:eastAsia="Arial" w:hAnsi="Arial"/>
                <w:sz w:val="11"/>
                <w:szCs w:val="11"/>
                <w:color w:val="auto"/>
              </w:rPr>
              <w:t>487,000</w:t>
            </w:r>
          </w:p>
        </w:tc>
        <w:tc>
          <w:tcPr>
            <w:tcW w:w="920" w:type="dxa"/>
            <w:vAlign w:val="bottom"/>
            <w:gridSpan w:val="3"/>
            <w:shd w:val="clear" w:color="auto" w:fill="CCEEFF"/>
          </w:tcPr>
          <w:p>
            <w:pPr>
              <w:jc w:val="center"/>
              <w:ind w:left="163"/>
              <w:spacing w:after="0"/>
              <w:rPr>
                <w:sz w:val="20"/>
                <w:szCs w:val="20"/>
                <w:color w:val="auto"/>
              </w:rPr>
            </w:pPr>
            <w:r>
              <w:rPr>
                <w:rFonts w:ascii="Arial" w:cs="Arial" w:eastAsia="Arial" w:hAnsi="Arial"/>
                <w:sz w:val="11"/>
                <w:szCs w:val="11"/>
                <w:color w:val="auto"/>
              </w:rPr>
              <w:t>5.0%</w:t>
            </w:r>
          </w:p>
        </w:tc>
        <w:tc>
          <w:tcPr>
            <w:tcW w:w="6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243"/>
              <w:spacing w:after="0"/>
              <w:rPr>
                <w:sz w:val="20"/>
                <w:szCs w:val="20"/>
                <w:color w:val="auto"/>
              </w:rPr>
            </w:pPr>
            <w:r>
              <w:rPr>
                <w:rFonts w:ascii="Arial" w:cs="Arial" w:eastAsia="Arial" w:hAnsi="Arial"/>
                <w:sz w:val="11"/>
                <w:szCs w:val="11"/>
                <w:color w:val="auto"/>
              </w:rPr>
              <w:t>5.1%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680" w:type="dxa"/>
            <w:vAlign w:val="bottom"/>
            <w:tcBorders>
              <w:bottom w:val="single" w:sz="8" w:color="CCEEFF"/>
            </w:tcBorders>
          </w:tcPr>
          <w:p>
            <w:pPr>
              <w:ind w:left="120"/>
              <w:spacing w:after="0"/>
              <w:rPr>
                <w:sz w:val="20"/>
                <w:szCs w:val="20"/>
                <w:color w:val="auto"/>
              </w:rPr>
            </w:pPr>
            <w:r>
              <w:rPr>
                <w:rFonts w:ascii="Arial" w:cs="Arial" w:eastAsia="Arial" w:hAnsi="Arial"/>
                <w:sz w:val="11"/>
                <w:szCs w:val="11"/>
                <w:color w:val="auto"/>
              </w:rPr>
              <w:t>10935, 10945, and 10955 Alexandria Way/San Diego/Torrey Pines</w:t>
            </w:r>
          </w:p>
        </w:tc>
        <w:tc>
          <w:tcPr>
            <w:tcW w:w="720" w:type="dxa"/>
            <w:vAlign w:val="bottom"/>
            <w:tcBorders>
              <w:bottom w:val="single" w:sz="8" w:color="CCEEFF"/>
            </w:tcBorders>
            <w:gridSpan w:val="2"/>
          </w:tcPr>
          <w:p>
            <w:pPr>
              <w:jc w:val="right"/>
              <w:ind w:right="143"/>
              <w:spacing w:after="0"/>
              <w:rPr>
                <w:sz w:val="20"/>
                <w:szCs w:val="20"/>
                <w:color w:val="auto"/>
              </w:rPr>
            </w:pPr>
            <w:r>
              <w:rPr>
                <w:rFonts w:ascii="Arial" w:cs="Arial" w:eastAsia="Arial" w:hAnsi="Arial"/>
                <w:sz w:val="11"/>
                <w:szCs w:val="11"/>
                <w:color w:val="auto"/>
              </w:rPr>
              <w:t>100%</w:t>
            </w:r>
          </w:p>
        </w:tc>
        <w:tc>
          <w:tcPr>
            <w:tcW w:w="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jc w:val="right"/>
              <w:ind w:right="43"/>
              <w:spacing w:after="0"/>
              <w:rPr>
                <w:sz w:val="20"/>
                <w:szCs w:val="20"/>
                <w:color w:val="auto"/>
              </w:rPr>
            </w:pPr>
            <w:r>
              <w:rPr>
                <w:rFonts w:ascii="Arial" w:cs="Arial" w:eastAsia="Arial" w:hAnsi="Arial"/>
                <w:sz w:val="11"/>
                <w:szCs w:val="11"/>
                <w:color w:val="auto"/>
              </w:rPr>
              <w:t>283,079</w:t>
            </w:r>
          </w:p>
        </w:tc>
        <w:tc>
          <w:tcPr>
            <w:tcW w:w="100" w:type="dxa"/>
            <w:vAlign w:val="bottom"/>
            <w:tcBorders>
              <w:bottom w:val="single" w:sz="8" w:color="B1B2B2"/>
            </w:tcBorders>
          </w:tcPr>
          <w:p>
            <w:pPr>
              <w:spacing w:after="0"/>
              <w:rPr>
                <w:sz w:val="14"/>
                <w:szCs w:val="14"/>
                <w:color w:val="auto"/>
              </w:rPr>
            </w:pPr>
          </w:p>
        </w:tc>
        <w:tc>
          <w:tcPr>
            <w:tcW w:w="660" w:type="dxa"/>
            <w:vAlign w:val="bottom"/>
            <w:tcBorders>
              <w:bottom w:val="single" w:sz="8" w:color="B1B2B2"/>
            </w:tcBorders>
          </w:tcPr>
          <w:p>
            <w:pPr>
              <w:jc w:val="right"/>
              <w:spacing w:after="0"/>
              <w:rPr>
                <w:sz w:val="20"/>
                <w:szCs w:val="20"/>
                <w:color w:val="auto"/>
              </w:rPr>
            </w:pPr>
            <w:r>
              <w:rPr>
                <w:rFonts w:ascii="Arial" w:cs="Arial" w:eastAsia="Arial" w:hAnsi="Arial"/>
                <w:sz w:val="11"/>
                <w:szCs w:val="11"/>
                <w:color w:val="auto"/>
              </w:rPr>
              <w:t>219,921</w:t>
            </w:r>
          </w:p>
        </w:tc>
        <w:tc>
          <w:tcPr>
            <w:tcW w:w="180" w:type="dxa"/>
            <w:vAlign w:val="bottom"/>
            <w:tcBorders>
              <w:bottom w:val="single" w:sz="8" w:color="B1B2B2"/>
            </w:tcBorders>
          </w:tcPr>
          <w:p>
            <w:pPr>
              <w:spacing w:after="0"/>
              <w:rPr>
                <w:sz w:val="14"/>
                <w:szCs w:val="14"/>
                <w:color w:val="auto"/>
              </w:rPr>
            </w:pPr>
          </w:p>
        </w:tc>
        <w:tc>
          <w:tcPr>
            <w:tcW w:w="140" w:type="dxa"/>
            <w:vAlign w:val="bottom"/>
            <w:tcBorders>
              <w:bottom w:val="single" w:sz="8" w:color="B1B2B2"/>
            </w:tcBorders>
          </w:tcPr>
          <w:p>
            <w:pPr>
              <w:spacing w:after="0"/>
              <w:rPr>
                <w:sz w:val="14"/>
                <w:szCs w:val="14"/>
                <w:color w:val="auto"/>
              </w:rPr>
            </w:pPr>
          </w:p>
        </w:tc>
        <w:tc>
          <w:tcPr>
            <w:tcW w:w="640" w:type="dxa"/>
            <w:vAlign w:val="bottom"/>
            <w:tcBorders>
              <w:bottom w:val="single" w:sz="8" w:color="B1B2B2"/>
            </w:tcBorders>
          </w:tcPr>
          <w:p>
            <w:pPr>
              <w:ind w:left="200"/>
              <w:spacing w:after="0"/>
              <w:rPr>
                <w:sz w:val="20"/>
                <w:szCs w:val="20"/>
                <w:color w:val="auto"/>
              </w:rPr>
            </w:pPr>
            <w:r>
              <w:rPr>
                <w:rFonts w:ascii="Arial" w:cs="Arial" w:eastAsia="Arial" w:hAnsi="Arial"/>
                <w:sz w:val="11"/>
                <w:szCs w:val="11"/>
                <w:color w:val="auto"/>
              </w:rPr>
              <w:t>503,000</w:t>
            </w:r>
          </w:p>
        </w:tc>
        <w:tc>
          <w:tcPr>
            <w:tcW w:w="920" w:type="dxa"/>
            <w:vAlign w:val="bottom"/>
            <w:tcBorders>
              <w:bottom w:val="single" w:sz="8" w:color="B1B2B2"/>
            </w:tcBorders>
            <w:gridSpan w:val="3"/>
          </w:tcPr>
          <w:p>
            <w:pPr>
              <w:jc w:val="center"/>
              <w:ind w:left="163"/>
              <w:spacing w:after="0"/>
              <w:rPr>
                <w:sz w:val="20"/>
                <w:szCs w:val="20"/>
                <w:color w:val="auto"/>
              </w:rPr>
            </w:pPr>
            <w:r>
              <w:rPr>
                <w:rFonts w:ascii="Arial" w:cs="Arial" w:eastAsia="Arial" w:hAnsi="Arial"/>
                <w:sz w:val="11"/>
                <w:szCs w:val="11"/>
                <w:color w:val="auto"/>
              </w:rPr>
              <w:t>6.2%</w:t>
            </w:r>
          </w:p>
        </w:tc>
        <w:tc>
          <w:tcPr>
            <w:tcW w:w="60" w:type="dxa"/>
            <w:vAlign w:val="bottom"/>
            <w:tcBorders>
              <w:bottom w:val="single" w:sz="8" w:color="B1B2B2"/>
            </w:tcBorders>
          </w:tcPr>
          <w:p>
            <w:pPr>
              <w:spacing w:after="0"/>
              <w:rPr>
                <w:sz w:val="14"/>
                <w:szCs w:val="14"/>
                <w:color w:val="auto"/>
              </w:rPr>
            </w:pPr>
          </w:p>
        </w:tc>
        <w:tc>
          <w:tcPr>
            <w:tcW w:w="960" w:type="dxa"/>
            <w:vAlign w:val="bottom"/>
            <w:tcBorders>
              <w:bottom w:val="single" w:sz="8" w:color="B1B2B2"/>
            </w:tcBorders>
          </w:tcPr>
          <w:p>
            <w:pPr>
              <w:jc w:val="right"/>
              <w:ind w:right="243"/>
              <w:spacing w:after="0"/>
              <w:rPr>
                <w:sz w:val="20"/>
                <w:szCs w:val="20"/>
                <w:color w:val="auto"/>
              </w:rPr>
            </w:pPr>
            <w:r>
              <w:rPr>
                <w:rFonts w:ascii="Arial" w:cs="Arial" w:eastAsia="Arial" w:hAnsi="Arial"/>
                <w:sz w:val="11"/>
                <w:szCs w:val="11"/>
                <w:color w:val="auto"/>
              </w:rPr>
              <w:t>5.8%</w:t>
            </w:r>
          </w:p>
        </w:tc>
        <w:tc>
          <w:tcPr>
            <w:tcW w:w="20" w:type="dxa"/>
            <w:vAlign w:val="bottom"/>
            <w:tcBorders>
              <w:bottom w:val="single" w:sz="8" w:color="B1B2B2"/>
            </w:tcBorders>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4680" w:type="dxa"/>
            <w:vAlign w:val="bottom"/>
            <w:shd w:val="clear" w:color="auto" w:fill="CCEEFF"/>
          </w:tcPr>
          <w:p>
            <w:pPr>
              <w:ind w:left="120"/>
              <w:spacing w:after="0"/>
              <w:rPr>
                <w:sz w:val="20"/>
                <w:szCs w:val="20"/>
                <w:color w:val="auto"/>
              </w:rPr>
            </w:pPr>
            <w:r>
              <w:rPr>
                <w:rFonts w:ascii="Arial" w:cs="Arial" w:eastAsia="Arial" w:hAnsi="Arial"/>
                <w:sz w:val="11"/>
                <w:szCs w:val="11"/>
                <w:color w:val="auto"/>
              </w:rPr>
              <w:t>4135 Campus Point Court/San Diego/University Town Center</w:t>
            </w:r>
          </w:p>
        </w:tc>
        <w:tc>
          <w:tcPr>
            <w:tcW w:w="720" w:type="dxa"/>
            <w:vAlign w:val="bottom"/>
            <w:gridSpan w:val="2"/>
            <w:shd w:val="clear" w:color="auto" w:fill="CCEEFF"/>
          </w:tcPr>
          <w:p>
            <w:pPr>
              <w:jc w:val="right"/>
              <w:ind w:right="143"/>
              <w:spacing w:after="0"/>
              <w:rPr>
                <w:sz w:val="20"/>
                <w:szCs w:val="20"/>
                <w:color w:val="auto"/>
              </w:rPr>
            </w:pPr>
            <w:r>
              <w:rPr>
                <w:rFonts w:ascii="Arial" w:cs="Arial" w:eastAsia="Arial" w:hAnsi="Arial"/>
                <w:sz w:val="11"/>
                <w:szCs w:val="11"/>
                <w:color w:val="auto"/>
              </w:rPr>
              <w:t>55.0%</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2"/>
                <w:szCs w:val="12"/>
                <w:color w:val="auto"/>
              </w:rPr>
            </w:pPr>
          </w:p>
        </w:tc>
        <w:tc>
          <w:tcPr>
            <w:tcW w:w="680" w:type="dxa"/>
            <w:vAlign w:val="bottom"/>
            <w:tcBorders>
              <w:right w:val="single" w:sz="8" w:color="B1B2B2"/>
            </w:tcBorders>
            <w:shd w:val="clear" w:color="auto" w:fill="CCEEFF"/>
          </w:tcPr>
          <w:p>
            <w:pPr>
              <w:jc w:val="right"/>
              <w:ind w:right="43"/>
              <w:spacing w:after="0"/>
              <w:rPr>
                <w:sz w:val="20"/>
                <w:szCs w:val="20"/>
                <w:color w:val="auto"/>
              </w:rPr>
            </w:pPr>
            <w:r>
              <w:rPr>
                <w:rFonts w:ascii="Arial" w:cs="Arial" w:eastAsia="Arial" w:hAnsi="Arial"/>
                <w:sz w:val="11"/>
                <w:szCs w:val="11"/>
                <w:color w:val="auto"/>
              </w:rPr>
              <w:t>236,595</w:t>
            </w:r>
          </w:p>
        </w:tc>
        <w:tc>
          <w:tcPr>
            <w:tcW w:w="100" w:type="dxa"/>
            <w:vAlign w:val="bottom"/>
            <w:tcBorders>
              <w:bottom w:val="single" w:sz="8" w:color="B1B2B2"/>
            </w:tcBorders>
            <w:shd w:val="clear" w:color="auto" w:fill="CCEEFF"/>
          </w:tcPr>
          <w:p>
            <w:pPr>
              <w:spacing w:after="0"/>
              <w:rPr>
                <w:sz w:val="12"/>
                <w:szCs w:val="12"/>
                <w:color w:val="auto"/>
              </w:rPr>
            </w:pPr>
          </w:p>
        </w:tc>
        <w:tc>
          <w:tcPr>
            <w:tcW w:w="660" w:type="dxa"/>
            <w:vAlign w:val="bottom"/>
            <w:tcBorders>
              <w:bottom w:val="single" w:sz="8" w:color="B1B2B2"/>
            </w:tcBorders>
            <w:shd w:val="clear" w:color="auto" w:fill="CCEEFF"/>
          </w:tcPr>
          <w:p>
            <w:pPr>
              <w:spacing w:after="0"/>
              <w:rPr>
                <w:sz w:val="12"/>
                <w:szCs w:val="12"/>
                <w:color w:val="auto"/>
              </w:rPr>
            </w:pPr>
          </w:p>
        </w:tc>
        <w:tc>
          <w:tcPr>
            <w:tcW w:w="180" w:type="dxa"/>
            <w:vAlign w:val="bottom"/>
            <w:tcBorders>
              <w:bottom w:val="single" w:sz="8" w:color="B1B2B2"/>
            </w:tcBorders>
            <w:shd w:val="clear" w:color="auto" w:fill="CCEEFF"/>
          </w:tcPr>
          <w:p>
            <w:pPr>
              <w:spacing w:after="0"/>
              <w:rPr>
                <w:sz w:val="12"/>
                <w:szCs w:val="12"/>
                <w:color w:val="auto"/>
              </w:rPr>
            </w:pPr>
          </w:p>
        </w:tc>
        <w:tc>
          <w:tcPr>
            <w:tcW w:w="140" w:type="dxa"/>
            <w:vAlign w:val="bottom"/>
            <w:tcBorders>
              <w:bottom w:val="single" w:sz="8" w:color="B1B2B2"/>
            </w:tcBorders>
            <w:shd w:val="clear" w:color="auto" w:fill="CCEEFF"/>
          </w:tcPr>
          <w:p>
            <w:pPr>
              <w:spacing w:after="0"/>
              <w:rPr>
                <w:sz w:val="12"/>
                <w:szCs w:val="12"/>
                <w:color w:val="auto"/>
              </w:rPr>
            </w:pPr>
          </w:p>
        </w:tc>
        <w:tc>
          <w:tcPr>
            <w:tcW w:w="640" w:type="dxa"/>
            <w:vAlign w:val="bottom"/>
            <w:tcBorders>
              <w:bottom w:val="single" w:sz="8" w:color="B1B2B2"/>
            </w:tcBorders>
            <w:shd w:val="clear" w:color="auto" w:fill="CCEEFF"/>
          </w:tcPr>
          <w:p>
            <w:pPr>
              <w:spacing w:after="0"/>
              <w:rPr>
                <w:sz w:val="12"/>
                <w:szCs w:val="12"/>
                <w:color w:val="auto"/>
              </w:rPr>
            </w:pPr>
          </w:p>
        </w:tc>
        <w:tc>
          <w:tcPr>
            <w:tcW w:w="980" w:type="dxa"/>
            <w:vAlign w:val="bottom"/>
            <w:tcBorders>
              <w:bottom w:val="single" w:sz="8" w:color="B1B2B2"/>
            </w:tcBorders>
            <w:gridSpan w:val="4"/>
            <w:shd w:val="clear" w:color="auto" w:fill="CCEEFF"/>
          </w:tcPr>
          <w:p>
            <w:pPr>
              <w:ind w:left="20"/>
              <w:spacing w:after="0"/>
              <w:rPr>
                <w:sz w:val="20"/>
                <w:szCs w:val="20"/>
                <w:color w:val="auto"/>
              </w:rPr>
            </w:pPr>
            <w:r>
              <w:rPr>
                <w:rFonts w:ascii="Arial" w:cs="Arial" w:eastAsia="Arial" w:hAnsi="Arial"/>
                <w:sz w:val="11"/>
                <w:szCs w:val="11"/>
                <w:color w:val="auto"/>
              </w:rPr>
              <w:t>TBD</w:t>
            </w:r>
          </w:p>
        </w:tc>
        <w:tc>
          <w:tcPr>
            <w:tcW w:w="960" w:type="dxa"/>
            <w:vAlign w:val="bottom"/>
            <w:tcBorders>
              <w:bottom w:val="single" w:sz="8" w:color="B1B2B2"/>
            </w:tcBorders>
            <w:shd w:val="clear" w:color="auto" w:fill="CCEEFF"/>
          </w:tcPr>
          <w:p>
            <w:pPr>
              <w:spacing w:after="0"/>
              <w:rPr>
                <w:sz w:val="12"/>
                <w:szCs w:val="12"/>
                <w:color w:val="auto"/>
              </w:rPr>
            </w:pPr>
          </w:p>
        </w:tc>
        <w:tc>
          <w:tcPr>
            <w:tcW w:w="20" w:type="dxa"/>
            <w:vAlign w:val="bottom"/>
            <w:tcBorders>
              <w:bottom w:val="single" w:sz="8" w:color="B1B2B2"/>
            </w:tcBorders>
            <w:shd w:val="clear" w:color="auto" w:fill="B1B2B2"/>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680" w:type="dxa"/>
            <w:vAlign w:val="bottom"/>
          </w:tcPr>
          <w:p>
            <w:pPr>
              <w:ind w:left="120"/>
              <w:spacing w:after="0"/>
              <w:rPr>
                <w:sz w:val="20"/>
                <w:szCs w:val="20"/>
                <w:color w:val="auto"/>
              </w:rPr>
            </w:pPr>
            <w:r>
              <w:rPr>
                <w:rFonts w:ascii="Arial" w:cs="Arial" w:eastAsia="Arial" w:hAnsi="Arial"/>
                <w:sz w:val="11"/>
                <w:szCs w:val="11"/>
                <w:color w:val="auto"/>
              </w:rPr>
              <w:t>10075 Barnes Canyon Road/San Diego/Sorrento Mesa</w:t>
            </w:r>
          </w:p>
        </w:tc>
        <w:tc>
          <w:tcPr>
            <w:tcW w:w="720" w:type="dxa"/>
            <w:vAlign w:val="bottom"/>
            <w:gridSpan w:val="2"/>
          </w:tcPr>
          <w:p>
            <w:pPr>
              <w:jc w:val="right"/>
              <w:ind w:right="143"/>
              <w:spacing w:after="0"/>
              <w:rPr>
                <w:sz w:val="20"/>
                <w:szCs w:val="20"/>
                <w:color w:val="auto"/>
              </w:rPr>
            </w:pPr>
            <w:r>
              <w:rPr>
                <w:rFonts w:ascii="Arial" w:cs="Arial" w:eastAsia="Arial" w:hAnsi="Arial"/>
                <w:sz w:val="11"/>
                <w:szCs w:val="11"/>
                <w:color w:val="auto"/>
              </w:rPr>
              <w:t>50.0%</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680" w:type="dxa"/>
            <w:vAlign w:val="bottom"/>
          </w:tcPr>
          <w:p>
            <w:pPr>
              <w:jc w:val="right"/>
              <w:ind w:right="43"/>
              <w:spacing w:after="0"/>
              <w:rPr>
                <w:sz w:val="20"/>
                <w:szCs w:val="20"/>
                <w:color w:val="auto"/>
              </w:rPr>
            </w:pPr>
            <w:r>
              <w:rPr>
                <w:rFonts w:ascii="Arial" w:cs="Arial" w:eastAsia="Arial" w:hAnsi="Arial"/>
                <w:sz w:val="11"/>
                <w:szCs w:val="11"/>
                <w:color w:val="auto"/>
              </w:rPr>
              <w:t>157,687</w:t>
            </w: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163,313</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ind w:left="200"/>
              <w:spacing w:after="0"/>
              <w:rPr>
                <w:sz w:val="20"/>
                <w:szCs w:val="20"/>
                <w:color w:val="auto"/>
              </w:rPr>
            </w:pPr>
            <w:r>
              <w:rPr>
                <w:rFonts w:ascii="Arial" w:cs="Arial" w:eastAsia="Arial" w:hAnsi="Arial"/>
                <w:sz w:val="11"/>
                <w:szCs w:val="11"/>
                <w:color w:val="auto"/>
              </w:rPr>
              <w:t>321,000</w:t>
            </w:r>
          </w:p>
        </w:tc>
        <w:tc>
          <w:tcPr>
            <w:tcW w:w="920" w:type="dxa"/>
            <w:vAlign w:val="bottom"/>
            <w:gridSpan w:val="3"/>
          </w:tcPr>
          <w:p>
            <w:pPr>
              <w:jc w:val="center"/>
              <w:ind w:left="163"/>
              <w:spacing w:after="0"/>
              <w:rPr>
                <w:sz w:val="20"/>
                <w:szCs w:val="20"/>
                <w:color w:val="auto"/>
              </w:rPr>
            </w:pPr>
            <w:r>
              <w:rPr>
                <w:rFonts w:ascii="Arial" w:cs="Arial" w:eastAsia="Arial" w:hAnsi="Arial"/>
                <w:sz w:val="11"/>
                <w:szCs w:val="11"/>
                <w:color w:val="auto"/>
              </w:rPr>
              <w:t>5.5%</w:t>
            </w:r>
          </w:p>
        </w:tc>
        <w:tc>
          <w:tcPr>
            <w:tcW w:w="60" w:type="dxa"/>
            <w:vAlign w:val="bottom"/>
          </w:tcPr>
          <w:p>
            <w:pPr>
              <w:spacing w:after="0"/>
              <w:rPr>
                <w:sz w:val="12"/>
                <w:szCs w:val="12"/>
                <w:color w:val="auto"/>
              </w:rPr>
            </w:pPr>
          </w:p>
        </w:tc>
        <w:tc>
          <w:tcPr>
            <w:tcW w:w="960" w:type="dxa"/>
            <w:vAlign w:val="bottom"/>
          </w:tcPr>
          <w:p>
            <w:pPr>
              <w:jc w:val="right"/>
              <w:ind w:right="243"/>
              <w:spacing w:after="0"/>
              <w:rPr>
                <w:sz w:val="20"/>
                <w:szCs w:val="20"/>
                <w:color w:val="auto"/>
              </w:rPr>
            </w:pPr>
            <w:r>
              <w:rPr>
                <w:rFonts w:ascii="Arial" w:cs="Arial" w:eastAsia="Arial" w:hAnsi="Arial"/>
                <w:sz w:val="11"/>
                <w:szCs w:val="11"/>
                <w:color w:val="auto"/>
              </w:rPr>
              <w:t>5.7%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6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119,820</w:t>
            </w:r>
          </w:p>
        </w:tc>
        <w:tc>
          <w:tcPr>
            <w:tcW w:w="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680" w:type="dxa"/>
            <w:vAlign w:val="bottom"/>
            <w:tcBorders>
              <w:top w:val="single" w:sz="8" w:color="auto"/>
              <w:bottom w:val="single" w:sz="8" w:color="auto"/>
              <w:right w:val="single" w:sz="8" w:color="CCEEFF"/>
            </w:tcBorders>
            <w:shd w:val="clear" w:color="auto" w:fill="CCEEFF"/>
          </w:tcPr>
          <w:p>
            <w:pPr>
              <w:jc w:val="right"/>
              <w:ind w:right="43"/>
              <w:spacing w:after="0"/>
              <w:rPr>
                <w:sz w:val="20"/>
                <w:szCs w:val="20"/>
                <w:color w:val="auto"/>
              </w:rPr>
            </w:pPr>
            <w:r>
              <w:rPr>
                <w:rFonts w:ascii="Arial" w:cs="Arial" w:eastAsia="Arial" w:hAnsi="Arial"/>
                <w:sz w:val="11"/>
                <w:szCs w:val="11"/>
                <w:color w:val="auto"/>
              </w:rPr>
              <w:t>2,528,061</w:t>
            </w:r>
          </w:p>
        </w:tc>
        <w:tc>
          <w:tcPr>
            <w:tcW w:w="10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960" w:type="dxa"/>
            <w:vAlign w:val="bottom"/>
            <w:tcBorders>
              <w:top w:val="single" w:sz="8" w:color="CCEEFF"/>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1,950,481</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ind w:right="43"/>
              <w:spacing w:after="0"/>
              <w:rPr>
                <w:sz w:val="20"/>
                <w:szCs w:val="20"/>
                <w:color w:val="auto"/>
              </w:rPr>
            </w:pPr>
            <w:r>
              <w:rPr>
                <w:rFonts w:ascii="Arial" w:cs="Arial" w:eastAsia="Arial" w:hAnsi="Arial"/>
                <w:sz w:val="11"/>
                <w:szCs w:val="11"/>
                <w:color w:val="auto"/>
              </w:rPr>
              <w:t>3,888,714</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5460" w:type="dxa"/>
            <w:vAlign w:val="bottom"/>
            <w:gridSpan w:val="4"/>
            <w:shd w:val="clear" w:color="auto" w:fill="CCEEFF"/>
          </w:tcPr>
          <w:p>
            <w:pPr>
              <w:ind w:left="40"/>
              <w:spacing w:after="0"/>
              <w:rPr>
                <w:sz w:val="20"/>
                <w:szCs w:val="20"/>
                <w:color w:val="auto"/>
              </w:rPr>
            </w:pPr>
            <w:r>
              <w:rPr>
                <w:rFonts w:ascii="Arial" w:cs="Arial" w:eastAsia="Arial" w:hAnsi="Arial"/>
                <w:sz w:val="11"/>
                <w:szCs w:val="11"/>
                <w:b w:val="1"/>
                <w:bCs w:val="1"/>
                <w:color w:val="auto"/>
              </w:rPr>
              <w:t>Committed near-term project expected to commence construction in the next two years</w:t>
            </w: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tcBorders>
              <w:right w:val="single" w:sz="8" w:color="CCEEFF"/>
            </w:tcBorders>
            <w:shd w:val="clear" w:color="auto" w:fill="CCEEFF"/>
          </w:tcPr>
          <w:p>
            <w:pPr>
              <w:spacing w:after="0"/>
              <w:rPr>
                <w:sz w:val="14"/>
                <w:szCs w:val="14"/>
                <w:color w:val="auto"/>
              </w:rPr>
            </w:pPr>
          </w:p>
        </w:tc>
        <w:tc>
          <w:tcPr>
            <w:tcW w:w="100" w:type="dxa"/>
            <w:vAlign w:val="bottom"/>
            <w:tcBorders>
              <w:bottom w:val="single" w:sz="8" w:color="B6B6B6"/>
            </w:tcBorders>
            <w:shd w:val="clear" w:color="auto" w:fill="CCEEFF"/>
          </w:tcPr>
          <w:p>
            <w:pPr>
              <w:spacing w:after="0"/>
              <w:rPr>
                <w:sz w:val="14"/>
                <w:szCs w:val="14"/>
                <w:color w:val="auto"/>
              </w:rPr>
            </w:pPr>
          </w:p>
        </w:tc>
        <w:tc>
          <w:tcPr>
            <w:tcW w:w="660" w:type="dxa"/>
            <w:vAlign w:val="bottom"/>
            <w:tcBorders>
              <w:bottom w:val="single" w:sz="8" w:color="B6B6B6"/>
            </w:tcBorders>
            <w:shd w:val="clear" w:color="auto" w:fill="CCEEFF"/>
          </w:tcPr>
          <w:p>
            <w:pPr>
              <w:spacing w:after="0"/>
              <w:rPr>
                <w:sz w:val="14"/>
                <w:szCs w:val="14"/>
                <w:color w:val="auto"/>
              </w:rPr>
            </w:pPr>
          </w:p>
        </w:tc>
        <w:tc>
          <w:tcPr>
            <w:tcW w:w="180" w:type="dxa"/>
            <w:vAlign w:val="bottom"/>
            <w:tcBorders>
              <w:bottom w:val="single" w:sz="8" w:color="B6B6B6"/>
            </w:tcBorders>
            <w:shd w:val="clear" w:color="auto" w:fill="CCEEFF"/>
          </w:tcPr>
          <w:p>
            <w:pPr>
              <w:spacing w:after="0"/>
              <w:rPr>
                <w:sz w:val="14"/>
                <w:szCs w:val="14"/>
                <w:color w:val="auto"/>
              </w:rPr>
            </w:pPr>
          </w:p>
        </w:tc>
        <w:tc>
          <w:tcPr>
            <w:tcW w:w="140" w:type="dxa"/>
            <w:vAlign w:val="bottom"/>
            <w:tcBorders>
              <w:bottom w:val="single" w:sz="8" w:color="B6B6B6"/>
            </w:tcBorders>
            <w:shd w:val="clear" w:color="auto" w:fill="CCEEFF"/>
          </w:tcPr>
          <w:p>
            <w:pPr>
              <w:spacing w:after="0"/>
              <w:rPr>
                <w:sz w:val="14"/>
                <w:szCs w:val="14"/>
                <w:color w:val="auto"/>
              </w:rPr>
            </w:pPr>
          </w:p>
        </w:tc>
        <w:tc>
          <w:tcPr>
            <w:tcW w:w="640" w:type="dxa"/>
            <w:vAlign w:val="bottom"/>
            <w:tcBorders>
              <w:bottom w:val="single" w:sz="8" w:color="B6B6B6"/>
            </w:tcBorders>
            <w:shd w:val="clear" w:color="auto" w:fill="CCEEFF"/>
          </w:tcPr>
          <w:p>
            <w:pPr>
              <w:spacing w:after="0"/>
              <w:rPr>
                <w:sz w:val="14"/>
                <w:szCs w:val="14"/>
                <w:color w:val="auto"/>
              </w:rPr>
            </w:pPr>
          </w:p>
        </w:tc>
        <w:tc>
          <w:tcPr>
            <w:tcW w:w="20" w:type="dxa"/>
            <w:vAlign w:val="bottom"/>
            <w:tcBorders>
              <w:bottom w:val="single" w:sz="8" w:color="B6B6B6"/>
            </w:tcBorders>
            <w:shd w:val="clear" w:color="auto" w:fill="CCEEFF"/>
          </w:tcPr>
          <w:p>
            <w:pPr>
              <w:spacing w:after="0"/>
              <w:rPr>
                <w:sz w:val="14"/>
                <w:szCs w:val="14"/>
                <w:color w:val="auto"/>
              </w:rPr>
            </w:pPr>
          </w:p>
        </w:tc>
        <w:tc>
          <w:tcPr>
            <w:tcW w:w="160" w:type="dxa"/>
            <w:vAlign w:val="bottom"/>
            <w:tcBorders>
              <w:bottom w:val="single" w:sz="8" w:color="B6B6B6"/>
            </w:tcBorders>
            <w:shd w:val="clear" w:color="auto" w:fill="CCEEFF"/>
          </w:tcPr>
          <w:p>
            <w:pPr>
              <w:spacing w:after="0"/>
              <w:rPr>
                <w:sz w:val="14"/>
                <w:szCs w:val="14"/>
                <w:color w:val="auto"/>
              </w:rPr>
            </w:pPr>
          </w:p>
        </w:tc>
        <w:tc>
          <w:tcPr>
            <w:tcW w:w="740" w:type="dxa"/>
            <w:vAlign w:val="bottom"/>
            <w:tcBorders>
              <w:bottom w:val="single" w:sz="8" w:color="B6B6B6"/>
            </w:tcBorders>
            <w:shd w:val="clear" w:color="auto" w:fill="CCEEFF"/>
          </w:tcPr>
          <w:p>
            <w:pPr>
              <w:spacing w:after="0"/>
              <w:rPr>
                <w:sz w:val="14"/>
                <w:szCs w:val="14"/>
                <w:color w:val="auto"/>
              </w:rPr>
            </w:pPr>
          </w:p>
        </w:tc>
        <w:tc>
          <w:tcPr>
            <w:tcW w:w="60" w:type="dxa"/>
            <w:vAlign w:val="bottom"/>
            <w:tcBorders>
              <w:bottom w:val="single" w:sz="8" w:color="B6B6B6"/>
            </w:tcBorders>
            <w:shd w:val="clear" w:color="auto" w:fill="CCEEFF"/>
          </w:tcPr>
          <w:p>
            <w:pPr>
              <w:spacing w:after="0"/>
              <w:rPr>
                <w:sz w:val="14"/>
                <w:szCs w:val="14"/>
                <w:color w:val="auto"/>
              </w:rPr>
            </w:pPr>
          </w:p>
        </w:tc>
        <w:tc>
          <w:tcPr>
            <w:tcW w:w="960" w:type="dxa"/>
            <w:vAlign w:val="bottom"/>
            <w:tcBorders>
              <w:bottom w:val="single" w:sz="8" w:color="B6B6B6"/>
            </w:tcBorders>
            <w:shd w:val="clear" w:color="auto" w:fill="CCEEFF"/>
          </w:tcPr>
          <w:p>
            <w:pPr>
              <w:spacing w:after="0"/>
              <w:rPr>
                <w:sz w:val="14"/>
                <w:szCs w:val="14"/>
                <w:color w:val="auto"/>
              </w:rPr>
            </w:pPr>
          </w:p>
        </w:tc>
        <w:tc>
          <w:tcPr>
            <w:tcW w:w="20" w:type="dxa"/>
            <w:vAlign w:val="bottom"/>
            <w:tcBorders>
              <w:bottom w:val="single" w:sz="8" w:color="B6B6B6"/>
            </w:tcBorders>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4680" w:type="dxa"/>
            <w:vAlign w:val="bottom"/>
          </w:tcPr>
          <w:p>
            <w:pPr>
              <w:ind w:left="120"/>
              <w:spacing w:after="0"/>
              <w:rPr>
                <w:sz w:val="20"/>
                <w:szCs w:val="20"/>
                <w:color w:val="auto"/>
              </w:rPr>
            </w:pPr>
            <w:r>
              <w:rPr>
                <w:rFonts w:ascii="Arial" w:cs="Arial" w:eastAsia="Arial" w:hAnsi="Arial"/>
                <w:sz w:val="11"/>
                <w:szCs w:val="11"/>
                <w:color w:val="auto"/>
              </w:rPr>
              <w:t>4165 Campus Point Court/San Diego/University Town Center</w:t>
            </w:r>
          </w:p>
        </w:tc>
        <w:tc>
          <w:tcPr>
            <w:tcW w:w="720" w:type="dxa"/>
            <w:vAlign w:val="bottom"/>
            <w:gridSpan w:val="2"/>
          </w:tcPr>
          <w:p>
            <w:pPr>
              <w:jc w:val="right"/>
              <w:ind w:right="143"/>
              <w:spacing w:after="0"/>
              <w:rPr>
                <w:sz w:val="20"/>
                <w:szCs w:val="20"/>
                <w:color w:val="auto"/>
              </w:rPr>
            </w:pPr>
            <w:r>
              <w:rPr>
                <w:rFonts w:ascii="Arial" w:cs="Arial" w:eastAsia="Arial" w:hAnsi="Arial"/>
                <w:sz w:val="11"/>
                <w:szCs w:val="11"/>
                <w:color w:val="auto"/>
              </w:rPr>
              <w:t>55.0%</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680" w:type="dxa"/>
            <w:vAlign w:val="bottom"/>
            <w:tcBorders>
              <w:right w:val="single" w:sz="8" w:color="B6B6B6"/>
            </w:tcBorders>
          </w:tcPr>
          <w:p>
            <w:pPr>
              <w:jc w:val="right"/>
              <w:ind w:right="43"/>
              <w:spacing w:after="0"/>
              <w:rPr>
                <w:sz w:val="20"/>
                <w:szCs w:val="20"/>
                <w:color w:val="auto"/>
              </w:rPr>
            </w:pPr>
            <w:r>
              <w:rPr>
                <w:rFonts w:ascii="Arial" w:cs="Arial" w:eastAsia="Arial" w:hAnsi="Arial"/>
                <w:sz w:val="11"/>
                <w:szCs w:val="11"/>
                <w:color w:val="auto"/>
              </w:rPr>
              <w:t>58,751</w:t>
            </w:r>
          </w:p>
        </w:tc>
        <w:tc>
          <w:tcPr>
            <w:tcW w:w="100" w:type="dxa"/>
            <w:vAlign w:val="bottom"/>
            <w:tcBorders>
              <w:bottom w:val="single" w:sz="8" w:color="B6B6B6"/>
            </w:tcBorders>
          </w:tcPr>
          <w:p>
            <w:pPr>
              <w:spacing w:after="0"/>
              <w:rPr>
                <w:sz w:val="12"/>
                <w:szCs w:val="12"/>
                <w:color w:val="auto"/>
              </w:rPr>
            </w:pPr>
          </w:p>
        </w:tc>
        <w:tc>
          <w:tcPr>
            <w:tcW w:w="660" w:type="dxa"/>
            <w:vAlign w:val="bottom"/>
            <w:tcBorders>
              <w:bottom w:val="single" w:sz="8" w:color="B6B6B6"/>
            </w:tcBorders>
          </w:tcPr>
          <w:p>
            <w:pPr>
              <w:spacing w:after="0"/>
              <w:rPr>
                <w:sz w:val="12"/>
                <w:szCs w:val="12"/>
                <w:color w:val="auto"/>
              </w:rPr>
            </w:pPr>
          </w:p>
        </w:tc>
        <w:tc>
          <w:tcPr>
            <w:tcW w:w="180" w:type="dxa"/>
            <w:vAlign w:val="bottom"/>
            <w:tcBorders>
              <w:bottom w:val="single" w:sz="8" w:color="B6B6B6"/>
            </w:tcBorders>
          </w:tcPr>
          <w:p>
            <w:pPr>
              <w:spacing w:after="0"/>
              <w:rPr>
                <w:sz w:val="12"/>
                <w:szCs w:val="12"/>
                <w:color w:val="auto"/>
              </w:rPr>
            </w:pPr>
          </w:p>
        </w:tc>
        <w:tc>
          <w:tcPr>
            <w:tcW w:w="140" w:type="dxa"/>
            <w:vAlign w:val="bottom"/>
            <w:tcBorders>
              <w:bottom w:val="single" w:sz="8" w:color="B6B6B6"/>
            </w:tcBorders>
          </w:tcPr>
          <w:p>
            <w:pPr>
              <w:spacing w:after="0"/>
              <w:rPr>
                <w:sz w:val="12"/>
                <w:szCs w:val="12"/>
                <w:color w:val="auto"/>
              </w:rPr>
            </w:pPr>
          </w:p>
        </w:tc>
        <w:tc>
          <w:tcPr>
            <w:tcW w:w="640" w:type="dxa"/>
            <w:vAlign w:val="bottom"/>
            <w:tcBorders>
              <w:bottom w:val="single" w:sz="8" w:color="B6B6B6"/>
            </w:tcBorders>
          </w:tcPr>
          <w:p>
            <w:pPr>
              <w:spacing w:after="0"/>
              <w:rPr>
                <w:sz w:val="12"/>
                <w:szCs w:val="12"/>
                <w:color w:val="auto"/>
              </w:rPr>
            </w:pPr>
          </w:p>
        </w:tc>
        <w:tc>
          <w:tcPr>
            <w:tcW w:w="980" w:type="dxa"/>
            <w:vAlign w:val="bottom"/>
            <w:tcBorders>
              <w:bottom w:val="single" w:sz="8" w:color="B6B6B6"/>
            </w:tcBorders>
            <w:gridSpan w:val="4"/>
          </w:tcPr>
          <w:p>
            <w:pPr>
              <w:ind w:left="20"/>
              <w:spacing w:after="0"/>
              <w:rPr>
                <w:sz w:val="20"/>
                <w:szCs w:val="20"/>
                <w:color w:val="auto"/>
              </w:rPr>
            </w:pPr>
            <w:r>
              <w:rPr>
                <w:rFonts w:ascii="Arial" w:cs="Arial" w:eastAsia="Arial" w:hAnsi="Arial"/>
                <w:sz w:val="11"/>
                <w:szCs w:val="11"/>
                <w:color w:val="auto"/>
              </w:rPr>
              <w:t>TBD</w:t>
            </w:r>
          </w:p>
        </w:tc>
        <w:tc>
          <w:tcPr>
            <w:tcW w:w="960" w:type="dxa"/>
            <w:vAlign w:val="bottom"/>
            <w:tcBorders>
              <w:bottom w:val="single" w:sz="8" w:color="B6B6B6"/>
            </w:tcBorders>
          </w:tcPr>
          <w:p>
            <w:pPr>
              <w:spacing w:after="0"/>
              <w:rPr>
                <w:sz w:val="12"/>
                <w:szCs w:val="12"/>
                <w:color w:val="auto"/>
              </w:rPr>
            </w:pPr>
          </w:p>
        </w:tc>
        <w:tc>
          <w:tcPr>
            <w:tcW w:w="20" w:type="dxa"/>
            <w:vAlign w:val="bottom"/>
            <w:tcBorders>
              <w:bottom w:val="single" w:sz="8" w:color="B6B6B6"/>
            </w:tcBorders>
            <w:shd w:val="clear" w:color="auto" w:fill="B6B6B6"/>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46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4680" w:type="dxa"/>
            <w:vAlign w:val="bottom"/>
            <w:tcBorders>
              <w:bottom w:val="single" w:sz="8" w:color="CCEEFF"/>
            </w:tcBorders>
            <w:shd w:val="clear" w:color="auto" w:fill="CCEEFF"/>
          </w:tcPr>
          <w:p>
            <w:pPr>
              <w:ind w:left="40"/>
              <w:spacing w:after="0" w:line="120" w:lineRule="exact"/>
              <w:rPr>
                <w:sz w:val="20"/>
                <w:szCs w:val="20"/>
                <w:color w:val="auto"/>
              </w:rPr>
            </w:pPr>
            <w:r>
              <w:rPr>
                <w:rFonts w:ascii="Arial" w:cs="Arial" w:eastAsia="Arial" w:hAnsi="Arial"/>
                <w:sz w:val="11"/>
                <w:szCs w:val="11"/>
                <w:b w:val="1"/>
                <w:bCs w:val="1"/>
                <w:color w:val="auto"/>
              </w:rPr>
              <w:t>Total</w:t>
            </w:r>
          </w:p>
        </w:tc>
        <w:tc>
          <w:tcPr>
            <w:tcW w:w="6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spacing w:after="0" w:line="120" w:lineRule="exact"/>
              <w:rPr>
                <w:sz w:val="20"/>
                <w:szCs w:val="20"/>
                <w:color w:val="auto"/>
              </w:rPr>
            </w:pPr>
            <w:r>
              <w:rPr>
                <w:rFonts w:ascii="Arial" w:cs="Arial" w:eastAsia="Arial" w:hAnsi="Arial"/>
                <w:sz w:val="11"/>
                <w:szCs w:val="11"/>
                <w:color w:val="auto"/>
              </w:rPr>
              <w:t>$</w:t>
            </w:r>
          </w:p>
        </w:tc>
        <w:tc>
          <w:tcPr>
            <w:tcW w:w="660" w:type="dxa"/>
            <w:vAlign w:val="bottom"/>
            <w:tcBorders>
              <w:bottom w:val="single" w:sz="8" w:color="auto"/>
            </w:tcBorders>
            <w:shd w:val="clear" w:color="auto" w:fill="CCEEFF"/>
          </w:tcPr>
          <w:p>
            <w:pPr>
              <w:jc w:val="right"/>
              <w:spacing w:after="0" w:line="120" w:lineRule="exact"/>
              <w:rPr>
                <w:sz w:val="20"/>
                <w:szCs w:val="20"/>
                <w:color w:val="auto"/>
              </w:rPr>
            </w:pPr>
            <w:r>
              <w:rPr>
                <w:rFonts w:ascii="Arial" w:cs="Arial" w:eastAsia="Arial" w:hAnsi="Arial"/>
                <w:sz w:val="11"/>
                <w:szCs w:val="11"/>
                <w:color w:val="auto"/>
              </w:rPr>
              <w:t>1,950,481</w:t>
            </w:r>
          </w:p>
        </w:tc>
        <w:tc>
          <w:tcPr>
            <w:tcW w:w="6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3"/>
              <w:spacing w:after="0" w:line="120" w:lineRule="exact"/>
              <w:rPr>
                <w:sz w:val="20"/>
                <w:szCs w:val="20"/>
                <w:color w:val="auto"/>
              </w:rPr>
            </w:pPr>
            <w:r>
              <w:rPr>
                <w:rFonts w:ascii="Arial" w:cs="Arial" w:eastAsia="Arial" w:hAnsi="Arial"/>
                <w:sz w:val="11"/>
                <w:szCs w:val="11"/>
                <w:color w:val="auto"/>
              </w:rPr>
              <w:t>$</w:t>
            </w:r>
          </w:p>
        </w:tc>
        <w:tc>
          <w:tcPr>
            <w:tcW w:w="680" w:type="dxa"/>
            <w:vAlign w:val="bottom"/>
            <w:tcBorders>
              <w:bottom w:val="single" w:sz="8" w:color="auto"/>
              <w:right w:val="single" w:sz="8" w:color="CCEEFF"/>
            </w:tcBorders>
            <w:shd w:val="clear" w:color="auto" w:fill="CCEEFF"/>
          </w:tcPr>
          <w:p>
            <w:pPr>
              <w:jc w:val="right"/>
              <w:ind w:right="43"/>
              <w:spacing w:after="0" w:line="120" w:lineRule="exact"/>
              <w:rPr>
                <w:sz w:val="20"/>
                <w:szCs w:val="20"/>
                <w:color w:val="auto"/>
              </w:rPr>
            </w:pPr>
            <w:r>
              <w:rPr>
                <w:rFonts w:ascii="Arial" w:cs="Arial" w:eastAsia="Arial" w:hAnsi="Arial"/>
                <w:sz w:val="11"/>
                <w:szCs w:val="11"/>
                <w:color w:val="auto"/>
              </w:rPr>
              <w:t>3,947,465</w:t>
            </w:r>
          </w:p>
        </w:tc>
        <w:tc>
          <w:tcPr>
            <w:tcW w:w="100" w:type="dxa"/>
            <w:vAlign w:val="bottom"/>
            <w:tcBorders>
              <w:bottom w:val="single" w:sz="8" w:color="auto"/>
            </w:tcBorders>
            <w:shd w:val="clear" w:color="auto" w:fill="CCEEFF"/>
          </w:tcPr>
          <w:p>
            <w:pPr>
              <w:jc w:val="right"/>
              <w:spacing w:after="0" w:line="120" w:lineRule="exact"/>
              <w:rPr>
                <w:sz w:val="20"/>
                <w:szCs w:val="20"/>
                <w:color w:val="auto"/>
              </w:rPr>
            </w:pPr>
            <w:r>
              <w:rPr>
                <w:rFonts w:ascii="Arial" w:cs="Arial" w:eastAsia="Arial" w:hAnsi="Arial"/>
                <w:sz w:val="11"/>
                <w:szCs w:val="11"/>
                <w:color w:val="auto"/>
              </w:rPr>
              <w:t>$</w:t>
            </w:r>
          </w:p>
        </w:tc>
        <w:tc>
          <w:tcPr>
            <w:tcW w:w="660" w:type="dxa"/>
            <w:vAlign w:val="bottom"/>
            <w:tcBorders>
              <w:bottom w:val="single" w:sz="8" w:color="auto"/>
            </w:tcBorders>
            <w:shd w:val="clear" w:color="auto" w:fill="CCEEFF"/>
          </w:tcPr>
          <w:p>
            <w:pPr>
              <w:jc w:val="right"/>
              <w:spacing w:after="0" w:line="120" w:lineRule="exact"/>
              <w:rPr>
                <w:sz w:val="20"/>
                <w:szCs w:val="20"/>
                <w:color w:val="auto"/>
              </w:rPr>
            </w:pPr>
            <w:r>
              <w:rPr>
                <w:rFonts w:ascii="Arial" w:cs="Arial" w:eastAsia="Arial" w:hAnsi="Arial"/>
                <w:sz w:val="11"/>
                <w:szCs w:val="11"/>
                <w:color w:val="auto"/>
              </w:rPr>
              <w:t>3,840,000</w:t>
            </w:r>
          </w:p>
        </w:tc>
        <w:tc>
          <w:tcPr>
            <w:tcW w:w="180" w:type="dxa"/>
            <w:vAlign w:val="bottom"/>
            <w:tcBorders>
              <w:bottom w:val="single" w:sz="8" w:color="CCEEFF"/>
            </w:tcBorders>
            <w:shd w:val="clear" w:color="auto" w:fill="CCEEFF"/>
          </w:tcPr>
          <w:p>
            <w:pPr>
              <w:jc w:val="right"/>
              <w:ind w:right="3"/>
              <w:spacing w:after="0" w:line="80" w:lineRule="exact"/>
              <w:rPr>
                <w:sz w:val="20"/>
                <w:szCs w:val="20"/>
                <w:color w:val="auto"/>
              </w:rPr>
            </w:pPr>
            <w:r>
              <w:rPr>
                <w:rFonts w:ascii="Arial" w:cs="Arial" w:eastAsia="Arial" w:hAnsi="Arial"/>
                <w:sz w:val="7"/>
                <w:szCs w:val="7"/>
                <w:color w:val="auto"/>
              </w:rPr>
              <w:t>(2)</w:t>
            </w:r>
          </w:p>
        </w:tc>
        <w:tc>
          <w:tcPr>
            <w:tcW w:w="140" w:type="dxa"/>
            <w:vAlign w:val="bottom"/>
            <w:tcBorders>
              <w:bottom w:val="single" w:sz="8" w:color="auto"/>
            </w:tcBorders>
            <w:shd w:val="clear" w:color="auto" w:fill="CCEEFF"/>
          </w:tcPr>
          <w:p>
            <w:pPr>
              <w:jc w:val="right"/>
              <w:spacing w:after="0" w:line="120" w:lineRule="exact"/>
              <w:rPr>
                <w:sz w:val="20"/>
                <w:szCs w:val="20"/>
                <w:color w:val="auto"/>
              </w:rPr>
            </w:pPr>
            <w:r>
              <w:rPr>
                <w:rFonts w:ascii="Arial" w:cs="Arial" w:eastAsia="Arial" w:hAnsi="Arial"/>
                <w:sz w:val="11"/>
                <w:szCs w:val="11"/>
                <w:color w:val="auto"/>
              </w:rPr>
              <w:t>$</w:t>
            </w:r>
          </w:p>
        </w:tc>
        <w:tc>
          <w:tcPr>
            <w:tcW w:w="640" w:type="dxa"/>
            <w:vAlign w:val="bottom"/>
            <w:tcBorders>
              <w:bottom w:val="single" w:sz="8" w:color="auto"/>
            </w:tcBorders>
            <w:shd w:val="clear" w:color="auto" w:fill="CCEEFF"/>
          </w:tcPr>
          <w:p>
            <w:pPr>
              <w:ind w:left="100"/>
              <w:spacing w:after="0" w:line="120" w:lineRule="exact"/>
              <w:rPr>
                <w:sz w:val="20"/>
                <w:szCs w:val="20"/>
                <w:color w:val="auto"/>
              </w:rPr>
            </w:pPr>
            <w:r>
              <w:rPr>
                <w:rFonts w:ascii="Arial" w:cs="Arial" w:eastAsia="Arial" w:hAnsi="Arial"/>
                <w:sz w:val="11"/>
                <w:szCs w:val="11"/>
                <w:color w:val="auto"/>
              </w:rPr>
              <w:t>9,740,000</w:t>
            </w:r>
          </w:p>
        </w:tc>
        <w:tc>
          <w:tcPr>
            <w:tcW w:w="20" w:type="dxa"/>
            <w:vAlign w:val="bottom"/>
            <w:tcBorders>
              <w:bottom w:val="single" w:sz="8" w:color="auto"/>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jc w:val="right"/>
              <w:ind w:right="3"/>
              <w:spacing w:after="0" w:line="80" w:lineRule="exact"/>
              <w:rPr>
                <w:sz w:val="20"/>
                <w:szCs w:val="20"/>
                <w:color w:val="auto"/>
              </w:rPr>
            </w:pPr>
            <w:r>
              <w:rPr>
                <w:rFonts w:ascii="Arial" w:cs="Arial" w:eastAsia="Arial" w:hAnsi="Arial"/>
                <w:sz w:val="7"/>
                <w:szCs w:val="7"/>
                <w:color w:val="auto"/>
              </w:rPr>
              <w:t>(2)</w:t>
            </w:r>
          </w:p>
        </w:tc>
        <w:tc>
          <w:tcPr>
            <w:tcW w:w="74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CCEEFF"/>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468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2"/>
        </w:trPr>
        <w:tc>
          <w:tcPr>
            <w:tcW w:w="4680" w:type="dxa"/>
            <w:vAlign w:val="bottom"/>
            <w:shd w:val="clear" w:color="auto" w:fill="CCEEFF"/>
          </w:tcPr>
          <w:p>
            <w:pPr>
              <w:ind w:left="40"/>
              <w:spacing w:after="0"/>
              <w:rPr>
                <w:sz w:val="20"/>
                <w:szCs w:val="20"/>
                <w:color w:val="auto"/>
              </w:rPr>
            </w:pPr>
            <w:r>
              <w:rPr>
                <w:rFonts w:ascii="Arial" w:cs="Arial" w:eastAsia="Arial" w:hAnsi="Arial"/>
                <w:sz w:val="11"/>
                <w:szCs w:val="11"/>
                <w:color w:val="auto"/>
              </w:rPr>
              <w:t>Our share of investment</w:t>
            </w:r>
            <w:r>
              <w:rPr>
                <w:rFonts w:ascii="Arial" w:cs="Arial" w:eastAsia="Arial" w:hAnsi="Arial"/>
                <w:sz w:val="14"/>
                <w:szCs w:val="14"/>
                <w:color w:val="auto"/>
                <w:vertAlign w:val="superscript"/>
              </w:rPr>
              <w:t>(2)(3)</w:t>
            </w: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1,880,000</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680" w:type="dxa"/>
            <w:vAlign w:val="bottom"/>
            <w:tcBorders>
              <w:right w:val="single" w:sz="8" w:color="CCEEFF"/>
            </w:tcBorders>
            <w:shd w:val="clear" w:color="auto" w:fill="CCEEFF"/>
          </w:tcPr>
          <w:p>
            <w:pPr>
              <w:jc w:val="right"/>
              <w:ind w:right="43"/>
              <w:spacing w:after="0"/>
              <w:rPr>
                <w:sz w:val="20"/>
                <w:szCs w:val="20"/>
                <w:color w:val="auto"/>
              </w:rPr>
            </w:pPr>
            <w:r>
              <w:rPr>
                <w:rFonts w:ascii="Arial" w:cs="Arial" w:eastAsia="Arial" w:hAnsi="Arial"/>
                <w:sz w:val="11"/>
                <w:szCs w:val="11"/>
                <w:color w:val="auto"/>
              </w:rPr>
              <w:t>3,170,000</w:t>
            </w: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3,040,000</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8,090,000</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9" w:lineRule="exact"/>
        <w:rPr>
          <w:sz w:val="20"/>
          <w:szCs w:val="20"/>
          <w:color w:val="auto"/>
        </w:rPr>
      </w:pPr>
    </w:p>
    <w:p>
      <w:pPr>
        <w:ind w:left="40"/>
        <w:spacing w:after="0"/>
        <w:rPr>
          <w:sz w:val="20"/>
          <w:szCs w:val="20"/>
          <w:color w:val="auto"/>
        </w:rPr>
      </w:pPr>
      <w:r>
        <w:rPr>
          <w:rFonts w:ascii="Arial" w:cs="Arial" w:eastAsia="Arial" w:hAnsi="Arial"/>
          <w:sz w:val="10"/>
          <w:szCs w:val="10"/>
          <w:color w:val="auto"/>
        </w:rPr>
        <w:t>Refer to “Initial stabilized yield (unlevered)” under “Definitions and reconciliations” in Item 2 for additional information.</w:t>
      </w:r>
    </w:p>
    <w:p>
      <w:pPr>
        <w:spacing w:after="0" w:line="91" w:lineRule="exact"/>
        <w:rPr>
          <w:sz w:val="20"/>
          <w:szCs w:val="20"/>
          <w:color w:val="auto"/>
        </w:rPr>
      </w:pPr>
    </w:p>
    <w:p>
      <w:pPr>
        <w:ind w:left="300" w:hanging="263"/>
        <w:spacing w:after="0"/>
        <w:tabs>
          <w:tab w:leader="none" w:pos="300" w:val="left"/>
        </w:tabs>
        <w:numPr>
          <w:ilvl w:val="0"/>
          <w:numId w:val="89"/>
        </w:numPr>
        <w:rPr>
          <w:rFonts w:ascii="Arial" w:cs="Arial" w:eastAsia="Arial" w:hAnsi="Arial"/>
          <w:sz w:val="10"/>
          <w:szCs w:val="10"/>
          <w:color w:val="auto"/>
        </w:rPr>
      </w:pPr>
      <w:r>
        <w:rPr>
          <w:rFonts w:ascii="Arial" w:cs="Arial" w:eastAsia="Arial" w:hAnsi="Arial"/>
          <w:sz w:val="10"/>
          <w:szCs w:val="10"/>
          <w:color w:val="auto"/>
        </w:rPr>
        <w:t>We expect to provide total estimated costs and related yields for each project with estimated stabilization in 2026 and beyond over the next several quarters.</w:t>
      </w:r>
    </w:p>
    <w:p>
      <w:pPr>
        <w:ind w:left="300" w:hanging="263"/>
        <w:spacing w:after="0" w:line="224" w:lineRule="auto"/>
        <w:tabs>
          <w:tab w:leader="none" w:pos="300" w:val="left"/>
        </w:tabs>
        <w:numPr>
          <w:ilvl w:val="0"/>
          <w:numId w:val="89"/>
        </w:numPr>
        <w:rPr>
          <w:rFonts w:ascii="Arial" w:cs="Arial" w:eastAsia="Arial" w:hAnsi="Arial"/>
          <w:sz w:val="10"/>
          <w:szCs w:val="10"/>
          <w:color w:val="auto"/>
        </w:rPr>
      </w:pPr>
      <w:r>
        <w:rPr>
          <w:rFonts w:ascii="Arial" w:cs="Arial" w:eastAsia="Arial" w:hAnsi="Arial"/>
          <w:sz w:val="10"/>
          <w:szCs w:val="10"/>
          <w:color w:val="auto"/>
        </w:rPr>
        <w:t>Represents dollar amount rounded to the nearest $10 million and includes preliminary estimated amounts for projects listed as TBD.</w:t>
      </w:r>
    </w:p>
    <w:p>
      <w:pPr>
        <w:ind w:left="300" w:hanging="263"/>
        <w:spacing w:after="0"/>
        <w:tabs>
          <w:tab w:leader="none" w:pos="300" w:val="left"/>
        </w:tabs>
        <w:numPr>
          <w:ilvl w:val="0"/>
          <w:numId w:val="89"/>
        </w:numPr>
        <w:rPr>
          <w:rFonts w:ascii="Arial" w:cs="Arial" w:eastAsia="Arial" w:hAnsi="Arial"/>
          <w:sz w:val="10"/>
          <w:szCs w:val="10"/>
          <w:color w:val="auto"/>
        </w:rPr>
      </w:pPr>
      <w:r>
        <w:rPr>
          <w:rFonts w:ascii="Arial" w:cs="Arial" w:eastAsia="Arial" w:hAnsi="Arial"/>
          <w:sz w:val="10"/>
          <w:szCs w:val="10"/>
          <w:color w:val="auto"/>
        </w:rPr>
        <w:t>Represents our share of investment based on our ownership percentage upon completion of development or redevelopment projects.</w:t>
      </w:r>
    </w:p>
    <w:p>
      <w:pPr>
        <w:sectPr>
          <w:pgSz w:w="11900" w:h="16838" w:orient="portrait"/>
          <w:cols w:equalWidth="0" w:num="1">
            <w:col w:w="10820"/>
          </w:cols>
          <w:pgMar w:left="580" w:top="215" w:right="499" w:bottom="0" w:gutter="0" w:footer="0" w:header="0"/>
        </w:sectPr>
      </w:pPr>
    </w:p>
    <w:bookmarkStart w:id="44" w:name="page45"/>
    <w:bookmarkEnd w:id="44"/>
    <w:p>
      <w:pPr>
        <w:jc w:val="center"/>
        <w:ind w:right="-59"/>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212965" cy="4394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12965" cy="439420"/>
                    </a:xfrm>
                    <a:prstGeom prst="rect">
                      <a:avLst/>
                    </a:prstGeom>
                    <a:noFill/>
                  </pic:spPr>
                </pic:pic>
              </a:graphicData>
            </a:graphic>
          </wp:anchor>
        </w:drawing>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188595</wp:posOffset>
            </wp:positionV>
            <wp:extent cx="7212965" cy="55841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12965" cy="5584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New Class A/A+ development and redevelopment properties: summary of pipeline</w:t>
      </w:r>
    </w:p>
    <w:p>
      <w:pPr>
        <w:spacing w:after="0" w:line="96" w:lineRule="exact"/>
        <w:rPr>
          <w:sz w:val="20"/>
          <w:szCs w:val="20"/>
          <w:color w:val="auto"/>
        </w:rPr>
      </w:pPr>
    </w:p>
    <w:p>
      <w:pPr>
        <w:ind w:left="1020"/>
        <w:spacing w:after="0"/>
        <w:rPr>
          <w:sz w:val="20"/>
          <w:szCs w:val="20"/>
          <w:color w:val="auto"/>
        </w:rPr>
      </w:pPr>
      <w:r>
        <w:rPr>
          <w:rFonts w:ascii="Arial" w:cs="Arial" w:eastAsia="Arial" w:hAnsi="Arial"/>
          <w:sz w:val="26"/>
          <w:szCs w:val="26"/>
          <w:color w:val="1F497D"/>
        </w:rPr>
        <w:t>69% of Our Total Value-Creation Pipeline RSF Is Within Our Mega Campuses</w:t>
      </w:r>
    </w:p>
    <w:p>
      <w:pPr>
        <w:spacing w:after="0" w:line="100" w:lineRule="exact"/>
        <w:rPr>
          <w:sz w:val="20"/>
          <w:szCs w:val="20"/>
          <w:color w:val="auto"/>
        </w:rPr>
      </w:pPr>
    </w:p>
    <w:p>
      <w:pPr>
        <w:ind w:left="500"/>
        <w:spacing w:after="0"/>
        <w:rPr>
          <w:sz w:val="20"/>
          <w:szCs w:val="20"/>
          <w:color w:val="auto"/>
        </w:rPr>
      </w:pPr>
      <w:r>
        <w:rPr>
          <w:rFonts w:ascii="Arial" w:cs="Arial" w:eastAsia="Arial" w:hAnsi="Arial"/>
          <w:sz w:val="13"/>
          <w:szCs w:val="13"/>
          <w:color w:val="auto"/>
        </w:rPr>
        <w:t>The following table summarizes the key information for all our development and redevelopment projects in North America as of June 30, 2024 (dollars in thousands):</w:t>
      </w:r>
    </w:p>
    <w:p>
      <w:pPr>
        <w:spacing w:after="0" w:line="57" w:lineRule="exact"/>
        <w:rPr>
          <w:sz w:val="20"/>
          <w:szCs w:val="20"/>
          <w:color w:val="auto"/>
        </w:rPr>
      </w:pPr>
    </w:p>
    <w:tbl>
      <w:tblPr>
        <w:tblLayout w:type="fixed"/>
        <w:tblInd w:w="20" w:type="dxa"/>
        <w:tblCellMar>
          <w:top w:w="0" w:type="dxa"/>
          <w:left w:w="0" w:type="dxa"/>
          <w:bottom w:w="0" w:type="dxa"/>
          <w:right w:w="0" w:type="dxa"/>
        </w:tblCellMar>
      </w:tblPr>
      <w:tr>
        <w:trPr>
          <w:trHeight w:val="148"/>
        </w:trPr>
        <w:tc>
          <w:tcPr>
            <w:tcW w:w="3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2"/>
          </w:tcPr>
          <w:p>
            <w:pPr>
              <w:ind w:left="80"/>
              <w:spacing w:after="0"/>
              <w:rPr>
                <w:sz w:val="20"/>
                <w:szCs w:val="20"/>
                <w:color w:val="auto"/>
              </w:rPr>
            </w:pPr>
            <w:r>
              <w:rPr>
                <w:rFonts w:ascii="Arial" w:cs="Arial" w:eastAsia="Arial" w:hAnsi="Arial"/>
                <w:sz w:val="11"/>
                <w:szCs w:val="11"/>
                <w:b w:val="1"/>
                <w:bCs w:val="1"/>
                <w:color w:val="auto"/>
              </w:rPr>
              <w:t>Square Footage</w:t>
            </w:r>
          </w:p>
        </w:tc>
        <w:tc>
          <w:tcPr>
            <w:tcW w:w="9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3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240" w:type="dxa"/>
            <w:vAlign w:val="bottom"/>
            <w:tcBorders>
              <w:bottom w:val="single" w:sz="8" w:color="auto"/>
            </w:tcBorders>
            <w:gridSpan w:val="4"/>
          </w:tcPr>
          <w:p>
            <w:pPr>
              <w:ind w:left="140"/>
              <w:spacing w:after="0"/>
              <w:rPr>
                <w:sz w:val="20"/>
                <w:szCs w:val="20"/>
                <w:color w:val="auto"/>
              </w:rPr>
            </w:pPr>
            <w:r>
              <w:rPr>
                <w:rFonts w:ascii="Arial" w:cs="Arial" w:eastAsia="Arial" w:hAnsi="Arial"/>
                <w:sz w:val="11"/>
                <w:szCs w:val="11"/>
                <w:b w:val="1"/>
                <w:bCs w:val="1"/>
                <w:color w:val="auto"/>
              </w:rPr>
              <w:t>Development and Redevelopment</w:t>
            </w:r>
          </w:p>
        </w:tc>
        <w:tc>
          <w:tcPr>
            <w:tcW w:w="94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3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160" w:type="dxa"/>
            <w:vAlign w:val="bottom"/>
            <w:gridSpan w:val="4"/>
          </w:tcPr>
          <w:p>
            <w:pPr>
              <w:jc w:val="center"/>
              <w:ind w:right="180"/>
              <w:spacing w:after="0"/>
              <w:rPr>
                <w:sz w:val="20"/>
                <w:szCs w:val="20"/>
                <w:color w:val="auto"/>
              </w:rPr>
            </w:pPr>
            <w:r>
              <w:rPr>
                <w:rFonts w:ascii="Arial" w:cs="Arial" w:eastAsia="Arial" w:hAnsi="Arial"/>
                <w:sz w:val="11"/>
                <w:szCs w:val="11"/>
                <w:b w:val="1"/>
                <w:bCs w:val="1"/>
                <w:color w:val="auto"/>
              </w:rPr>
              <w:t>Active and Near-Term</w:t>
            </w:r>
          </w:p>
        </w:tc>
        <w:tc>
          <w:tcPr>
            <w:tcW w:w="2260" w:type="dxa"/>
            <w:vAlign w:val="bottom"/>
            <w:gridSpan w:val="4"/>
          </w:tcPr>
          <w:p>
            <w:pPr>
              <w:ind w:left="180"/>
              <w:spacing w:after="0"/>
              <w:rPr>
                <w:sz w:val="20"/>
                <w:szCs w:val="20"/>
                <w:color w:val="auto"/>
              </w:rPr>
            </w:pPr>
            <w:r>
              <w:rPr>
                <w:rFonts w:ascii="Arial" w:cs="Arial" w:eastAsia="Arial" w:hAnsi="Arial"/>
                <w:sz w:val="11"/>
                <w:szCs w:val="11"/>
                <w:b w:val="1"/>
                <w:bCs w:val="1"/>
                <w:color w:val="auto"/>
              </w:rPr>
              <w:t>Future Opportunities Subject to</w:t>
            </w: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3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2"/>
            <w:vMerge w:val="restart"/>
          </w:tcPr>
          <w:p>
            <w:pPr>
              <w:jc w:val="center"/>
              <w:ind w:right="60"/>
              <w:spacing w:after="0"/>
              <w:rPr>
                <w:sz w:val="20"/>
                <w:szCs w:val="20"/>
                <w:color w:val="auto"/>
              </w:rPr>
            </w:pPr>
            <w:r>
              <w:rPr>
                <w:rFonts w:ascii="Arial" w:cs="Arial" w:eastAsia="Arial" w:hAnsi="Arial"/>
                <w:sz w:val="11"/>
                <w:szCs w:val="11"/>
                <w:b w:val="1"/>
                <w:bCs w:val="1"/>
                <w:color w:val="auto"/>
              </w:rPr>
              <w:t>Our</w:t>
            </w: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0" w:type="dxa"/>
            <w:vAlign w:val="bottom"/>
            <w:tcBorders>
              <w:bottom w:val="single" w:sz="8" w:color="auto"/>
            </w:tcBorders>
            <w:gridSpan w:val="3"/>
          </w:tcPr>
          <w:p>
            <w:pPr>
              <w:jc w:val="center"/>
              <w:spacing w:after="0"/>
              <w:rPr>
                <w:sz w:val="20"/>
                <w:szCs w:val="20"/>
                <w:color w:val="auto"/>
              </w:rPr>
            </w:pPr>
            <w:r>
              <w:rPr>
                <w:rFonts w:ascii="Arial" w:cs="Arial" w:eastAsia="Arial" w:hAnsi="Arial"/>
                <w:sz w:val="11"/>
                <w:szCs w:val="11"/>
                <w:b w:val="1"/>
                <w:bCs w:val="1"/>
                <w:color w:val="auto"/>
              </w:rPr>
              <w:t>Construction</w:t>
            </w:r>
          </w:p>
        </w:tc>
        <w:tc>
          <w:tcPr>
            <w:tcW w:w="160" w:type="dxa"/>
            <w:vAlign w:val="bottom"/>
          </w:tcPr>
          <w:p>
            <w:pPr>
              <w:spacing w:after="0"/>
              <w:rPr>
                <w:sz w:val="12"/>
                <w:szCs w:val="12"/>
                <w:color w:val="auto"/>
              </w:rPr>
            </w:pPr>
          </w:p>
        </w:tc>
        <w:tc>
          <w:tcPr>
            <w:tcW w:w="2080" w:type="dxa"/>
            <w:vAlign w:val="bottom"/>
            <w:tcBorders>
              <w:bottom w:val="single" w:sz="8" w:color="auto"/>
            </w:tcBorders>
            <w:gridSpan w:val="3"/>
          </w:tcPr>
          <w:p>
            <w:pPr>
              <w:ind w:left="200"/>
              <w:spacing w:after="0"/>
              <w:rPr>
                <w:sz w:val="20"/>
                <w:szCs w:val="20"/>
                <w:color w:val="auto"/>
              </w:rPr>
            </w:pPr>
            <w:r>
              <w:rPr>
                <w:rFonts w:ascii="Arial" w:cs="Arial" w:eastAsia="Arial" w:hAnsi="Arial"/>
                <w:sz w:val="11"/>
                <w:szCs w:val="11"/>
                <w:b w:val="1"/>
                <w:bCs w:val="1"/>
                <w:color w:val="auto"/>
              </w:rPr>
              <w:t>Market Conditions and Leasing</w:t>
            </w: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372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Market</w:t>
            </w:r>
          </w:p>
        </w:tc>
        <w:tc>
          <w:tcPr>
            <w:tcW w:w="74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gridSpan w:val="2"/>
            <w:vMerge w:val="restart"/>
          </w:tcPr>
          <w:p>
            <w:pPr>
              <w:jc w:val="center"/>
              <w:ind w:right="140"/>
              <w:spacing w:after="0"/>
              <w:rPr>
                <w:sz w:val="20"/>
                <w:szCs w:val="20"/>
                <w:color w:val="auto"/>
              </w:rPr>
            </w:pPr>
            <w:r>
              <w:rPr>
                <w:rFonts w:ascii="Arial" w:cs="Arial" w:eastAsia="Arial" w:hAnsi="Arial"/>
                <w:sz w:val="11"/>
                <w:szCs w:val="11"/>
                <w:b w:val="1"/>
                <w:bCs w:val="1"/>
                <w:color w:val="auto"/>
              </w:rPr>
              <w:t>Under</w:t>
            </w:r>
          </w:p>
        </w:tc>
        <w:tc>
          <w:tcPr>
            <w:tcW w:w="110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Committed</w:t>
            </w:r>
          </w:p>
        </w:tc>
        <w:tc>
          <w:tcPr>
            <w:tcW w:w="1140" w:type="dxa"/>
            <w:vAlign w:val="bottom"/>
            <w:gridSpan w:val="2"/>
            <w:vMerge w:val="restart"/>
          </w:tcPr>
          <w:p>
            <w:pPr>
              <w:ind w:left="280"/>
              <w:spacing w:after="0"/>
              <w:rPr>
                <w:sz w:val="20"/>
                <w:szCs w:val="20"/>
                <w:color w:val="auto"/>
              </w:rPr>
            </w:pPr>
            <w:r>
              <w:rPr>
                <w:rFonts w:ascii="Arial" w:cs="Arial" w:eastAsia="Arial" w:hAnsi="Arial"/>
                <w:sz w:val="11"/>
                <w:szCs w:val="11"/>
                <w:b w:val="1"/>
                <w:bCs w:val="1"/>
                <w:color w:val="auto"/>
              </w:rPr>
              <w:t>Priority</w:t>
            </w: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3720" w:type="dxa"/>
            <w:vAlign w:val="bottom"/>
            <w:gridSpan w:val="2"/>
            <w:vMerge w:val="continue"/>
          </w:tcPr>
          <w:p>
            <w:pPr>
              <w:spacing w:after="0"/>
              <w:rPr>
                <w:sz w:val="9"/>
                <w:szCs w:val="9"/>
                <w:color w:val="auto"/>
              </w:rPr>
            </w:pPr>
          </w:p>
        </w:tc>
        <w:tc>
          <w:tcPr>
            <w:tcW w:w="740" w:type="dxa"/>
            <w:vAlign w:val="bottom"/>
            <w:gridSpan w:val="2"/>
          </w:tcPr>
          <w:p>
            <w:pPr>
              <w:jc w:val="center"/>
              <w:ind w:right="40"/>
              <w:spacing w:after="0" w:line="110" w:lineRule="exact"/>
              <w:rPr>
                <w:sz w:val="20"/>
                <w:szCs w:val="20"/>
                <w:color w:val="auto"/>
              </w:rPr>
            </w:pPr>
            <w:r>
              <w:rPr>
                <w:rFonts w:ascii="Arial" w:cs="Arial" w:eastAsia="Arial" w:hAnsi="Arial"/>
                <w:sz w:val="11"/>
                <w:szCs w:val="11"/>
                <w:b w:val="1"/>
                <w:bCs w:val="1"/>
                <w:color w:val="auto"/>
              </w:rPr>
              <w:t>Ownership</w:t>
            </w:r>
          </w:p>
        </w:tc>
        <w:tc>
          <w:tcPr>
            <w:tcW w:w="920" w:type="dxa"/>
            <w:vAlign w:val="bottom"/>
            <w:gridSpan w:val="3"/>
            <w:vMerge w:val="restart"/>
          </w:tcPr>
          <w:p>
            <w:pPr>
              <w:ind w:left="60"/>
              <w:spacing w:after="0"/>
              <w:rPr>
                <w:sz w:val="20"/>
                <w:szCs w:val="20"/>
                <w:color w:val="auto"/>
              </w:rPr>
            </w:pPr>
            <w:r>
              <w:rPr>
                <w:rFonts w:ascii="Arial" w:cs="Arial" w:eastAsia="Arial" w:hAnsi="Arial"/>
                <w:sz w:val="11"/>
                <w:szCs w:val="11"/>
                <w:b w:val="1"/>
                <w:bCs w:val="1"/>
                <w:color w:val="auto"/>
              </w:rPr>
              <w:t>Book Value</w:t>
            </w:r>
          </w:p>
        </w:tc>
        <w:tc>
          <w:tcPr>
            <w:tcW w:w="1060" w:type="dxa"/>
            <w:vAlign w:val="bottom"/>
            <w:gridSpan w:val="2"/>
            <w:vMerge w:val="continue"/>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1120" w:type="dxa"/>
            <w:vAlign w:val="bottom"/>
            <w:gridSpan w:val="2"/>
            <w:vMerge w:val="restart"/>
          </w:tcPr>
          <w:p>
            <w:pPr>
              <w:ind w:left="300"/>
              <w:spacing w:after="0"/>
              <w:rPr>
                <w:sz w:val="20"/>
                <w:szCs w:val="20"/>
                <w:color w:val="auto"/>
              </w:rPr>
            </w:pPr>
            <w:r>
              <w:rPr>
                <w:rFonts w:ascii="Arial" w:cs="Arial" w:eastAsia="Arial" w:hAnsi="Arial"/>
                <w:sz w:val="11"/>
                <w:szCs w:val="11"/>
                <w:b w:val="1"/>
                <w:bCs w:val="1"/>
                <w:color w:val="auto"/>
              </w:rPr>
              <w:t>Future</w:t>
            </w:r>
          </w:p>
        </w:tc>
        <w:tc>
          <w:tcPr>
            <w:tcW w:w="940" w:type="dxa"/>
            <w:vAlign w:val="bottom"/>
            <w:vMerge w:val="restart"/>
          </w:tcPr>
          <w:p>
            <w:pPr>
              <w:jc w:val="right"/>
              <w:ind w:right="223"/>
              <w:spacing w:after="0"/>
              <w:rPr>
                <w:sz w:val="20"/>
                <w:szCs w:val="20"/>
                <w:color w:val="auto"/>
              </w:rPr>
            </w:pPr>
            <w:r>
              <w:rPr>
                <w:rFonts w:ascii="Arial" w:cs="Arial" w:eastAsia="Arial" w:hAnsi="Arial"/>
                <w:sz w:val="11"/>
                <w:szCs w:val="11"/>
                <w:b w:val="1"/>
                <w:bCs w:val="1"/>
                <w:color w:val="auto"/>
              </w:rPr>
              <w:t>Total</w:t>
            </w:r>
            <w:r>
              <w:rPr>
                <w:rFonts w:ascii="Arial" w:cs="Arial" w:eastAsia="Arial" w:hAnsi="Arial"/>
                <w:sz w:val="14"/>
                <w:szCs w:val="14"/>
                <w:b w:val="1"/>
                <w:bCs w:val="1"/>
                <w:color w:val="auto"/>
                <w:vertAlign w:val="superscript"/>
              </w:rPr>
              <w:t>(1)</w:t>
            </w:r>
          </w:p>
        </w:tc>
        <w:tc>
          <w:tcPr>
            <w:tcW w:w="0" w:type="dxa"/>
            <w:vAlign w:val="bottom"/>
          </w:tcPr>
          <w:p>
            <w:pPr>
              <w:spacing w:after="0"/>
              <w:rPr>
                <w:sz w:val="1"/>
                <w:szCs w:val="1"/>
                <w:color w:val="auto"/>
              </w:rPr>
            </w:pPr>
          </w:p>
        </w:tc>
      </w:tr>
      <w:tr>
        <w:trPr>
          <w:trHeight w:val="148"/>
        </w:trPr>
        <w:tc>
          <w:tcPr>
            <w:tcW w:w="3720" w:type="dxa"/>
            <w:vAlign w:val="bottom"/>
            <w:gridSpan w:val="2"/>
          </w:tcPr>
          <w:p>
            <w:pPr>
              <w:ind w:left="160"/>
              <w:spacing w:after="0"/>
              <w:rPr>
                <w:sz w:val="20"/>
                <w:szCs w:val="20"/>
                <w:color w:val="auto"/>
              </w:rPr>
            </w:pPr>
            <w:r>
              <w:rPr>
                <w:rFonts w:ascii="Arial" w:cs="Arial" w:eastAsia="Arial" w:hAnsi="Arial"/>
                <w:sz w:val="11"/>
                <w:szCs w:val="11"/>
                <w:b w:val="1"/>
                <w:bCs w:val="1"/>
                <w:color w:val="auto"/>
              </w:rPr>
              <w:t>Property/Submarket</w:t>
            </w:r>
          </w:p>
        </w:tc>
        <w:tc>
          <w:tcPr>
            <w:tcW w:w="740" w:type="dxa"/>
            <w:vAlign w:val="bottom"/>
            <w:gridSpan w:val="2"/>
          </w:tcPr>
          <w:p>
            <w:pPr>
              <w:jc w:val="center"/>
              <w:ind w:right="40"/>
              <w:spacing w:after="0"/>
              <w:rPr>
                <w:sz w:val="20"/>
                <w:szCs w:val="20"/>
                <w:color w:val="auto"/>
              </w:rPr>
            </w:pPr>
            <w:r>
              <w:rPr>
                <w:rFonts w:ascii="Arial" w:cs="Arial" w:eastAsia="Arial" w:hAnsi="Arial"/>
                <w:sz w:val="11"/>
                <w:szCs w:val="11"/>
                <w:b w:val="1"/>
                <w:bCs w:val="1"/>
                <w:color w:val="auto"/>
              </w:rPr>
              <w:t>Interest</w:t>
            </w:r>
          </w:p>
        </w:tc>
        <w:tc>
          <w:tcPr>
            <w:tcW w:w="920" w:type="dxa"/>
            <w:vAlign w:val="bottom"/>
            <w:gridSpan w:val="3"/>
            <w:vMerge w:val="continue"/>
          </w:tcPr>
          <w:p>
            <w:pPr>
              <w:spacing w:after="0"/>
              <w:rPr>
                <w:sz w:val="12"/>
                <w:szCs w:val="12"/>
                <w:color w:val="auto"/>
              </w:rPr>
            </w:pPr>
          </w:p>
        </w:tc>
        <w:tc>
          <w:tcPr>
            <w:tcW w:w="106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rPr>
              <w:t>Construction</w:t>
            </w:r>
          </w:p>
        </w:tc>
        <w:tc>
          <w:tcPr>
            <w:tcW w:w="1100" w:type="dxa"/>
            <w:vAlign w:val="bottom"/>
            <w:gridSpan w:val="2"/>
          </w:tcPr>
          <w:p>
            <w:pPr>
              <w:ind w:left="180"/>
              <w:spacing w:after="0"/>
              <w:rPr>
                <w:sz w:val="20"/>
                <w:szCs w:val="20"/>
                <w:color w:val="auto"/>
              </w:rPr>
            </w:pPr>
            <w:r>
              <w:rPr>
                <w:rFonts w:ascii="Arial" w:cs="Arial" w:eastAsia="Arial" w:hAnsi="Arial"/>
                <w:sz w:val="11"/>
                <w:szCs w:val="11"/>
                <w:b w:val="1"/>
                <w:bCs w:val="1"/>
                <w:color w:val="auto"/>
              </w:rPr>
              <w:t>Near Term</w:t>
            </w:r>
          </w:p>
        </w:tc>
        <w:tc>
          <w:tcPr>
            <w:tcW w:w="1140" w:type="dxa"/>
            <w:vAlign w:val="bottom"/>
            <w:gridSpan w:val="2"/>
          </w:tcPr>
          <w:p>
            <w:pPr>
              <w:ind w:left="180"/>
              <w:spacing w:after="0"/>
              <w:rPr>
                <w:sz w:val="20"/>
                <w:szCs w:val="20"/>
                <w:color w:val="auto"/>
              </w:rPr>
            </w:pPr>
            <w:r>
              <w:rPr>
                <w:rFonts w:ascii="Arial" w:cs="Arial" w:eastAsia="Arial" w:hAnsi="Arial"/>
                <w:sz w:val="11"/>
                <w:szCs w:val="11"/>
                <w:b w:val="1"/>
                <w:bCs w:val="1"/>
                <w:color w:val="auto"/>
              </w:rPr>
              <w:t>Anticipated</w:t>
            </w:r>
          </w:p>
        </w:tc>
        <w:tc>
          <w:tcPr>
            <w:tcW w:w="1120" w:type="dxa"/>
            <w:vAlign w:val="bottom"/>
            <w:gridSpan w:val="2"/>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368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3720" w:type="dxa"/>
            <w:vAlign w:val="bottom"/>
            <w:gridSpan w:val="2"/>
            <w:shd w:val="clear" w:color="auto" w:fill="CCEEFF"/>
          </w:tcPr>
          <w:p>
            <w:pPr>
              <w:ind w:left="40"/>
              <w:spacing w:after="0"/>
              <w:rPr>
                <w:sz w:val="20"/>
                <w:szCs w:val="20"/>
                <w:color w:val="auto"/>
              </w:rPr>
            </w:pPr>
            <w:r>
              <w:rPr>
                <w:rFonts w:ascii="Arial" w:cs="Arial" w:eastAsia="Arial" w:hAnsi="Arial"/>
                <w:sz w:val="11"/>
                <w:szCs w:val="11"/>
                <w:color w:val="auto"/>
              </w:rPr>
              <w:t>Greater Boston</w:t>
            </w:r>
          </w:p>
        </w:tc>
        <w:tc>
          <w:tcPr>
            <w:tcW w:w="6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3720" w:type="dxa"/>
            <w:vAlign w:val="bottom"/>
            <w:gridSpan w:val="2"/>
          </w:tcPr>
          <w:p>
            <w:pPr>
              <w:ind w:left="160"/>
              <w:spacing w:after="0"/>
              <w:rPr>
                <w:sz w:val="20"/>
                <w:szCs w:val="20"/>
                <w:color w:val="auto"/>
              </w:rPr>
            </w:pPr>
            <w:r>
              <w:rPr>
                <w:rFonts w:ascii="Arial" w:cs="Arial" w:eastAsia="Arial" w:hAnsi="Arial"/>
                <w:sz w:val="11"/>
                <w:szCs w:val="11"/>
                <w:b w:val="1"/>
                <w:bCs w:val="1"/>
                <w:color w:val="auto"/>
              </w:rPr>
              <w:t>Mega Campus: The Arsenal on the Charles/Cambridge/Inner</w:t>
            </w:r>
          </w:p>
        </w:tc>
        <w:tc>
          <w:tcPr>
            <w:tcW w:w="680" w:type="dxa"/>
            <w:vAlign w:val="bottom"/>
            <w:vMerge w:val="restart"/>
          </w:tcPr>
          <w:p>
            <w:pPr>
              <w:jc w:val="right"/>
              <w:ind w:right="165"/>
              <w:spacing w:after="0"/>
              <w:rPr>
                <w:sz w:val="20"/>
                <w:szCs w:val="20"/>
                <w:color w:val="auto"/>
              </w:rPr>
            </w:pPr>
            <w:r>
              <w:rPr>
                <w:rFonts w:ascii="Arial" w:cs="Arial" w:eastAsia="Arial" w:hAnsi="Arial"/>
                <w:sz w:val="11"/>
                <w:szCs w:val="11"/>
                <w:color w:val="auto"/>
              </w:rPr>
              <w:t>100%</w:t>
            </w:r>
          </w:p>
        </w:tc>
        <w:tc>
          <w:tcPr>
            <w:tcW w:w="60" w:type="dxa"/>
            <w:vAlign w:val="bottom"/>
          </w:tcPr>
          <w:p>
            <w:pPr>
              <w:spacing w:after="0"/>
              <w:rPr>
                <w:sz w:val="13"/>
                <w:szCs w:val="13"/>
                <w:color w:val="auto"/>
              </w:rPr>
            </w:pPr>
          </w:p>
        </w:tc>
        <w:tc>
          <w:tcPr>
            <w:tcW w:w="140" w:type="dxa"/>
            <w:vAlign w:val="bottom"/>
            <w:vMerge w:val="restart"/>
          </w:tcPr>
          <w:p>
            <w:pPr>
              <w:ind w:left="40"/>
              <w:spacing w:after="0"/>
              <w:rPr>
                <w:sz w:val="20"/>
                <w:szCs w:val="20"/>
                <w:color w:val="auto"/>
              </w:rPr>
            </w:pPr>
            <w:r>
              <w:rPr>
                <w:rFonts w:ascii="Arial" w:cs="Arial" w:eastAsia="Arial" w:hAnsi="Arial"/>
                <w:sz w:val="11"/>
                <w:szCs w:val="11"/>
                <w:color w:val="auto"/>
              </w:rPr>
              <w:t>$</w:t>
            </w:r>
          </w:p>
        </w:tc>
        <w:tc>
          <w:tcPr>
            <w:tcW w:w="580" w:type="dxa"/>
            <w:vAlign w:val="bottom"/>
            <w:vMerge w:val="restart"/>
          </w:tcPr>
          <w:p>
            <w:pPr>
              <w:jc w:val="right"/>
              <w:spacing w:after="0"/>
              <w:rPr>
                <w:sz w:val="20"/>
                <w:szCs w:val="20"/>
                <w:color w:val="auto"/>
              </w:rPr>
            </w:pPr>
            <w:r>
              <w:rPr>
                <w:rFonts w:ascii="Arial" w:cs="Arial" w:eastAsia="Arial" w:hAnsi="Arial"/>
                <w:sz w:val="11"/>
                <w:szCs w:val="11"/>
                <w:color w:val="auto"/>
              </w:rPr>
              <w:t>350,306</w:t>
            </w:r>
          </w:p>
        </w:tc>
        <w:tc>
          <w:tcPr>
            <w:tcW w:w="200" w:type="dxa"/>
            <w:vAlign w:val="bottom"/>
          </w:tcPr>
          <w:p>
            <w:pPr>
              <w:spacing w:after="0"/>
              <w:rPr>
                <w:sz w:val="13"/>
                <w:szCs w:val="13"/>
                <w:color w:val="auto"/>
              </w:rPr>
            </w:pPr>
          </w:p>
        </w:tc>
        <w:tc>
          <w:tcPr>
            <w:tcW w:w="940" w:type="dxa"/>
            <w:vAlign w:val="bottom"/>
            <w:vMerge w:val="restart"/>
          </w:tcPr>
          <w:p>
            <w:pPr>
              <w:jc w:val="right"/>
              <w:ind w:right="3"/>
              <w:spacing w:after="0"/>
              <w:rPr>
                <w:sz w:val="20"/>
                <w:szCs w:val="20"/>
                <w:color w:val="auto"/>
              </w:rPr>
            </w:pPr>
            <w:r>
              <w:rPr>
                <w:rFonts w:ascii="Arial" w:cs="Arial" w:eastAsia="Arial" w:hAnsi="Arial"/>
                <w:sz w:val="11"/>
                <w:szCs w:val="11"/>
                <w:color w:val="auto"/>
              </w:rPr>
              <w:t>417,927</w:t>
            </w:r>
          </w:p>
        </w:tc>
        <w:tc>
          <w:tcPr>
            <w:tcW w:w="120" w:type="dxa"/>
            <w:vAlign w:val="bottom"/>
          </w:tcPr>
          <w:p>
            <w:pPr>
              <w:spacing w:after="0"/>
              <w:rPr>
                <w:sz w:val="13"/>
                <w:szCs w:val="13"/>
                <w:color w:val="auto"/>
              </w:rPr>
            </w:pPr>
          </w:p>
        </w:tc>
        <w:tc>
          <w:tcPr>
            <w:tcW w:w="1100" w:type="dxa"/>
            <w:vAlign w:val="bottom"/>
            <w:gridSpan w:val="2"/>
            <w:vMerge w:val="restart"/>
          </w:tcPr>
          <w:p>
            <w:pPr>
              <w:ind w:left="780"/>
              <w:spacing w:after="0"/>
              <w:rPr>
                <w:sz w:val="20"/>
                <w:szCs w:val="20"/>
                <w:color w:val="auto"/>
              </w:rPr>
            </w:pPr>
            <w:r>
              <w:rPr>
                <w:rFonts w:ascii="Arial" w:cs="Arial" w:eastAsia="Arial" w:hAnsi="Arial"/>
                <w:sz w:val="11"/>
                <w:szCs w:val="11"/>
                <w:color w:val="auto"/>
              </w:rPr>
              <w:t>—</w:t>
            </w:r>
          </w:p>
        </w:tc>
        <w:tc>
          <w:tcPr>
            <w:tcW w:w="960" w:type="dxa"/>
            <w:vAlign w:val="bottom"/>
            <w:vMerge w:val="restart"/>
          </w:tcPr>
          <w:p>
            <w:pPr>
              <w:jc w:val="right"/>
              <w:spacing w:after="0"/>
              <w:rPr>
                <w:sz w:val="20"/>
                <w:szCs w:val="20"/>
                <w:color w:val="auto"/>
              </w:rPr>
            </w:pPr>
            <w:r>
              <w:rPr>
                <w:rFonts w:ascii="Arial" w:cs="Arial" w:eastAsia="Arial" w:hAnsi="Arial"/>
                <w:sz w:val="11"/>
                <w:szCs w:val="11"/>
                <w:color w:val="auto"/>
              </w:rPr>
              <w:t>25,312</w:t>
            </w:r>
          </w:p>
        </w:tc>
        <w:tc>
          <w:tcPr>
            <w:tcW w:w="18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1"/>
                <w:szCs w:val="11"/>
                <w:color w:val="auto"/>
              </w:rPr>
              <w:t>34,157</w:t>
            </w:r>
          </w:p>
        </w:tc>
        <w:tc>
          <w:tcPr>
            <w:tcW w:w="180" w:type="dxa"/>
            <w:vAlign w:val="bottom"/>
          </w:tcPr>
          <w:p>
            <w:pPr>
              <w:spacing w:after="0"/>
              <w:rPr>
                <w:sz w:val="13"/>
                <w:szCs w:val="13"/>
                <w:color w:val="auto"/>
              </w:rPr>
            </w:pPr>
          </w:p>
        </w:tc>
        <w:tc>
          <w:tcPr>
            <w:tcW w:w="940" w:type="dxa"/>
            <w:vAlign w:val="bottom"/>
            <w:vMerge w:val="restart"/>
          </w:tcPr>
          <w:p>
            <w:pPr>
              <w:jc w:val="right"/>
              <w:ind w:right="3"/>
              <w:spacing w:after="0"/>
              <w:rPr>
                <w:sz w:val="20"/>
                <w:szCs w:val="20"/>
                <w:color w:val="auto"/>
              </w:rPr>
            </w:pPr>
            <w:r>
              <w:rPr>
                <w:rFonts w:ascii="Arial" w:cs="Arial" w:eastAsia="Arial" w:hAnsi="Arial"/>
                <w:sz w:val="11"/>
                <w:szCs w:val="11"/>
                <w:color w:val="auto"/>
              </w:rPr>
              <w:t>477,396</w:t>
            </w:r>
          </w:p>
        </w:tc>
        <w:tc>
          <w:tcPr>
            <w:tcW w:w="0" w:type="dxa"/>
            <w:vAlign w:val="bottom"/>
          </w:tcPr>
          <w:p>
            <w:pPr>
              <w:spacing w:after="0"/>
              <w:rPr>
                <w:sz w:val="1"/>
                <w:szCs w:val="1"/>
                <w:color w:val="auto"/>
              </w:rPr>
            </w:pPr>
          </w:p>
        </w:tc>
      </w:tr>
      <w:tr>
        <w:trPr>
          <w:trHeight w:val="140"/>
        </w:trPr>
        <w:tc>
          <w:tcPr>
            <w:tcW w:w="3720" w:type="dxa"/>
            <w:vAlign w:val="bottom"/>
            <w:gridSpan w:val="2"/>
          </w:tcPr>
          <w:p>
            <w:pPr>
              <w:ind w:left="300"/>
              <w:spacing w:after="0"/>
              <w:rPr>
                <w:sz w:val="20"/>
                <w:szCs w:val="20"/>
                <w:color w:val="auto"/>
              </w:rPr>
            </w:pPr>
            <w:r>
              <w:rPr>
                <w:rFonts w:ascii="Arial" w:cs="Arial" w:eastAsia="Arial" w:hAnsi="Arial"/>
                <w:sz w:val="11"/>
                <w:szCs w:val="11"/>
                <w:b w:val="1"/>
                <w:bCs w:val="1"/>
                <w:color w:val="auto"/>
              </w:rPr>
              <w:t>Suburbs</w:t>
            </w:r>
          </w:p>
        </w:tc>
        <w:tc>
          <w:tcPr>
            <w:tcW w:w="6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3720" w:type="dxa"/>
            <w:vAlign w:val="bottom"/>
            <w:gridSpan w:val="2"/>
            <w:shd w:val="clear" w:color="auto" w:fill="CCEEFF"/>
          </w:tcPr>
          <w:p>
            <w:pPr>
              <w:ind w:left="220"/>
              <w:spacing w:after="0"/>
              <w:rPr>
                <w:sz w:val="20"/>
                <w:szCs w:val="20"/>
                <w:color w:val="auto"/>
              </w:rPr>
            </w:pPr>
            <w:r>
              <w:rPr>
                <w:rFonts w:ascii="Arial" w:cs="Arial" w:eastAsia="Arial" w:hAnsi="Arial"/>
                <w:sz w:val="11"/>
                <w:szCs w:val="11"/>
                <w:i w:val="1"/>
                <w:iCs w:val="1"/>
                <w:color w:val="auto"/>
              </w:rPr>
              <w:t>311 Arsenal Street, 500 North Beacon Street, and 4 Kingsbury</w:t>
            </w: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3720" w:type="dxa"/>
            <w:vAlign w:val="bottom"/>
            <w:gridSpan w:val="2"/>
            <w:shd w:val="clear" w:color="auto" w:fill="CCEEFF"/>
          </w:tcPr>
          <w:p>
            <w:pPr>
              <w:ind w:left="360"/>
              <w:spacing w:after="0"/>
              <w:rPr>
                <w:sz w:val="20"/>
                <w:szCs w:val="20"/>
                <w:color w:val="auto"/>
              </w:rPr>
            </w:pPr>
            <w:r>
              <w:rPr>
                <w:rFonts w:ascii="Arial" w:cs="Arial" w:eastAsia="Arial" w:hAnsi="Arial"/>
                <w:sz w:val="11"/>
                <w:szCs w:val="11"/>
                <w:i w:val="1"/>
                <w:iCs w:val="1"/>
                <w:color w:val="auto"/>
              </w:rPr>
              <w:t>Avenue</w:t>
            </w: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720" w:type="dxa"/>
            <w:vAlign w:val="bottom"/>
            <w:gridSpan w:val="2"/>
          </w:tcPr>
          <w:p>
            <w:pPr>
              <w:ind w:left="160"/>
              <w:spacing w:after="0"/>
              <w:rPr>
                <w:sz w:val="20"/>
                <w:szCs w:val="20"/>
                <w:color w:val="auto"/>
              </w:rPr>
            </w:pPr>
            <w:r>
              <w:rPr>
                <w:rFonts w:ascii="Arial" w:cs="Arial" w:eastAsia="Arial" w:hAnsi="Arial"/>
                <w:sz w:val="11"/>
                <w:szCs w:val="11"/>
                <w:color w:val="auto"/>
              </w:rPr>
              <w:t>99 Coolidge Avenue/Cambridge/Inner Suburbs</w:t>
            </w:r>
          </w:p>
        </w:tc>
        <w:tc>
          <w:tcPr>
            <w:tcW w:w="680" w:type="dxa"/>
            <w:vAlign w:val="bottom"/>
          </w:tcPr>
          <w:p>
            <w:pPr>
              <w:jc w:val="right"/>
              <w:ind w:right="165"/>
              <w:spacing w:after="0"/>
              <w:rPr>
                <w:sz w:val="20"/>
                <w:szCs w:val="20"/>
                <w:color w:val="auto"/>
              </w:rPr>
            </w:pPr>
            <w:r>
              <w:rPr>
                <w:rFonts w:ascii="Arial" w:cs="Arial" w:eastAsia="Arial" w:hAnsi="Arial"/>
                <w:sz w:val="11"/>
                <w:szCs w:val="11"/>
                <w:color w:val="auto"/>
              </w:rPr>
              <w:t>75.0%</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184,887</w:t>
            </w:r>
          </w:p>
        </w:tc>
        <w:tc>
          <w:tcPr>
            <w:tcW w:w="200" w:type="dxa"/>
            <w:vAlign w:val="bottom"/>
          </w:tcPr>
          <w:p>
            <w:pPr>
              <w:spacing w:after="0"/>
              <w:rPr>
                <w:sz w:val="14"/>
                <w:szCs w:val="14"/>
                <w:color w:val="auto"/>
              </w:rPr>
            </w:pPr>
          </w:p>
        </w:tc>
        <w:tc>
          <w:tcPr>
            <w:tcW w:w="940" w:type="dxa"/>
            <w:vAlign w:val="bottom"/>
          </w:tcPr>
          <w:p>
            <w:pPr>
              <w:jc w:val="right"/>
              <w:ind w:right="3"/>
              <w:spacing w:after="0"/>
              <w:rPr>
                <w:sz w:val="20"/>
                <w:szCs w:val="20"/>
                <w:color w:val="auto"/>
              </w:rPr>
            </w:pPr>
            <w:r>
              <w:rPr>
                <w:rFonts w:ascii="Arial" w:cs="Arial" w:eastAsia="Arial" w:hAnsi="Arial"/>
                <w:sz w:val="11"/>
                <w:szCs w:val="11"/>
                <w:color w:val="auto"/>
              </w:rPr>
              <w:t>204,395</w:t>
            </w:r>
          </w:p>
        </w:tc>
        <w:tc>
          <w:tcPr>
            <w:tcW w:w="120" w:type="dxa"/>
            <w:vAlign w:val="bottom"/>
          </w:tcPr>
          <w:p>
            <w:pPr>
              <w:spacing w:after="0"/>
              <w:rPr>
                <w:sz w:val="14"/>
                <w:szCs w:val="14"/>
                <w:color w:val="auto"/>
              </w:rPr>
            </w:pPr>
          </w:p>
        </w:tc>
        <w:tc>
          <w:tcPr>
            <w:tcW w:w="1100" w:type="dxa"/>
            <w:vAlign w:val="bottom"/>
            <w:gridSpan w:val="2"/>
          </w:tcPr>
          <w:p>
            <w:pPr>
              <w:ind w:left="780"/>
              <w:spacing w:after="0"/>
              <w:rPr>
                <w:sz w:val="20"/>
                <w:szCs w:val="20"/>
                <w:color w:val="auto"/>
              </w:rPr>
            </w:pPr>
            <w:r>
              <w:rPr>
                <w:rFonts w:ascii="Arial" w:cs="Arial" w:eastAsia="Arial" w:hAnsi="Arial"/>
                <w:sz w:val="11"/>
                <w:szCs w:val="11"/>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940" w:type="dxa"/>
            <w:vAlign w:val="bottom"/>
          </w:tcPr>
          <w:p>
            <w:pPr>
              <w:jc w:val="right"/>
              <w:ind w:right="3"/>
              <w:spacing w:after="0"/>
              <w:rPr>
                <w:sz w:val="20"/>
                <w:szCs w:val="20"/>
                <w:color w:val="auto"/>
              </w:rPr>
            </w:pPr>
            <w:r>
              <w:rPr>
                <w:rFonts w:ascii="Arial" w:cs="Arial" w:eastAsia="Arial" w:hAnsi="Arial"/>
                <w:sz w:val="11"/>
                <w:szCs w:val="11"/>
                <w:color w:val="auto"/>
              </w:rPr>
              <w:t>204,395</w:t>
            </w:r>
          </w:p>
        </w:tc>
        <w:tc>
          <w:tcPr>
            <w:tcW w:w="0" w:type="dxa"/>
            <w:vAlign w:val="bottom"/>
          </w:tcPr>
          <w:p>
            <w:pPr>
              <w:spacing w:after="0"/>
              <w:rPr>
                <w:sz w:val="1"/>
                <w:szCs w:val="1"/>
                <w:color w:val="auto"/>
              </w:rPr>
            </w:pPr>
          </w:p>
        </w:tc>
      </w:tr>
      <w:tr>
        <w:trPr>
          <w:trHeight w:val="150"/>
        </w:trPr>
        <w:tc>
          <w:tcPr>
            <w:tcW w:w="3720" w:type="dxa"/>
            <w:vAlign w:val="bottom"/>
            <w:gridSpan w:val="2"/>
            <w:shd w:val="clear" w:color="auto" w:fill="CCEEFF"/>
          </w:tcPr>
          <w:p>
            <w:pPr>
              <w:ind w:left="160"/>
              <w:spacing w:after="0" w:line="151" w:lineRule="exact"/>
              <w:rPr>
                <w:sz w:val="20"/>
                <w:szCs w:val="20"/>
                <w:color w:val="auto"/>
              </w:rPr>
            </w:pPr>
            <w:r>
              <w:rPr>
                <w:rFonts w:ascii="Arial" w:cs="Arial" w:eastAsia="Arial" w:hAnsi="Arial"/>
                <w:sz w:val="11"/>
                <w:szCs w:val="11"/>
                <w:b w:val="1"/>
                <w:bCs w:val="1"/>
                <w:color w:val="auto"/>
              </w:rPr>
              <w:t>Mega Campus: Alexandria Center</w:t>
            </w:r>
            <w:r>
              <w:rPr>
                <w:rFonts w:ascii="Arial" w:cs="Arial" w:eastAsia="Arial" w:hAnsi="Arial"/>
                <w:sz w:val="14"/>
                <w:szCs w:val="14"/>
                <w:b w:val="1"/>
                <w:bCs w:val="1"/>
                <w:color w:val="auto"/>
                <w:vertAlign w:val="superscript"/>
              </w:rPr>
              <w:t>®</w:t>
            </w:r>
            <w:r>
              <w:rPr>
                <w:rFonts w:ascii="Arial" w:cs="Arial" w:eastAsia="Arial" w:hAnsi="Arial"/>
                <w:sz w:val="11"/>
                <w:szCs w:val="11"/>
                <w:b w:val="1"/>
                <w:bCs w:val="1"/>
                <w:color w:val="auto"/>
              </w:rPr>
              <w:t xml:space="preserve"> for Life Science – Fenway/</w:t>
            </w:r>
          </w:p>
        </w:tc>
        <w:tc>
          <w:tcPr>
            <w:tcW w:w="680" w:type="dxa"/>
            <w:vAlign w:val="bottom"/>
            <w:shd w:val="clear" w:color="auto" w:fill="CCEEFF"/>
          </w:tcPr>
          <w:p>
            <w:pPr>
              <w:jc w:val="right"/>
              <w:ind w:right="165"/>
              <w:spacing w:after="0"/>
              <w:rPr>
                <w:sz w:val="20"/>
                <w:szCs w:val="20"/>
                <w:color w:val="auto"/>
              </w:rPr>
            </w:pPr>
            <w:r>
              <w:rPr>
                <w:rFonts w:ascii="Arial" w:cs="Arial" w:eastAsia="Arial" w:hAnsi="Arial"/>
                <w:sz w:val="7"/>
                <w:szCs w:val="7"/>
                <w:color w:val="auto"/>
              </w:rPr>
              <w:t>(2)</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643,052</w:t>
            </w:r>
          </w:p>
        </w:tc>
        <w:tc>
          <w:tcPr>
            <w:tcW w:w="20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610,119</w:t>
            </w:r>
          </w:p>
        </w:tc>
        <w:tc>
          <w:tcPr>
            <w:tcW w:w="120" w:type="dxa"/>
            <w:vAlign w:val="bottom"/>
            <w:shd w:val="clear" w:color="auto" w:fill="CCEEFF"/>
          </w:tcPr>
          <w:p>
            <w:pPr>
              <w:spacing w:after="0"/>
              <w:rPr>
                <w:sz w:val="13"/>
                <w:szCs w:val="13"/>
                <w:color w:val="auto"/>
              </w:rPr>
            </w:pPr>
          </w:p>
        </w:tc>
        <w:tc>
          <w:tcPr>
            <w:tcW w:w="1100" w:type="dxa"/>
            <w:vAlign w:val="bottom"/>
            <w:gridSpan w:val="2"/>
            <w:vMerge w:val="restart"/>
            <w:shd w:val="clear" w:color="auto" w:fill="CCEEFF"/>
          </w:tcPr>
          <w:p>
            <w:pPr>
              <w:ind w:left="780"/>
              <w:spacing w:after="0"/>
              <w:rPr>
                <w:sz w:val="20"/>
                <w:szCs w:val="20"/>
                <w:color w:val="auto"/>
              </w:rPr>
            </w:pPr>
            <w:r>
              <w:rPr>
                <w:rFonts w:ascii="Arial" w:cs="Arial" w:eastAsia="Arial" w:hAnsi="Arial"/>
                <w:sz w:val="11"/>
                <w:szCs w:val="11"/>
                <w:color w:val="auto"/>
              </w:rPr>
              <w:t>—</w:t>
            </w:r>
          </w:p>
        </w:tc>
        <w:tc>
          <w:tcPr>
            <w:tcW w:w="11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1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94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610,119</w:t>
            </w:r>
          </w:p>
        </w:tc>
        <w:tc>
          <w:tcPr>
            <w:tcW w:w="0" w:type="dxa"/>
            <w:vAlign w:val="bottom"/>
          </w:tcPr>
          <w:p>
            <w:pPr>
              <w:spacing w:after="0"/>
              <w:rPr>
                <w:sz w:val="1"/>
                <w:szCs w:val="1"/>
                <w:color w:val="auto"/>
              </w:rPr>
            </w:pPr>
          </w:p>
        </w:tc>
      </w:tr>
      <w:tr>
        <w:trPr>
          <w:trHeight w:val="140"/>
        </w:trPr>
        <w:tc>
          <w:tcPr>
            <w:tcW w:w="3720" w:type="dxa"/>
            <w:vAlign w:val="bottom"/>
            <w:gridSpan w:val="2"/>
            <w:shd w:val="clear" w:color="auto" w:fill="CCEEFF"/>
          </w:tcPr>
          <w:p>
            <w:pPr>
              <w:ind w:left="300"/>
              <w:spacing w:after="0"/>
              <w:rPr>
                <w:sz w:val="20"/>
                <w:szCs w:val="20"/>
                <w:color w:val="auto"/>
              </w:rPr>
            </w:pPr>
            <w:r>
              <w:rPr>
                <w:rFonts w:ascii="Arial" w:cs="Arial" w:eastAsia="Arial" w:hAnsi="Arial"/>
                <w:sz w:val="11"/>
                <w:szCs w:val="11"/>
                <w:b w:val="1"/>
                <w:bCs w:val="1"/>
                <w:color w:val="auto"/>
              </w:rPr>
              <w:t>Fenway</w:t>
            </w: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vMerge w:val="continue"/>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gridSpan w:val="2"/>
            <w:vMerge w:val="continue"/>
            <w:shd w:val="clear" w:color="auto" w:fill="CCEEFF"/>
          </w:tcPr>
          <w:p>
            <w:pPr>
              <w:spacing w:after="0"/>
              <w:rPr>
                <w:sz w:val="12"/>
                <w:szCs w:val="12"/>
                <w:color w:val="auto"/>
              </w:rPr>
            </w:pPr>
          </w:p>
        </w:tc>
        <w:tc>
          <w:tcPr>
            <w:tcW w:w="1140" w:type="dxa"/>
            <w:vAlign w:val="bottom"/>
            <w:gridSpan w:val="2"/>
            <w:vMerge w:val="continue"/>
            <w:shd w:val="clear" w:color="auto" w:fill="CCEEFF"/>
          </w:tcPr>
          <w:p>
            <w:pPr>
              <w:spacing w:after="0"/>
              <w:rPr>
                <w:sz w:val="12"/>
                <w:szCs w:val="12"/>
                <w:color w:val="auto"/>
              </w:rPr>
            </w:pPr>
          </w:p>
        </w:tc>
        <w:tc>
          <w:tcPr>
            <w:tcW w:w="1120" w:type="dxa"/>
            <w:vAlign w:val="bottom"/>
            <w:gridSpan w:val="2"/>
            <w:vMerge w:val="continue"/>
            <w:shd w:val="clear" w:color="auto" w:fill="CCEEFF"/>
          </w:tcPr>
          <w:p>
            <w:pPr>
              <w:spacing w:after="0"/>
              <w:rPr>
                <w:sz w:val="12"/>
                <w:szCs w:val="12"/>
                <w:color w:val="auto"/>
              </w:rPr>
            </w:pPr>
          </w:p>
        </w:tc>
        <w:tc>
          <w:tcPr>
            <w:tcW w:w="94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720" w:type="dxa"/>
            <w:vAlign w:val="bottom"/>
            <w:gridSpan w:val="2"/>
          </w:tcPr>
          <w:p>
            <w:pPr>
              <w:ind w:left="220"/>
              <w:spacing w:after="0"/>
              <w:rPr>
                <w:sz w:val="20"/>
                <w:szCs w:val="20"/>
                <w:color w:val="auto"/>
              </w:rPr>
            </w:pPr>
            <w:r>
              <w:rPr>
                <w:rFonts w:ascii="Arial" w:cs="Arial" w:eastAsia="Arial" w:hAnsi="Arial"/>
                <w:sz w:val="11"/>
                <w:szCs w:val="11"/>
                <w:i w:val="1"/>
                <w:iCs w:val="1"/>
                <w:color w:val="auto"/>
              </w:rPr>
              <w:t>201 Brookline Avenue and 401 and 421 Park Drive</w:t>
            </w: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720" w:type="dxa"/>
            <w:vAlign w:val="bottom"/>
            <w:gridSpan w:val="2"/>
            <w:shd w:val="clear" w:color="auto" w:fill="CCEEFF"/>
          </w:tcPr>
          <w:p>
            <w:pPr>
              <w:ind w:left="160"/>
              <w:spacing w:after="0" w:line="153" w:lineRule="exact"/>
              <w:rPr>
                <w:sz w:val="20"/>
                <w:szCs w:val="20"/>
                <w:color w:val="auto"/>
              </w:rPr>
            </w:pPr>
            <w:r>
              <w:rPr>
                <w:rFonts w:ascii="Arial" w:cs="Arial" w:eastAsia="Arial" w:hAnsi="Arial"/>
                <w:sz w:val="11"/>
                <w:szCs w:val="11"/>
                <w:b w:val="1"/>
                <w:bCs w:val="1"/>
                <w:color w:val="auto"/>
              </w:rPr>
              <w:t>Mega Campus: Alexandria Center</w:t>
            </w:r>
            <w:r>
              <w:rPr>
                <w:rFonts w:ascii="Arial" w:cs="Arial" w:eastAsia="Arial" w:hAnsi="Arial"/>
                <w:sz w:val="14"/>
                <w:szCs w:val="14"/>
                <w:b w:val="1"/>
                <w:bCs w:val="1"/>
                <w:color w:val="auto"/>
                <w:vertAlign w:val="superscript"/>
              </w:rPr>
              <w:t>®</w:t>
            </w:r>
            <w:r>
              <w:rPr>
                <w:rFonts w:ascii="Arial" w:cs="Arial" w:eastAsia="Arial" w:hAnsi="Arial"/>
                <w:sz w:val="11"/>
                <w:szCs w:val="11"/>
                <w:b w:val="1"/>
                <w:bCs w:val="1"/>
                <w:color w:val="auto"/>
              </w:rPr>
              <w:t xml:space="preserve"> for Life Science – Waltham/</w:t>
            </w:r>
          </w:p>
        </w:tc>
        <w:tc>
          <w:tcPr>
            <w:tcW w:w="680" w:type="dxa"/>
            <w:vAlign w:val="bottom"/>
            <w:vMerge w:val="restart"/>
            <w:shd w:val="clear" w:color="auto" w:fill="CCEEFF"/>
          </w:tcPr>
          <w:p>
            <w:pPr>
              <w:jc w:val="right"/>
              <w:ind w:right="165"/>
              <w:spacing w:after="0"/>
              <w:rPr>
                <w:sz w:val="20"/>
                <w:szCs w:val="20"/>
                <w:color w:val="auto"/>
              </w:rPr>
            </w:pPr>
            <w:r>
              <w:rPr>
                <w:rFonts w:ascii="Arial" w:cs="Arial" w:eastAsia="Arial" w:hAnsi="Arial"/>
                <w:sz w:val="11"/>
                <w:szCs w:val="11"/>
                <w:color w:val="auto"/>
              </w:rPr>
              <w:t>100%</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665,082</w:t>
            </w:r>
          </w:p>
        </w:tc>
        <w:tc>
          <w:tcPr>
            <w:tcW w:w="20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716,604</w:t>
            </w:r>
          </w:p>
        </w:tc>
        <w:tc>
          <w:tcPr>
            <w:tcW w:w="120" w:type="dxa"/>
            <w:vAlign w:val="bottom"/>
            <w:shd w:val="clear" w:color="auto" w:fill="CCEEFF"/>
          </w:tcPr>
          <w:p>
            <w:pPr>
              <w:spacing w:after="0"/>
              <w:rPr>
                <w:sz w:val="13"/>
                <w:szCs w:val="13"/>
                <w:color w:val="auto"/>
              </w:rPr>
            </w:pPr>
          </w:p>
        </w:tc>
        <w:tc>
          <w:tcPr>
            <w:tcW w:w="1100" w:type="dxa"/>
            <w:vAlign w:val="bottom"/>
            <w:gridSpan w:val="2"/>
            <w:vMerge w:val="restart"/>
            <w:shd w:val="clear" w:color="auto" w:fill="CCEEFF"/>
          </w:tcPr>
          <w:p>
            <w:pPr>
              <w:ind w:left="780"/>
              <w:spacing w:after="0"/>
              <w:rPr>
                <w:sz w:val="20"/>
                <w:szCs w:val="20"/>
                <w:color w:val="auto"/>
              </w:rPr>
            </w:pPr>
            <w:r>
              <w:rPr>
                <w:rFonts w:ascii="Arial" w:cs="Arial" w:eastAsia="Arial" w:hAnsi="Arial"/>
                <w:sz w:val="11"/>
                <w:szCs w:val="11"/>
                <w:color w:val="auto"/>
              </w:rPr>
              <w:t>—</w:t>
            </w:r>
          </w:p>
        </w:tc>
        <w:tc>
          <w:tcPr>
            <w:tcW w:w="11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515,000</w:t>
            </w:r>
          </w:p>
        </w:tc>
        <w:tc>
          <w:tcPr>
            <w:tcW w:w="18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1,231,604</w:t>
            </w:r>
          </w:p>
        </w:tc>
        <w:tc>
          <w:tcPr>
            <w:tcW w:w="0" w:type="dxa"/>
            <w:vAlign w:val="bottom"/>
          </w:tcPr>
          <w:p>
            <w:pPr>
              <w:spacing w:after="0"/>
              <w:rPr>
                <w:sz w:val="1"/>
                <w:szCs w:val="1"/>
                <w:color w:val="auto"/>
              </w:rPr>
            </w:pPr>
          </w:p>
        </w:tc>
      </w:tr>
      <w:tr>
        <w:trPr>
          <w:trHeight w:val="148"/>
        </w:trPr>
        <w:tc>
          <w:tcPr>
            <w:tcW w:w="3720" w:type="dxa"/>
            <w:vAlign w:val="bottom"/>
            <w:gridSpan w:val="2"/>
            <w:shd w:val="clear" w:color="auto" w:fill="CCEEFF"/>
          </w:tcPr>
          <w:p>
            <w:pPr>
              <w:ind w:left="300"/>
              <w:spacing w:after="0"/>
              <w:rPr>
                <w:sz w:val="20"/>
                <w:szCs w:val="20"/>
                <w:color w:val="auto"/>
              </w:rPr>
            </w:pPr>
            <w:r>
              <w:rPr>
                <w:rFonts w:ascii="Arial" w:cs="Arial" w:eastAsia="Arial" w:hAnsi="Arial"/>
                <w:sz w:val="11"/>
                <w:szCs w:val="11"/>
                <w:b w:val="1"/>
                <w:bCs w:val="1"/>
                <w:color w:val="auto"/>
              </w:rPr>
              <w:t>Route 128</w:t>
            </w:r>
          </w:p>
        </w:tc>
        <w:tc>
          <w:tcPr>
            <w:tcW w:w="68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vMerge w:val="continue"/>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gridSpan w:val="2"/>
            <w:vMerge w:val="continue"/>
            <w:shd w:val="clear" w:color="auto" w:fill="CCEEFF"/>
          </w:tcPr>
          <w:p>
            <w:pPr>
              <w:spacing w:after="0"/>
              <w:rPr>
                <w:sz w:val="12"/>
                <w:szCs w:val="12"/>
                <w:color w:val="auto"/>
              </w:rPr>
            </w:pPr>
          </w:p>
        </w:tc>
        <w:tc>
          <w:tcPr>
            <w:tcW w:w="1140" w:type="dxa"/>
            <w:vAlign w:val="bottom"/>
            <w:gridSpan w:val="2"/>
            <w:vMerge w:val="continue"/>
            <w:shd w:val="clear" w:color="auto" w:fill="CCEEFF"/>
          </w:tcPr>
          <w:p>
            <w:pPr>
              <w:spacing w:after="0"/>
              <w:rPr>
                <w:sz w:val="12"/>
                <w:szCs w:val="12"/>
                <w:color w:val="auto"/>
              </w:rPr>
            </w:pPr>
          </w:p>
        </w:tc>
        <w:tc>
          <w:tcPr>
            <w:tcW w:w="940" w:type="dxa"/>
            <w:vAlign w:val="bottom"/>
            <w:vMerge w:val="continue"/>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3720" w:type="dxa"/>
            <w:vAlign w:val="bottom"/>
            <w:gridSpan w:val="2"/>
          </w:tcPr>
          <w:p>
            <w:pPr>
              <w:ind w:left="220"/>
              <w:spacing w:after="0"/>
              <w:rPr>
                <w:sz w:val="20"/>
                <w:szCs w:val="20"/>
                <w:color w:val="auto"/>
              </w:rPr>
            </w:pPr>
            <w:r>
              <w:rPr>
                <w:rFonts w:ascii="Arial" w:cs="Arial" w:eastAsia="Arial" w:hAnsi="Arial"/>
                <w:sz w:val="11"/>
                <w:szCs w:val="11"/>
                <w:i w:val="1"/>
                <w:iCs w:val="1"/>
                <w:color w:val="auto"/>
              </w:rPr>
              <w:t>40, 50, and 60 Sylvan Road, 35 Gatehouse Drive, and 840 Winter</w:t>
            </w: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3720" w:type="dxa"/>
            <w:vAlign w:val="bottom"/>
            <w:gridSpan w:val="2"/>
          </w:tcPr>
          <w:p>
            <w:pPr>
              <w:ind w:left="360"/>
              <w:spacing w:after="0"/>
              <w:rPr>
                <w:sz w:val="20"/>
                <w:szCs w:val="20"/>
                <w:color w:val="auto"/>
              </w:rPr>
            </w:pPr>
            <w:r>
              <w:rPr>
                <w:rFonts w:ascii="Arial" w:cs="Arial" w:eastAsia="Arial" w:hAnsi="Arial"/>
                <w:sz w:val="11"/>
                <w:szCs w:val="11"/>
                <w:i w:val="1"/>
                <w:iCs w:val="1"/>
                <w:color w:val="auto"/>
              </w:rPr>
              <w:t>Street</w:t>
            </w: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720" w:type="dxa"/>
            <w:vAlign w:val="bottom"/>
            <w:gridSpan w:val="2"/>
            <w:shd w:val="clear" w:color="auto" w:fill="CCEEFF"/>
          </w:tcPr>
          <w:p>
            <w:pPr>
              <w:ind w:left="160"/>
              <w:spacing w:after="0" w:line="153" w:lineRule="exact"/>
              <w:rPr>
                <w:sz w:val="20"/>
                <w:szCs w:val="20"/>
                <w:color w:val="auto"/>
              </w:rPr>
            </w:pPr>
            <w:r>
              <w:rPr>
                <w:rFonts w:ascii="Arial" w:cs="Arial" w:eastAsia="Arial" w:hAnsi="Arial"/>
                <w:sz w:val="11"/>
                <w:szCs w:val="11"/>
                <w:b w:val="1"/>
                <w:bCs w:val="1"/>
                <w:color w:val="auto"/>
              </w:rPr>
              <w:t>Mega Campus: Alexandria Center</w:t>
            </w:r>
            <w:r>
              <w:rPr>
                <w:rFonts w:ascii="Arial" w:cs="Arial" w:eastAsia="Arial" w:hAnsi="Arial"/>
                <w:sz w:val="14"/>
                <w:szCs w:val="14"/>
                <w:b w:val="1"/>
                <w:bCs w:val="1"/>
                <w:color w:val="auto"/>
                <w:vertAlign w:val="superscript"/>
              </w:rPr>
              <w:t>®</w:t>
            </w:r>
            <w:r>
              <w:rPr>
                <w:rFonts w:ascii="Arial" w:cs="Arial" w:eastAsia="Arial" w:hAnsi="Arial"/>
                <w:sz w:val="11"/>
                <w:szCs w:val="11"/>
                <w:b w:val="1"/>
                <w:bCs w:val="1"/>
                <w:color w:val="auto"/>
              </w:rPr>
              <w:t xml:space="preserve"> at Kendall Square/</w:t>
            </w:r>
          </w:p>
        </w:tc>
        <w:tc>
          <w:tcPr>
            <w:tcW w:w="680" w:type="dxa"/>
            <w:vAlign w:val="bottom"/>
            <w:vMerge w:val="restart"/>
            <w:shd w:val="clear" w:color="auto" w:fill="CCEEFF"/>
          </w:tcPr>
          <w:p>
            <w:pPr>
              <w:jc w:val="right"/>
              <w:ind w:right="165"/>
              <w:spacing w:after="0"/>
              <w:rPr>
                <w:sz w:val="20"/>
                <w:szCs w:val="20"/>
                <w:color w:val="auto"/>
              </w:rPr>
            </w:pPr>
            <w:r>
              <w:rPr>
                <w:rFonts w:ascii="Arial" w:cs="Arial" w:eastAsia="Arial" w:hAnsi="Arial"/>
                <w:sz w:val="11"/>
                <w:szCs w:val="11"/>
                <w:color w:val="auto"/>
              </w:rPr>
              <w:t>100%</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124,868</w:t>
            </w:r>
          </w:p>
        </w:tc>
        <w:tc>
          <w:tcPr>
            <w:tcW w:w="200" w:type="dxa"/>
            <w:vAlign w:val="bottom"/>
            <w:shd w:val="clear" w:color="auto" w:fill="CCEEFF"/>
          </w:tcPr>
          <w:p>
            <w:pPr>
              <w:spacing w:after="0"/>
              <w:rPr>
                <w:sz w:val="13"/>
                <w:szCs w:val="13"/>
                <w:color w:val="auto"/>
              </w:rPr>
            </w:pPr>
          </w:p>
        </w:tc>
        <w:tc>
          <w:tcPr>
            <w:tcW w:w="10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1100" w:type="dxa"/>
            <w:vAlign w:val="bottom"/>
            <w:gridSpan w:val="2"/>
            <w:vMerge w:val="restart"/>
            <w:shd w:val="clear" w:color="auto" w:fill="CCEEFF"/>
          </w:tcPr>
          <w:p>
            <w:pPr>
              <w:ind w:left="780"/>
              <w:spacing w:after="0"/>
              <w:rPr>
                <w:sz w:val="20"/>
                <w:szCs w:val="20"/>
                <w:color w:val="auto"/>
              </w:rPr>
            </w:pPr>
            <w:r>
              <w:rPr>
                <w:rFonts w:ascii="Arial" w:cs="Arial" w:eastAsia="Arial" w:hAnsi="Arial"/>
                <w:sz w:val="11"/>
                <w:szCs w:val="11"/>
                <w:color w:val="auto"/>
              </w:rPr>
              <w:t>—</w:t>
            </w:r>
          </w:p>
        </w:tc>
        <w:tc>
          <w:tcPr>
            <w:tcW w:w="11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216,455</w:t>
            </w:r>
          </w:p>
        </w:tc>
        <w:tc>
          <w:tcPr>
            <w:tcW w:w="18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216,455</w:t>
            </w:r>
          </w:p>
        </w:tc>
        <w:tc>
          <w:tcPr>
            <w:tcW w:w="0" w:type="dxa"/>
            <w:vAlign w:val="bottom"/>
          </w:tcPr>
          <w:p>
            <w:pPr>
              <w:spacing w:after="0"/>
              <w:rPr>
                <w:sz w:val="1"/>
                <w:szCs w:val="1"/>
                <w:color w:val="auto"/>
              </w:rPr>
            </w:pPr>
          </w:p>
        </w:tc>
      </w:tr>
      <w:tr>
        <w:trPr>
          <w:trHeight w:val="148"/>
        </w:trPr>
        <w:tc>
          <w:tcPr>
            <w:tcW w:w="3720" w:type="dxa"/>
            <w:vAlign w:val="bottom"/>
            <w:gridSpan w:val="2"/>
            <w:shd w:val="clear" w:color="auto" w:fill="CCEEFF"/>
          </w:tcPr>
          <w:p>
            <w:pPr>
              <w:ind w:left="300"/>
              <w:spacing w:after="0"/>
              <w:rPr>
                <w:sz w:val="20"/>
                <w:szCs w:val="20"/>
                <w:color w:val="auto"/>
              </w:rPr>
            </w:pPr>
            <w:r>
              <w:rPr>
                <w:rFonts w:ascii="Arial" w:cs="Arial" w:eastAsia="Arial" w:hAnsi="Arial"/>
                <w:sz w:val="11"/>
                <w:szCs w:val="11"/>
                <w:b w:val="1"/>
                <w:bCs w:val="1"/>
                <w:color w:val="auto"/>
              </w:rPr>
              <w:t>Cambridge</w:t>
            </w:r>
          </w:p>
        </w:tc>
        <w:tc>
          <w:tcPr>
            <w:tcW w:w="68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vMerge w:val="continue"/>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60" w:type="dxa"/>
            <w:vAlign w:val="bottom"/>
            <w:gridSpan w:val="2"/>
            <w:vMerge w:val="continue"/>
            <w:shd w:val="clear" w:color="auto" w:fill="CCEEFF"/>
          </w:tcPr>
          <w:p>
            <w:pPr>
              <w:spacing w:after="0"/>
              <w:rPr>
                <w:sz w:val="12"/>
                <w:szCs w:val="12"/>
                <w:color w:val="auto"/>
              </w:rPr>
            </w:pPr>
          </w:p>
        </w:tc>
        <w:tc>
          <w:tcPr>
            <w:tcW w:w="1100" w:type="dxa"/>
            <w:vAlign w:val="bottom"/>
            <w:gridSpan w:val="2"/>
            <w:vMerge w:val="continue"/>
            <w:shd w:val="clear" w:color="auto" w:fill="CCEEFF"/>
          </w:tcPr>
          <w:p>
            <w:pPr>
              <w:spacing w:after="0"/>
              <w:rPr>
                <w:sz w:val="12"/>
                <w:szCs w:val="12"/>
                <w:color w:val="auto"/>
              </w:rPr>
            </w:pPr>
          </w:p>
        </w:tc>
        <w:tc>
          <w:tcPr>
            <w:tcW w:w="1140" w:type="dxa"/>
            <w:vAlign w:val="bottom"/>
            <w:gridSpan w:val="2"/>
            <w:vMerge w:val="continue"/>
            <w:shd w:val="clear" w:color="auto" w:fill="CCEEFF"/>
          </w:tcPr>
          <w:p>
            <w:pPr>
              <w:spacing w:after="0"/>
              <w:rPr>
                <w:sz w:val="12"/>
                <w:szCs w:val="12"/>
                <w:color w:val="auto"/>
              </w:rPr>
            </w:pPr>
          </w:p>
        </w:tc>
        <w:tc>
          <w:tcPr>
            <w:tcW w:w="940" w:type="dxa"/>
            <w:vAlign w:val="bottom"/>
            <w:vMerge w:val="continue"/>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720" w:type="dxa"/>
            <w:vAlign w:val="bottom"/>
            <w:gridSpan w:val="2"/>
          </w:tcPr>
          <w:p>
            <w:pPr>
              <w:ind w:left="220"/>
              <w:spacing w:after="0"/>
              <w:rPr>
                <w:sz w:val="20"/>
                <w:szCs w:val="20"/>
                <w:color w:val="auto"/>
              </w:rPr>
            </w:pPr>
            <w:r>
              <w:rPr>
                <w:rFonts w:ascii="Arial" w:cs="Arial" w:eastAsia="Arial" w:hAnsi="Arial"/>
                <w:sz w:val="11"/>
                <w:szCs w:val="11"/>
                <w:i w:val="1"/>
                <w:iCs w:val="1"/>
                <w:color w:val="auto"/>
              </w:rPr>
              <w:t>100 Edwin H. Land Boulevard</w:t>
            </w: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720" w:type="dxa"/>
            <w:vAlign w:val="bottom"/>
            <w:gridSpan w:val="2"/>
            <w:shd w:val="clear" w:color="auto" w:fill="CCEEFF"/>
          </w:tcPr>
          <w:p>
            <w:pPr>
              <w:ind w:left="160"/>
              <w:spacing w:after="0"/>
              <w:rPr>
                <w:sz w:val="20"/>
                <w:szCs w:val="20"/>
                <w:color w:val="auto"/>
              </w:rPr>
            </w:pPr>
            <w:r>
              <w:rPr>
                <w:rFonts w:ascii="Arial" w:cs="Arial" w:eastAsia="Arial" w:hAnsi="Arial"/>
                <w:sz w:val="11"/>
                <w:szCs w:val="11"/>
                <w:b w:val="1"/>
                <w:bCs w:val="1"/>
                <w:color w:val="auto"/>
              </w:rPr>
              <w:t>Mega Campus: Alexandria Technology Square</w:t>
            </w:r>
            <w:r>
              <w:rPr>
                <w:rFonts w:ascii="Arial" w:cs="Arial" w:eastAsia="Arial" w:hAnsi="Arial"/>
                <w:sz w:val="14"/>
                <w:szCs w:val="14"/>
                <w:b w:val="1"/>
                <w:bCs w:val="1"/>
                <w:color w:val="auto"/>
                <w:vertAlign w:val="superscript"/>
              </w:rPr>
              <w:t>®</w:t>
            </w:r>
            <w:r>
              <w:rPr>
                <w:rFonts w:ascii="Arial" w:cs="Arial" w:eastAsia="Arial" w:hAnsi="Arial"/>
                <w:sz w:val="11"/>
                <w:szCs w:val="11"/>
                <w:b w:val="1"/>
                <w:bCs w:val="1"/>
                <w:color w:val="auto"/>
              </w:rPr>
              <w:t>/Cambridge</w:t>
            </w:r>
          </w:p>
        </w:tc>
        <w:tc>
          <w:tcPr>
            <w:tcW w:w="680" w:type="dxa"/>
            <w:vAlign w:val="bottom"/>
            <w:shd w:val="clear" w:color="auto" w:fill="CCEEFF"/>
          </w:tcPr>
          <w:p>
            <w:pPr>
              <w:jc w:val="right"/>
              <w:ind w:right="165"/>
              <w:spacing w:after="0"/>
              <w:rPr>
                <w:sz w:val="20"/>
                <w:szCs w:val="20"/>
                <w:color w:val="auto"/>
              </w:rPr>
            </w:pPr>
            <w:r>
              <w:rPr>
                <w:rFonts w:ascii="Arial" w:cs="Arial" w:eastAsia="Arial" w:hAnsi="Arial"/>
                <w:sz w:val="11"/>
                <w:szCs w:val="11"/>
                <w:color w:val="auto"/>
              </w:rPr>
              <w:t>100%</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7,881</w:t>
            </w:r>
          </w:p>
        </w:tc>
        <w:tc>
          <w:tcPr>
            <w:tcW w:w="2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1100" w:type="dxa"/>
            <w:vAlign w:val="bottom"/>
            <w:gridSpan w:val="2"/>
            <w:shd w:val="clear" w:color="auto" w:fill="CCEEFF"/>
          </w:tcPr>
          <w:p>
            <w:pPr>
              <w:ind w:left="780"/>
              <w:spacing w:after="0"/>
              <w:rPr>
                <w:sz w:val="20"/>
                <w:szCs w:val="20"/>
                <w:color w:val="auto"/>
              </w:rPr>
            </w:pPr>
            <w:r>
              <w:rPr>
                <w:rFonts w:ascii="Arial" w:cs="Arial" w:eastAsia="Arial" w:hAnsi="Arial"/>
                <w:sz w:val="11"/>
                <w:szCs w:val="11"/>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100,000</w:t>
            </w: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100,000</w:t>
            </w:r>
          </w:p>
        </w:tc>
        <w:tc>
          <w:tcPr>
            <w:tcW w:w="0" w:type="dxa"/>
            <w:vAlign w:val="bottom"/>
          </w:tcPr>
          <w:p>
            <w:pPr>
              <w:spacing w:after="0"/>
              <w:rPr>
                <w:sz w:val="1"/>
                <w:szCs w:val="1"/>
                <w:color w:val="auto"/>
              </w:rPr>
            </w:pPr>
          </w:p>
        </w:tc>
      </w:tr>
      <w:tr>
        <w:trPr>
          <w:trHeight w:val="150"/>
        </w:trPr>
        <w:tc>
          <w:tcPr>
            <w:tcW w:w="3720" w:type="dxa"/>
            <w:vAlign w:val="bottom"/>
            <w:gridSpan w:val="2"/>
          </w:tcPr>
          <w:p>
            <w:pPr>
              <w:ind w:left="160"/>
              <w:spacing w:after="0"/>
              <w:rPr>
                <w:sz w:val="20"/>
                <w:szCs w:val="20"/>
                <w:color w:val="auto"/>
              </w:rPr>
            </w:pPr>
            <w:r>
              <w:rPr>
                <w:rFonts w:ascii="Arial" w:cs="Arial" w:eastAsia="Arial" w:hAnsi="Arial"/>
                <w:sz w:val="11"/>
                <w:szCs w:val="11"/>
                <w:b w:val="1"/>
                <w:bCs w:val="1"/>
                <w:color w:val="auto"/>
              </w:rPr>
              <w:t>Mega Campus: 480 Arsenal Way and 446, 458, 500, and 550</w:t>
            </w:r>
          </w:p>
        </w:tc>
        <w:tc>
          <w:tcPr>
            <w:tcW w:w="680" w:type="dxa"/>
            <w:vAlign w:val="bottom"/>
            <w:vMerge w:val="restart"/>
          </w:tcPr>
          <w:p>
            <w:pPr>
              <w:jc w:val="right"/>
              <w:ind w:right="165"/>
              <w:spacing w:after="0"/>
              <w:rPr>
                <w:sz w:val="20"/>
                <w:szCs w:val="20"/>
                <w:color w:val="auto"/>
              </w:rPr>
            </w:pPr>
            <w:r>
              <w:rPr>
                <w:rFonts w:ascii="Arial" w:cs="Arial" w:eastAsia="Arial" w:hAnsi="Arial"/>
                <w:sz w:val="11"/>
                <w:szCs w:val="11"/>
                <w:color w:val="auto"/>
              </w:rPr>
              <w:t>100%</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vMerge w:val="restart"/>
          </w:tcPr>
          <w:p>
            <w:pPr>
              <w:jc w:val="right"/>
              <w:spacing w:after="0"/>
              <w:rPr>
                <w:sz w:val="20"/>
                <w:szCs w:val="20"/>
                <w:color w:val="auto"/>
              </w:rPr>
            </w:pPr>
            <w:r>
              <w:rPr>
                <w:rFonts w:ascii="Arial" w:cs="Arial" w:eastAsia="Arial" w:hAnsi="Arial"/>
                <w:sz w:val="11"/>
                <w:szCs w:val="11"/>
                <w:color w:val="auto"/>
              </w:rPr>
              <w:t>85,126</w:t>
            </w:r>
          </w:p>
        </w:tc>
        <w:tc>
          <w:tcPr>
            <w:tcW w:w="200" w:type="dxa"/>
            <w:vAlign w:val="bottom"/>
          </w:tcPr>
          <w:p>
            <w:pPr>
              <w:spacing w:after="0"/>
              <w:rPr>
                <w:sz w:val="13"/>
                <w:szCs w:val="13"/>
                <w:color w:val="auto"/>
              </w:rPr>
            </w:pPr>
          </w:p>
        </w:tc>
        <w:tc>
          <w:tcPr>
            <w:tcW w:w="1060" w:type="dxa"/>
            <w:vAlign w:val="bottom"/>
            <w:gridSpan w:val="2"/>
            <w:vMerge w:val="restart"/>
          </w:tcPr>
          <w:p>
            <w:pPr>
              <w:jc w:val="right"/>
              <w:ind w:right="180"/>
              <w:spacing w:after="0"/>
              <w:rPr>
                <w:sz w:val="20"/>
                <w:szCs w:val="20"/>
                <w:color w:val="auto"/>
              </w:rPr>
            </w:pPr>
            <w:r>
              <w:rPr>
                <w:rFonts w:ascii="Arial" w:cs="Arial" w:eastAsia="Arial" w:hAnsi="Arial"/>
                <w:sz w:val="11"/>
                <w:szCs w:val="11"/>
                <w:color w:val="auto"/>
              </w:rPr>
              <w:t>—</w:t>
            </w:r>
          </w:p>
        </w:tc>
        <w:tc>
          <w:tcPr>
            <w:tcW w:w="1100" w:type="dxa"/>
            <w:vAlign w:val="bottom"/>
            <w:gridSpan w:val="2"/>
            <w:vMerge w:val="restart"/>
          </w:tcPr>
          <w:p>
            <w:pPr>
              <w:ind w:left="780"/>
              <w:spacing w:after="0"/>
              <w:rPr>
                <w:sz w:val="20"/>
                <w:szCs w:val="20"/>
                <w:color w:val="auto"/>
              </w:rPr>
            </w:pPr>
            <w:r>
              <w:rPr>
                <w:rFonts w:ascii="Arial" w:cs="Arial" w:eastAsia="Arial" w:hAnsi="Arial"/>
                <w:sz w:val="11"/>
                <w:szCs w:val="11"/>
                <w:color w:val="auto"/>
              </w:rPr>
              <w:t>—</w:t>
            </w:r>
          </w:p>
        </w:tc>
        <w:tc>
          <w:tcPr>
            <w:tcW w:w="1140" w:type="dxa"/>
            <w:vAlign w:val="bottom"/>
            <w:gridSpan w:val="2"/>
            <w:vMerge w:val="restart"/>
          </w:tcPr>
          <w:p>
            <w:pPr>
              <w:jc w:val="right"/>
              <w:ind w:right="220"/>
              <w:spacing w:after="0"/>
              <w:rPr>
                <w:sz w:val="20"/>
                <w:szCs w:val="20"/>
                <w:color w:val="auto"/>
              </w:rPr>
            </w:pPr>
            <w:r>
              <w:rPr>
                <w:rFonts w:ascii="Arial" w:cs="Arial" w:eastAsia="Arial" w:hAnsi="Arial"/>
                <w:sz w:val="11"/>
                <w:szCs w:val="11"/>
                <w:color w:val="auto"/>
              </w:rPr>
              <w:t>—</w:t>
            </w:r>
          </w:p>
        </w:tc>
        <w:tc>
          <w:tcPr>
            <w:tcW w:w="940" w:type="dxa"/>
            <w:vAlign w:val="bottom"/>
            <w:vMerge w:val="restart"/>
          </w:tcPr>
          <w:p>
            <w:pPr>
              <w:jc w:val="right"/>
              <w:spacing w:after="0"/>
              <w:rPr>
                <w:sz w:val="20"/>
                <w:szCs w:val="20"/>
                <w:color w:val="auto"/>
              </w:rPr>
            </w:pPr>
            <w:r>
              <w:rPr>
                <w:rFonts w:ascii="Arial" w:cs="Arial" w:eastAsia="Arial" w:hAnsi="Arial"/>
                <w:sz w:val="11"/>
                <w:szCs w:val="11"/>
                <w:color w:val="auto"/>
              </w:rPr>
              <w:t>902,000</w:t>
            </w:r>
          </w:p>
        </w:tc>
        <w:tc>
          <w:tcPr>
            <w:tcW w:w="180" w:type="dxa"/>
            <w:vAlign w:val="bottom"/>
          </w:tcPr>
          <w:p>
            <w:pPr>
              <w:spacing w:after="0"/>
              <w:rPr>
                <w:sz w:val="13"/>
                <w:szCs w:val="13"/>
                <w:color w:val="auto"/>
              </w:rPr>
            </w:pPr>
          </w:p>
        </w:tc>
        <w:tc>
          <w:tcPr>
            <w:tcW w:w="940" w:type="dxa"/>
            <w:vAlign w:val="bottom"/>
            <w:vMerge w:val="restart"/>
          </w:tcPr>
          <w:p>
            <w:pPr>
              <w:jc w:val="right"/>
              <w:ind w:right="3"/>
              <w:spacing w:after="0"/>
              <w:rPr>
                <w:sz w:val="20"/>
                <w:szCs w:val="20"/>
                <w:color w:val="auto"/>
              </w:rPr>
            </w:pPr>
            <w:r>
              <w:rPr>
                <w:rFonts w:ascii="Arial" w:cs="Arial" w:eastAsia="Arial" w:hAnsi="Arial"/>
                <w:sz w:val="11"/>
                <w:szCs w:val="11"/>
                <w:color w:val="auto"/>
              </w:rPr>
              <w:t>902,000</w:t>
            </w:r>
          </w:p>
        </w:tc>
        <w:tc>
          <w:tcPr>
            <w:tcW w:w="0" w:type="dxa"/>
            <w:vAlign w:val="bottom"/>
          </w:tcPr>
          <w:p>
            <w:pPr>
              <w:spacing w:after="0"/>
              <w:rPr>
                <w:sz w:val="1"/>
                <w:szCs w:val="1"/>
                <w:color w:val="auto"/>
              </w:rPr>
            </w:pPr>
          </w:p>
        </w:tc>
      </w:tr>
      <w:tr>
        <w:trPr>
          <w:trHeight w:val="140"/>
        </w:trPr>
        <w:tc>
          <w:tcPr>
            <w:tcW w:w="3720" w:type="dxa"/>
            <w:vAlign w:val="bottom"/>
            <w:gridSpan w:val="2"/>
          </w:tcPr>
          <w:p>
            <w:pPr>
              <w:ind w:left="300"/>
              <w:spacing w:after="0"/>
              <w:rPr>
                <w:sz w:val="20"/>
                <w:szCs w:val="20"/>
                <w:color w:val="auto"/>
              </w:rPr>
            </w:pPr>
            <w:r>
              <w:rPr>
                <w:rFonts w:ascii="Arial" w:cs="Arial" w:eastAsia="Arial" w:hAnsi="Arial"/>
                <w:sz w:val="11"/>
                <w:szCs w:val="11"/>
                <w:b w:val="1"/>
                <w:bCs w:val="1"/>
                <w:color w:val="auto"/>
              </w:rPr>
              <w:t>Arsenal Street/Cambridge/Inner Suburbs</w:t>
            </w:r>
          </w:p>
        </w:tc>
        <w:tc>
          <w:tcPr>
            <w:tcW w:w="6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720" w:type="dxa"/>
            <w:vAlign w:val="bottom"/>
            <w:gridSpan w:val="2"/>
            <w:shd w:val="clear" w:color="auto" w:fill="CCEEFF"/>
          </w:tcPr>
          <w:p>
            <w:pPr>
              <w:ind w:left="220"/>
              <w:spacing w:after="0"/>
              <w:rPr>
                <w:sz w:val="20"/>
                <w:szCs w:val="20"/>
                <w:color w:val="auto"/>
              </w:rPr>
            </w:pPr>
            <w:r>
              <w:rPr>
                <w:rFonts w:ascii="Arial" w:cs="Arial" w:eastAsia="Arial" w:hAnsi="Arial"/>
                <w:sz w:val="11"/>
                <w:szCs w:val="11"/>
                <w:i w:val="1"/>
                <w:iCs w:val="1"/>
                <w:color w:val="auto"/>
              </w:rPr>
              <w:t>446, 458, 500, and 550 Arsenal Street</w:t>
            </w:r>
          </w:p>
        </w:tc>
        <w:tc>
          <w:tcPr>
            <w:tcW w:w="6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3720" w:type="dxa"/>
            <w:vAlign w:val="bottom"/>
            <w:gridSpan w:val="2"/>
          </w:tcPr>
          <w:p>
            <w:pPr>
              <w:ind w:left="160"/>
              <w:spacing w:after="0"/>
              <w:rPr>
                <w:sz w:val="20"/>
                <w:szCs w:val="20"/>
                <w:color w:val="auto"/>
              </w:rPr>
            </w:pPr>
            <w:r>
              <w:rPr>
                <w:rFonts w:ascii="Arial" w:cs="Arial" w:eastAsia="Arial" w:hAnsi="Arial"/>
                <w:sz w:val="11"/>
                <w:szCs w:val="11"/>
                <w:b w:val="1"/>
                <w:bCs w:val="1"/>
                <w:color w:val="auto"/>
              </w:rPr>
              <w:t>Mega Campus: 285, 299, 307, and 345 Dorchester Avenue/</w:t>
            </w:r>
          </w:p>
        </w:tc>
        <w:tc>
          <w:tcPr>
            <w:tcW w:w="680" w:type="dxa"/>
            <w:vAlign w:val="bottom"/>
            <w:vMerge w:val="restart"/>
          </w:tcPr>
          <w:p>
            <w:pPr>
              <w:jc w:val="right"/>
              <w:ind w:right="165"/>
              <w:spacing w:after="0"/>
              <w:rPr>
                <w:sz w:val="20"/>
                <w:szCs w:val="20"/>
                <w:color w:val="auto"/>
              </w:rPr>
            </w:pPr>
            <w:r>
              <w:rPr>
                <w:rFonts w:ascii="Arial" w:cs="Arial" w:eastAsia="Arial" w:hAnsi="Arial"/>
                <w:sz w:val="11"/>
                <w:szCs w:val="11"/>
                <w:color w:val="auto"/>
              </w:rPr>
              <w:t>60.0%</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vMerge w:val="restart"/>
          </w:tcPr>
          <w:p>
            <w:pPr>
              <w:jc w:val="right"/>
              <w:spacing w:after="0"/>
              <w:rPr>
                <w:sz w:val="20"/>
                <w:szCs w:val="20"/>
                <w:color w:val="auto"/>
              </w:rPr>
            </w:pPr>
            <w:r>
              <w:rPr>
                <w:rFonts w:ascii="Arial" w:cs="Arial" w:eastAsia="Arial" w:hAnsi="Arial"/>
                <w:sz w:val="11"/>
                <w:szCs w:val="11"/>
                <w:color w:val="auto"/>
              </w:rPr>
              <w:t>283,744</w:t>
            </w:r>
          </w:p>
        </w:tc>
        <w:tc>
          <w:tcPr>
            <w:tcW w:w="200" w:type="dxa"/>
            <w:vAlign w:val="bottom"/>
          </w:tcPr>
          <w:p>
            <w:pPr>
              <w:spacing w:after="0"/>
              <w:rPr>
                <w:sz w:val="13"/>
                <w:szCs w:val="13"/>
                <w:color w:val="auto"/>
              </w:rPr>
            </w:pPr>
          </w:p>
        </w:tc>
        <w:tc>
          <w:tcPr>
            <w:tcW w:w="1060" w:type="dxa"/>
            <w:vAlign w:val="bottom"/>
            <w:gridSpan w:val="2"/>
            <w:vMerge w:val="restart"/>
          </w:tcPr>
          <w:p>
            <w:pPr>
              <w:jc w:val="right"/>
              <w:ind w:right="180"/>
              <w:spacing w:after="0"/>
              <w:rPr>
                <w:sz w:val="20"/>
                <w:szCs w:val="20"/>
                <w:color w:val="auto"/>
              </w:rPr>
            </w:pPr>
            <w:r>
              <w:rPr>
                <w:rFonts w:ascii="Arial" w:cs="Arial" w:eastAsia="Arial" w:hAnsi="Arial"/>
                <w:sz w:val="11"/>
                <w:szCs w:val="11"/>
                <w:color w:val="auto"/>
              </w:rPr>
              <w:t>—</w:t>
            </w:r>
          </w:p>
        </w:tc>
        <w:tc>
          <w:tcPr>
            <w:tcW w:w="1100" w:type="dxa"/>
            <w:vAlign w:val="bottom"/>
            <w:gridSpan w:val="2"/>
            <w:vMerge w:val="restart"/>
          </w:tcPr>
          <w:p>
            <w:pPr>
              <w:ind w:left="780"/>
              <w:spacing w:after="0"/>
              <w:rPr>
                <w:sz w:val="20"/>
                <w:szCs w:val="20"/>
                <w:color w:val="auto"/>
              </w:rPr>
            </w:pPr>
            <w:r>
              <w:rPr>
                <w:rFonts w:ascii="Arial" w:cs="Arial" w:eastAsia="Arial" w:hAnsi="Arial"/>
                <w:sz w:val="11"/>
                <w:szCs w:val="11"/>
                <w:color w:val="auto"/>
              </w:rPr>
              <w:t>—</w:t>
            </w:r>
          </w:p>
        </w:tc>
        <w:tc>
          <w:tcPr>
            <w:tcW w:w="1140" w:type="dxa"/>
            <w:vAlign w:val="bottom"/>
            <w:gridSpan w:val="2"/>
            <w:vMerge w:val="restart"/>
          </w:tcPr>
          <w:p>
            <w:pPr>
              <w:jc w:val="right"/>
              <w:ind w:right="220"/>
              <w:spacing w:after="0"/>
              <w:rPr>
                <w:sz w:val="20"/>
                <w:szCs w:val="20"/>
                <w:color w:val="auto"/>
              </w:rPr>
            </w:pPr>
            <w:r>
              <w:rPr>
                <w:rFonts w:ascii="Arial" w:cs="Arial" w:eastAsia="Arial" w:hAnsi="Arial"/>
                <w:sz w:val="11"/>
                <w:szCs w:val="11"/>
                <w:color w:val="auto"/>
              </w:rPr>
              <w:t>—</w:t>
            </w:r>
          </w:p>
        </w:tc>
        <w:tc>
          <w:tcPr>
            <w:tcW w:w="940" w:type="dxa"/>
            <w:vAlign w:val="bottom"/>
            <w:vMerge w:val="restart"/>
          </w:tcPr>
          <w:p>
            <w:pPr>
              <w:jc w:val="right"/>
              <w:spacing w:after="0"/>
              <w:rPr>
                <w:sz w:val="20"/>
                <w:szCs w:val="20"/>
                <w:color w:val="auto"/>
              </w:rPr>
            </w:pPr>
            <w:r>
              <w:rPr>
                <w:rFonts w:ascii="Arial" w:cs="Arial" w:eastAsia="Arial" w:hAnsi="Arial"/>
                <w:sz w:val="11"/>
                <w:szCs w:val="11"/>
                <w:color w:val="auto"/>
              </w:rPr>
              <w:t>1,040,000</w:t>
            </w:r>
          </w:p>
        </w:tc>
        <w:tc>
          <w:tcPr>
            <w:tcW w:w="180" w:type="dxa"/>
            <w:vAlign w:val="bottom"/>
          </w:tcPr>
          <w:p>
            <w:pPr>
              <w:spacing w:after="0"/>
              <w:rPr>
                <w:sz w:val="13"/>
                <w:szCs w:val="13"/>
                <w:color w:val="auto"/>
              </w:rPr>
            </w:pPr>
          </w:p>
        </w:tc>
        <w:tc>
          <w:tcPr>
            <w:tcW w:w="940" w:type="dxa"/>
            <w:vAlign w:val="bottom"/>
            <w:vMerge w:val="restart"/>
          </w:tcPr>
          <w:p>
            <w:pPr>
              <w:jc w:val="right"/>
              <w:ind w:right="3"/>
              <w:spacing w:after="0"/>
              <w:rPr>
                <w:sz w:val="20"/>
                <w:szCs w:val="20"/>
                <w:color w:val="auto"/>
              </w:rPr>
            </w:pPr>
            <w:r>
              <w:rPr>
                <w:rFonts w:ascii="Arial" w:cs="Arial" w:eastAsia="Arial" w:hAnsi="Arial"/>
                <w:sz w:val="11"/>
                <w:szCs w:val="11"/>
                <w:color w:val="auto"/>
              </w:rPr>
              <w:t>1,040,000</w:t>
            </w:r>
          </w:p>
        </w:tc>
        <w:tc>
          <w:tcPr>
            <w:tcW w:w="0" w:type="dxa"/>
            <w:vAlign w:val="bottom"/>
          </w:tcPr>
          <w:p>
            <w:pPr>
              <w:spacing w:after="0"/>
              <w:rPr>
                <w:sz w:val="1"/>
                <w:szCs w:val="1"/>
                <w:color w:val="auto"/>
              </w:rPr>
            </w:pPr>
          </w:p>
        </w:tc>
      </w:tr>
      <w:tr>
        <w:trPr>
          <w:trHeight w:val="140"/>
        </w:trPr>
        <w:tc>
          <w:tcPr>
            <w:tcW w:w="3720" w:type="dxa"/>
            <w:vAlign w:val="bottom"/>
            <w:gridSpan w:val="2"/>
          </w:tcPr>
          <w:p>
            <w:pPr>
              <w:ind w:left="300"/>
              <w:spacing w:after="0"/>
              <w:rPr>
                <w:sz w:val="20"/>
                <w:szCs w:val="20"/>
                <w:color w:val="auto"/>
              </w:rPr>
            </w:pPr>
            <w:r>
              <w:rPr>
                <w:rFonts w:ascii="Arial" w:cs="Arial" w:eastAsia="Arial" w:hAnsi="Arial"/>
                <w:sz w:val="11"/>
                <w:szCs w:val="11"/>
                <w:b w:val="1"/>
                <w:bCs w:val="1"/>
                <w:color w:val="auto"/>
              </w:rPr>
              <w:t>Seaport Innovation District</w:t>
            </w:r>
          </w:p>
        </w:tc>
        <w:tc>
          <w:tcPr>
            <w:tcW w:w="6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720" w:type="dxa"/>
            <w:vAlign w:val="bottom"/>
            <w:gridSpan w:val="2"/>
            <w:shd w:val="clear" w:color="auto" w:fill="CCEEFF"/>
          </w:tcPr>
          <w:p>
            <w:pPr>
              <w:ind w:left="160"/>
              <w:spacing w:after="0"/>
              <w:rPr>
                <w:sz w:val="20"/>
                <w:szCs w:val="20"/>
                <w:color w:val="auto"/>
              </w:rPr>
            </w:pPr>
            <w:r>
              <w:rPr>
                <w:rFonts w:ascii="Arial" w:cs="Arial" w:eastAsia="Arial" w:hAnsi="Arial"/>
                <w:sz w:val="11"/>
                <w:szCs w:val="11"/>
                <w:color w:val="auto"/>
              </w:rPr>
              <w:t>10 Necco Street/Seaport Innovation District</w:t>
            </w:r>
          </w:p>
        </w:tc>
        <w:tc>
          <w:tcPr>
            <w:tcW w:w="680" w:type="dxa"/>
            <w:vAlign w:val="bottom"/>
            <w:shd w:val="clear" w:color="auto" w:fill="CCEEFF"/>
          </w:tcPr>
          <w:p>
            <w:pPr>
              <w:jc w:val="right"/>
              <w:ind w:right="165"/>
              <w:spacing w:after="0"/>
              <w:rPr>
                <w:sz w:val="20"/>
                <w:szCs w:val="20"/>
                <w:color w:val="auto"/>
              </w:rPr>
            </w:pPr>
            <w:r>
              <w:rPr>
                <w:rFonts w:ascii="Arial" w:cs="Arial" w:eastAsia="Arial" w:hAnsi="Arial"/>
                <w:sz w:val="11"/>
                <w:szCs w:val="11"/>
                <w:color w:val="auto"/>
              </w:rPr>
              <w:t>100%</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104,966</w:t>
            </w:r>
          </w:p>
        </w:tc>
        <w:tc>
          <w:tcPr>
            <w:tcW w:w="2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1100" w:type="dxa"/>
            <w:vAlign w:val="bottom"/>
            <w:gridSpan w:val="2"/>
            <w:shd w:val="clear" w:color="auto" w:fill="CCEEFF"/>
          </w:tcPr>
          <w:p>
            <w:pPr>
              <w:ind w:left="780"/>
              <w:spacing w:after="0"/>
              <w:rPr>
                <w:sz w:val="20"/>
                <w:szCs w:val="20"/>
                <w:color w:val="auto"/>
              </w:rPr>
            </w:pPr>
            <w:r>
              <w:rPr>
                <w:rFonts w:ascii="Arial" w:cs="Arial" w:eastAsia="Arial" w:hAnsi="Arial"/>
                <w:sz w:val="11"/>
                <w:szCs w:val="11"/>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175,000</w:t>
            </w: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175,000</w:t>
            </w:r>
          </w:p>
        </w:tc>
        <w:tc>
          <w:tcPr>
            <w:tcW w:w="0" w:type="dxa"/>
            <w:vAlign w:val="bottom"/>
          </w:tcPr>
          <w:p>
            <w:pPr>
              <w:spacing w:after="0"/>
              <w:rPr>
                <w:sz w:val="1"/>
                <w:szCs w:val="1"/>
                <w:color w:val="auto"/>
              </w:rPr>
            </w:pPr>
          </w:p>
        </w:tc>
      </w:tr>
      <w:tr>
        <w:trPr>
          <w:trHeight w:val="172"/>
        </w:trPr>
        <w:tc>
          <w:tcPr>
            <w:tcW w:w="3720" w:type="dxa"/>
            <w:vAlign w:val="bottom"/>
            <w:gridSpan w:val="2"/>
          </w:tcPr>
          <w:p>
            <w:pPr>
              <w:ind w:left="160"/>
              <w:spacing w:after="0"/>
              <w:rPr>
                <w:sz w:val="20"/>
                <w:szCs w:val="20"/>
                <w:color w:val="auto"/>
              </w:rPr>
            </w:pPr>
            <w:r>
              <w:rPr>
                <w:rFonts w:ascii="Arial" w:cs="Arial" w:eastAsia="Arial" w:hAnsi="Arial"/>
                <w:sz w:val="11"/>
                <w:szCs w:val="11"/>
                <w:b w:val="1"/>
                <w:bCs w:val="1"/>
                <w:color w:val="auto"/>
              </w:rPr>
              <w:t>Mega Campus: One Moderna Way/Route 128</w:t>
            </w:r>
          </w:p>
        </w:tc>
        <w:tc>
          <w:tcPr>
            <w:tcW w:w="680" w:type="dxa"/>
            <w:vAlign w:val="bottom"/>
          </w:tcPr>
          <w:p>
            <w:pPr>
              <w:jc w:val="right"/>
              <w:ind w:right="165"/>
              <w:spacing w:after="0"/>
              <w:rPr>
                <w:sz w:val="20"/>
                <w:szCs w:val="20"/>
                <w:color w:val="auto"/>
              </w:rPr>
            </w:pPr>
            <w:r>
              <w:rPr>
                <w:rFonts w:ascii="Arial" w:cs="Arial" w:eastAsia="Arial" w:hAnsi="Arial"/>
                <w:sz w:val="11"/>
                <w:szCs w:val="11"/>
                <w:color w:val="auto"/>
              </w:rPr>
              <w:t>100%</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26,500</w:t>
            </w:r>
          </w:p>
        </w:tc>
        <w:tc>
          <w:tcPr>
            <w:tcW w:w="20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100" w:type="dxa"/>
            <w:vAlign w:val="bottom"/>
            <w:gridSpan w:val="2"/>
          </w:tcPr>
          <w:p>
            <w:pPr>
              <w:ind w:left="780"/>
              <w:spacing w:after="0"/>
              <w:rPr>
                <w:sz w:val="20"/>
                <w:szCs w:val="20"/>
                <w:color w:val="auto"/>
              </w:rPr>
            </w:pPr>
            <w:r>
              <w:rPr>
                <w:rFonts w:ascii="Arial" w:cs="Arial" w:eastAsia="Arial" w:hAnsi="Arial"/>
                <w:sz w:val="11"/>
                <w:szCs w:val="11"/>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940" w:type="dxa"/>
            <w:vAlign w:val="bottom"/>
          </w:tcPr>
          <w:p>
            <w:pPr>
              <w:jc w:val="right"/>
              <w:spacing w:after="0"/>
              <w:rPr>
                <w:sz w:val="20"/>
                <w:szCs w:val="20"/>
                <w:color w:val="auto"/>
              </w:rPr>
            </w:pPr>
            <w:r>
              <w:rPr>
                <w:rFonts w:ascii="Arial" w:cs="Arial" w:eastAsia="Arial" w:hAnsi="Arial"/>
                <w:sz w:val="11"/>
                <w:szCs w:val="11"/>
                <w:color w:val="auto"/>
              </w:rPr>
              <w:t>1,085,000</w:t>
            </w:r>
          </w:p>
        </w:tc>
        <w:tc>
          <w:tcPr>
            <w:tcW w:w="180" w:type="dxa"/>
            <w:vAlign w:val="bottom"/>
          </w:tcPr>
          <w:p>
            <w:pPr>
              <w:spacing w:after="0"/>
              <w:rPr>
                <w:sz w:val="14"/>
                <w:szCs w:val="14"/>
                <w:color w:val="auto"/>
              </w:rPr>
            </w:pPr>
          </w:p>
        </w:tc>
        <w:tc>
          <w:tcPr>
            <w:tcW w:w="940" w:type="dxa"/>
            <w:vAlign w:val="bottom"/>
          </w:tcPr>
          <w:p>
            <w:pPr>
              <w:jc w:val="right"/>
              <w:ind w:right="3"/>
              <w:spacing w:after="0"/>
              <w:rPr>
                <w:sz w:val="20"/>
                <w:szCs w:val="20"/>
                <w:color w:val="auto"/>
              </w:rPr>
            </w:pPr>
            <w:r>
              <w:rPr>
                <w:rFonts w:ascii="Arial" w:cs="Arial" w:eastAsia="Arial" w:hAnsi="Arial"/>
                <w:sz w:val="11"/>
                <w:szCs w:val="11"/>
                <w:color w:val="auto"/>
              </w:rPr>
              <w:t>1,085,000</w:t>
            </w:r>
          </w:p>
        </w:tc>
        <w:tc>
          <w:tcPr>
            <w:tcW w:w="0" w:type="dxa"/>
            <w:vAlign w:val="bottom"/>
          </w:tcPr>
          <w:p>
            <w:pPr>
              <w:spacing w:after="0"/>
              <w:rPr>
                <w:sz w:val="1"/>
                <w:szCs w:val="1"/>
                <w:color w:val="auto"/>
              </w:rPr>
            </w:pPr>
          </w:p>
        </w:tc>
      </w:tr>
      <w:tr>
        <w:trPr>
          <w:trHeight w:val="172"/>
        </w:trPr>
        <w:tc>
          <w:tcPr>
            <w:tcW w:w="3720" w:type="dxa"/>
            <w:vAlign w:val="bottom"/>
            <w:gridSpan w:val="2"/>
            <w:shd w:val="clear" w:color="auto" w:fill="CCEEFF"/>
          </w:tcPr>
          <w:p>
            <w:pPr>
              <w:ind w:left="160"/>
              <w:spacing w:after="0"/>
              <w:rPr>
                <w:sz w:val="20"/>
                <w:szCs w:val="20"/>
                <w:color w:val="auto"/>
              </w:rPr>
            </w:pPr>
            <w:r>
              <w:rPr>
                <w:rFonts w:ascii="Arial" w:cs="Arial" w:eastAsia="Arial" w:hAnsi="Arial"/>
                <w:sz w:val="11"/>
                <w:szCs w:val="11"/>
                <w:color w:val="auto"/>
              </w:rPr>
              <w:t>215 Presidential Way/Route 128</w:t>
            </w:r>
          </w:p>
        </w:tc>
        <w:tc>
          <w:tcPr>
            <w:tcW w:w="680" w:type="dxa"/>
            <w:vAlign w:val="bottom"/>
            <w:shd w:val="clear" w:color="auto" w:fill="CCEEFF"/>
          </w:tcPr>
          <w:p>
            <w:pPr>
              <w:jc w:val="right"/>
              <w:ind w:right="165"/>
              <w:spacing w:after="0"/>
              <w:rPr>
                <w:sz w:val="20"/>
                <w:szCs w:val="20"/>
                <w:color w:val="auto"/>
              </w:rPr>
            </w:pPr>
            <w:r>
              <w:rPr>
                <w:rFonts w:ascii="Arial" w:cs="Arial" w:eastAsia="Arial" w:hAnsi="Arial"/>
                <w:sz w:val="11"/>
                <w:szCs w:val="11"/>
                <w:color w:val="auto"/>
              </w:rPr>
              <w:t>100%</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6,816</w:t>
            </w:r>
          </w:p>
        </w:tc>
        <w:tc>
          <w:tcPr>
            <w:tcW w:w="2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1100" w:type="dxa"/>
            <w:vAlign w:val="bottom"/>
            <w:gridSpan w:val="2"/>
            <w:shd w:val="clear" w:color="auto" w:fill="CCEEFF"/>
          </w:tcPr>
          <w:p>
            <w:pPr>
              <w:ind w:left="780"/>
              <w:spacing w:after="0"/>
              <w:rPr>
                <w:sz w:val="20"/>
                <w:szCs w:val="20"/>
                <w:color w:val="auto"/>
              </w:rPr>
            </w:pPr>
            <w:r>
              <w:rPr>
                <w:rFonts w:ascii="Arial" w:cs="Arial" w:eastAsia="Arial" w:hAnsi="Arial"/>
                <w:sz w:val="11"/>
                <w:szCs w:val="11"/>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112,000</w:t>
            </w: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112,000</w:t>
            </w:r>
          </w:p>
        </w:tc>
        <w:tc>
          <w:tcPr>
            <w:tcW w:w="0" w:type="dxa"/>
            <w:vAlign w:val="bottom"/>
          </w:tcPr>
          <w:p>
            <w:pPr>
              <w:spacing w:after="0"/>
              <w:rPr>
                <w:sz w:val="1"/>
                <w:szCs w:val="1"/>
                <w:color w:val="auto"/>
              </w:rPr>
            </w:pPr>
          </w:p>
        </w:tc>
      </w:tr>
      <w:tr>
        <w:trPr>
          <w:trHeight w:val="121"/>
        </w:trPr>
        <w:tc>
          <w:tcPr>
            <w:tcW w:w="3720" w:type="dxa"/>
            <w:vAlign w:val="bottom"/>
            <w:gridSpan w:val="2"/>
            <w:vMerge w:val="restart"/>
          </w:tcPr>
          <w:p>
            <w:pPr>
              <w:ind w:left="160"/>
              <w:spacing w:after="0"/>
              <w:rPr>
                <w:sz w:val="20"/>
                <w:szCs w:val="20"/>
                <w:color w:val="auto"/>
              </w:rPr>
            </w:pPr>
            <w:r>
              <w:rPr>
                <w:rFonts w:ascii="Arial" w:cs="Arial" w:eastAsia="Arial" w:hAnsi="Arial"/>
                <w:sz w:val="11"/>
                <w:szCs w:val="11"/>
                <w:color w:val="auto"/>
              </w:rPr>
              <w:t>Other value-creation projects</w:t>
            </w:r>
          </w:p>
        </w:tc>
        <w:tc>
          <w:tcPr>
            <w:tcW w:w="680" w:type="dxa"/>
            <w:vAlign w:val="bottom"/>
          </w:tcPr>
          <w:p>
            <w:pPr>
              <w:jc w:val="right"/>
              <w:ind w:right="165"/>
              <w:spacing w:after="0"/>
              <w:rPr>
                <w:sz w:val="20"/>
                <w:szCs w:val="20"/>
                <w:color w:val="auto"/>
              </w:rPr>
            </w:pPr>
            <w:r>
              <w:rPr>
                <w:rFonts w:ascii="Arial" w:cs="Arial" w:eastAsia="Arial" w:hAnsi="Arial"/>
                <w:sz w:val="7"/>
                <w:szCs w:val="7"/>
                <w:color w:val="auto"/>
              </w:rPr>
              <w:t>(3)</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Arial" w:cs="Arial" w:eastAsia="Arial" w:hAnsi="Arial"/>
                <w:sz w:val="11"/>
                <w:szCs w:val="11"/>
                <w:color w:val="auto"/>
              </w:rPr>
              <w:t>295,006</w:t>
            </w:r>
          </w:p>
        </w:tc>
        <w:tc>
          <w:tcPr>
            <w:tcW w:w="200" w:type="dxa"/>
            <w:vAlign w:val="bottom"/>
          </w:tcPr>
          <w:p>
            <w:pPr>
              <w:spacing w:after="0"/>
              <w:rPr>
                <w:sz w:val="10"/>
                <w:szCs w:val="10"/>
                <w:color w:val="auto"/>
              </w:rPr>
            </w:pPr>
          </w:p>
        </w:tc>
        <w:tc>
          <w:tcPr>
            <w:tcW w:w="940" w:type="dxa"/>
            <w:vAlign w:val="bottom"/>
            <w:vMerge w:val="restart"/>
          </w:tcPr>
          <w:p>
            <w:pPr>
              <w:jc w:val="right"/>
              <w:ind w:right="3"/>
              <w:spacing w:after="0"/>
              <w:rPr>
                <w:sz w:val="20"/>
                <w:szCs w:val="20"/>
                <w:color w:val="auto"/>
              </w:rPr>
            </w:pPr>
            <w:r>
              <w:rPr>
                <w:rFonts w:ascii="Arial" w:cs="Arial" w:eastAsia="Arial" w:hAnsi="Arial"/>
                <w:sz w:val="11"/>
                <w:szCs w:val="11"/>
                <w:color w:val="auto"/>
              </w:rPr>
              <w:t>453,869</w:t>
            </w:r>
          </w:p>
        </w:tc>
        <w:tc>
          <w:tcPr>
            <w:tcW w:w="120" w:type="dxa"/>
            <w:vAlign w:val="bottom"/>
          </w:tcPr>
          <w:p>
            <w:pPr>
              <w:spacing w:after="0"/>
              <w:rPr>
                <w:sz w:val="10"/>
                <w:szCs w:val="10"/>
                <w:color w:val="auto"/>
              </w:rPr>
            </w:pPr>
          </w:p>
        </w:tc>
        <w:tc>
          <w:tcPr>
            <w:tcW w:w="940" w:type="dxa"/>
            <w:vAlign w:val="bottom"/>
            <w:vMerge w:val="restart"/>
          </w:tcPr>
          <w:p>
            <w:pPr>
              <w:ind w:left="780"/>
              <w:spacing w:after="0"/>
              <w:rPr>
                <w:sz w:val="20"/>
                <w:szCs w:val="20"/>
                <w:color w:val="auto"/>
              </w:rPr>
            </w:pPr>
            <w:r>
              <w:rPr>
                <w:rFonts w:ascii="Arial" w:cs="Arial" w:eastAsia="Arial" w:hAnsi="Arial"/>
                <w:sz w:val="11"/>
                <w:szCs w:val="11"/>
                <w:color w:val="auto"/>
              </w:rPr>
              <w:t>—</w:t>
            </w:r>
          </w:p>
        </w:tc>
        <w:tc>
          <w:tcPr>
            <w:tcW w:w="160" w:type="dxa"/>
            <w:vAlign w:val="bottom"/>
            <w:vMerge w:val="restart"/>
          </w:tcPr>
          <w:p>
            <w:pPr>
              <w:spacing w:after="0"/>
              <w:rPr>
                <w:sz w:val="10"/>
                <w:szCs w:val="10"/>
                <w:color w:val="auto"/>
              </w:rPr>
            </w:pPr>
          </w:p>
        </w:tc>
        <w:tc>
          <w:tcPr>
            <w:tcW w:w="9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80" w:type="dxa"/>
            <w:vAlign w:val="bottom"/>
            <w:vMerge w:val="restart"/>
          </w:tcPr>
          <w:p>
            <w:pPr>
              <w:spacing w:after="0"/>
              <w:rPr>
                <w:sz w:val="10"/>
                <w:szCs w:val="10"/>
                <w:color w:val="auto"/>
              </w:rPr>
            </w:pPr>
          </w:p>
        </w:tc>
        <w:tc>
          <w:tcPr>
            <w:tcW w:w="940" w:type="dxa"/>
            <w:vAlign w:val="bottom"/>
            <w:vMerge w:val="restart"/>
          </w:tcPr>
          <w:p>
            <w:pPr>
              <w:jc w:val="right"/>
              <w:spacing w:after="0"/>
              <w:rPr>
                <w:sz w:val="20"/>
                <w:szCs w:val="20"/>
                <w:color w:val="auto"/>
              </w:rPr>
            </w:pPr>
            <w:r>
              <w:rPr>
                <w:rFonts w:ascii="Arial" w:cs="Arial" w:eastAsia="Arial" w:hAnsi="Arial"/>
                <w:sz w:val="11"/>
                <w:szCs w:val="11"/>
                <w:color w:val="auto"/>
              </w:rPr>
              <w:t>1,323,541</w:t>
            </w:r>
          </w:p>
        </w:tc>
        <w:tc>
          <w:tcPr>
            <w:tcW w:w="180" w:type="dxa"/>
            <w:vAlign w:val="bottom"/>
          </w:tcPr>
          <w:p>
            <w:pPr>
              <w:spacing w:after="0"/>
              <w:rPr>
                <w:sz w:val="10"/>
                <w:szCs w:val="10"/>
                <w:color w:val="auto"/>
              </w:rPr>
            </w:pPr>
          </w:p>
        </w:tc>
        <w:tc>
          <w:tcPr>
            <w:tcW w:w="940" w:type="dxa"/>
            <w:vAlign w:val="bottom"/>
            <w:vMerge w:val="restart"/>
          </w:tcPr>
          <w:p>
            <w:pPr>
              <w:jc w:val="right"/>
              <w:ind w:right="3"/>
              <w:spacing w:after="0"/>
              <w:rPr>
                <w:sz w:val="20"/>
                <w:szCs w:val="20"/>
                <w:color w:val="auto"/>
              </w:rPr>
            </w:pPr>
            <w:r>
              <w:rPr>
                <w:rFonts w:ascii="Arial" w:cs="Arial" w:eastAsia="Arial" w:hAnsi="Arial"/>
                <w:sz w:val="11"/>
                <w:szCs w:val="11"/>
                <w:color w:val="auto"/>
              </w:rPr>
              <w:t>1,777,410</w:t>
            </w:r>
          </w:p>
        </w:tc>
        <w:tc>
          <w:tcPr>
            <w:tcW w:w="0" w:type="dxa"/>
            <w:vAlign w:val="bottom"/>
          </w:tcPr>
          <w:p>
            <w:pPr>
              <w:spacing w:after="0"/>
              <w:rPr>
                <w:sz w:val="1"/>
                <w:szCs w:val="1"/>
                <w:color w:val="auto"/>
              </w:rPr>
            </w:pPr>
          </w:p>
        </w:tc>
      </w:tr>
      <w:tr>
        <w:trPr>
          <w:trHeight w:val="51"/>
        </w:trPr>
        <w:tc>
          <w:tcPr>
            <w:tcW w:w="3720" w:type="dxa"/>
            <w:vAlign w:val="bottom"/>
            <w:tcBorders>
              <w:bottom w:val="single" w:sz="8" w:color="CCEEFF"/>
            </w:tcBorders>
            <w:gridSpan w:val="2"/>
            <w:vMerge w:val="continue"/>
          </w:tcPr>
          <w:p>
            <w:pPr>
              <w:spacing w:after="0"/>
              <w:rPr>
                <w:sz w:val="4"/>
                <w:szCs w:val="4"/>
                <w:color w:val="auto"/>
              </w:rPr>
            </w:pPr>
          </w:p>
        </w:tc>
        <w:tc>
          <w:tcPr>
            <w:tcW w:w="68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vMerge w:val="continue"/>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940" w:type="dxa"/>
            <w:vAlign w:val="bottom"/>
            <w:tcBorders>
              <w:bottom w:val="single" w:sz="8" w:color="auto"/>
            </w:tcBorders>
            <w:vMerge w:val="continue"/>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940" w:type="dxa"/>
            <w:vAlign w:val="bottom"/>
            <w:tcBorders>
              <w:bottom w:val="single" w:sz="8" w:color="auto"/>
            </w:tcBorders>
            <w:vMerge w:val="continue"/>
          </w:tcPr>
          <w:p>
            <w:pPr>
              <w:spacing w:after="0"/>
              <w:rPr>
                <w:sz w:val="4"/>
                <w:szCs w:val="4"/>
                <w:color w:val="auto"/>
              </w:rPr>
            </w:pPr>
          </w:p>
        </w:tc>
        <w:tc>
          <w:tcPr>
            <w:tcW w:w="160" w:type="dxa"/>
            <w:vAlign w:val="bottom"/>
            <w:tcBorders>
              <w:bottom w:val="single" w:sz="8" w:color="CCEEFF"/>
            </w:tcBorders>
            <w:vMerge w:val="continue"/>
          </w:tcPr>
          <w:p>
            <w:pPr>
              <w:spacing w:after="0"/>
              <w:rPr>
                <w:sz w:val="4"/>
                <w:szCs w:val="4"/>
                <w:color w:val="auto"/>
              </w:rPr>
            </w:pPr>
          </w:p>
        </w:tc>
        <w:tc>
          <w:tcPr>
            <w:tcW w:w="960" w:type="dxa"/>
            <w:vAlign w:val="bottom"/>
            <w:tcBorders>
              <w:bottom w:val="single" w:sz="8" w:color="auto"/>
            </w:tcBorders>
            <w:vMerge w:val="continue"/>
          </w:tcPr>
          <w:p>
            <w:pPr>
              <w:spacing w:after="0"/>
              <w:rPr>
                <w:sz w:val="4"/>
                <w:szCs w:val="4"/>
                <w:color w:val="auto"/>
              </w:rPr>
            </w:pPr>
          </w:p>
        </w:tc>
        <w:tc>
          <w:tcPr>
            <w:tcW w:w="180" w:type="dxa"/>
            <w:vAlign w:val="bottom"/>
            <w:tcBorders>
              <w:bottom w:val="single" w:sz="8" w:color="CCEEFF"/>
            </w:tcBorders>
            <w:vMerge w:val="continue"/>
          </w:tcPr>
          <w:p>
            <w:pPr>
              <w:spacing w:after="0"/>
              <w:rPr>
                <w:sz w:val="4"/>
                <w:szCs w:val="4"/>
                <w:color w:val="auto"/>
              </w:rPr>
            </w:pPr>
          </w:p>
        </w:tc>
        <w:tc>
          <w:tcPr>
            <w:tcW w:w="940" w:type="dxa"/>
            <w:vAlign w:val="bottom"/>
            <w:tcBorders>
              <w:bottom w:val="single" w:sz="8" w:color="auto"/>
            </w:tcBorders>
            <w:vMerge w:val="continue"/>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94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2"/>
        </w:trPr>
        <w:tc>
          <w:tcPr>
            <w:tcW w:w="36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ind w:left="40"/>
              <w:spacing w:after="0"/>
              <w:rPr>
                <w:sz w:val="20"/>
                <w:szCs w:val="20"/>
                <w:color w:val="auto"/>
              </w:rPr>
            </w:pPr>
            <w:r>
              <w:rPr>
                <w:rFonts w:ascii="Arial" w:cs="Arial" w:eastAsia="Arial" w:hAnsi="Arial"/>
                <w:sz w:val="11"/>
                <w:szCs w:val="11"/>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2,778,234</w:t>
            </w: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2,402,914</w:t>
            </w:r>
          </w:p>
        </w:tc>
        <w:tc>
          <w:tcPr>
            <w:tcW w:w="12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ind w:left="780"/>
              <w:spacing w:after="0"/>
              <w:rPr>
                <w:sz w:val="20"/>
                <w:szCs w:val="20"/>
                <w:color w:val="auto"/>
              </w:rPr>
            </w:pPr>
            <w:r>
              <w:rPr>
                <w:rFonts w:ascii="Arial" w:cs="Arial" w:eastAsia="Arial" w:hAnsi="Arial"/>
                <w:sz w:val="11"/>
                <w:szCs w:val="11"/>
                <w:b w:val="1"/>
                <w:bCs w:val="1"/>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25,312</w:t>
            </w: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5,503,153</w:t>
            </w: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7,931,379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0"/>
        <w:spacing w:after="0"/>
        <w:rPr>
          <w:sz w:val="20"/>
          <w:szCs w:val="20"/>
          <w:color w:val="auto"/>
        </w:rPr>
      </w:pPr>
      <w:r>
        <w:rPr>
          <w:rFonts w:ascii="Arial" w:cs="Arial" w:eastAsia="Arial" w:hAnsi="Arial"/>
          <w:sz w:val="10"/>
          <w:szCs w:val="10"/>
          <w:color w:val="auto"/>
        </w:rPr>
        <w:t>Refer to “Mega campus” under “Definitions and reconciliations” in Item 2 for additional information.</w:t>
      </w:r>
    </w:p>
    <w:p>
      <w:pPr>
        <w:spacing w:after="0" w:line="121" w:lineRule="exact"/>
        <w:rPr>
          <w:sz w:val="20"/>
          <w:szCs w:val="20"/>
          <w:color w:val="auto"/>
        </w:rPr>
      </w:pPr>
    </w:p>
    <w:p>
      <w:pPr>
        <w:ind w:left="320" w:right="120" w:hanging="267"/>
        <w:spacing w:after="0" w:line="246" w:lineRule="auto"/>
        <w:tabs>
          <w:tab w:leader="none" w:pos="320" w:val="left"/>
        </w:tabs>
        <w:numPr>
          <w:ilvl w:val="0"/>
          <w:numId w:val="90"/>
        </w:numPr>
        <w:rPr>
          <w:rFonts w:ascii="Arial" w:cs="Arial" w:eastAsia="Arial" w:hAnsi="Arial"/>
          <w:sz w:val="10"/>
          <w:szCs w:val="10"/>
          <w:color w:val="auto"/>
        </w:rPr>
      </w:pPr>
      <w:r>
        <w:rPr>
          <w:rFonts w:ascii="Arial" w:cs="Arial" w:eastAsia="Arial" w:hAnsi="Arial"/>
          <w:sz w:val="10"/>
          <w:szCs w:val="10"/>
          <w:color w:val="auto"/>
        </w:rPr>
        <w:t>Represents total square footage upon completion of development or redevelopment of one or more new Class A/A+ properties. Square footage presented includes the RSF of buildings currently in operation at properties that also have future development or redevelopment opportunities. Upon expiration of existing in-place leases, we have the intent to demolish or redevelop the existing property. Refer to “Investments in real estate” under “Definitions and reconciliations” in Item 2 for additional information, including value-creation square feet currently included in rental properties.</w:t>
      </w:r>
    </w:p>
    <w:p>
      <w:pPr>
        <w:ind w:left="320" w:hanging="267"/>
        <w:spacing w:after="0" w:line="224" w:lineRule="auto"/>
        <w:tabs>
          <w:tab w:leader="none" w:pos="320" w:val="left"/>
        </w:tabs>
        <w:numPr>
          <w:ilvl w:val="0"/>
          <w:numId w:val="90"/>
        </w:numPr>
        <w:rPr>
          <w:rFonts w:ascii="Arial" w:cs="Arial" w:eastAsia="Arial" w:hAnsi="Arial"/>
          <w:sz w:val="10"/>
          <w:szCs w:val="10"/>
          <w:color w:val="auto"/>
          <w:highlight w:val="white"/>
        </w:rPr>
      </w:pPr>
      <w:r>
        <w:rPr>
          <w:rFonts w:ascii="Arial" w:cs="Arial" w:eastAsia="Arial" w:hAnsi="Arial"/>
          <w:sz w:val="10"/>
          <w:szCs w:val="10"/>
          <w:color w:val="auto"/>
        </w:rPr>
        <w:t>We have a 99.0% interest in 201 Brookline Avenue aggregating 58,149 RSF, a 100% interest in 401 Park Drive aggregating 159,959 RSF, and a 99.7% interest in 421 Park Drive aggregating 392,011 RSF.</w:t>
      </w:r>
    </w:p>
    <w:p>
      <w:pPr>
        <w:ind w:left="320" w:right="260" w:hanging="267"/>
        <w:spacing w:after="0" w:line="262" w:lineRule="auto"/>
        <w:tabs>
          <w:tab w:leader="none" w:pos="320" w:val="left"/>
        </w:tabs>
        <w:numPr>
          <w:ilvl w:val="0"/>
          <w:numId w:val="90"/>
        </w:numPr>
        <w:rPr>
          <w:rFonts w:ascii="Arial" w:cs="Arial" w:eastAsia="Arial" w:hAnsi="Arial"/>
          <w:sz w:val="10"/>
          <w:szCs w:val="10"/>
          <w:color w:val="auto"/>
        </w:rPr>
      </w:pPr>
      <w:r>
        <w:rPr>
          <w:rFonts w:ascii="Arial" w:cs="Arial" w:eastAsia="Arial" w:hAnsi="Arial"/>
          <w:sz w:val="10"/>
          <w:szCs w:val="10"/>
          <w:color w:val="auto"/>
        </w:rPr>
        <w:t>Includes a property in which we own a partial interest through a real estate joint venture. Refer to Note 4 – “Consolidated and unconsolidated real estate joint ventures” to our unaudited consolidated financial statements in Item 1 for additional details.</w:t>
      </w:r>
    </w:p>
    <w:p>
      <w:pPr>
        <w:spacing w:after="0" w:line="334"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188595</wp:posOffset>
            </wp:positionV>
            <wp:extent cx="7212965" cy="436753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12965" cy="436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New Class A/A+ development and redevelopment properties: summary of pipeline (continued)</w:t>
      </w:r>
    </w:p>
    <w:p>
      <w:pPr>
        <w:spacing w:after="0" w:line="164" w:lineRule="exact"/>
        <w:rPr>
          <w:sz w:val="20"/>
          <w:szCs w:val="20"/>
          <w:color w:val="auto"/>
        </w:rPr>
      </w:pPr>
    </w:p>
    <w:tbl>
      <w:tblPr>
        <w:tblLayout w:type="fixed"/>
        <w:tblInd w:w="60" w:type="dxa"/>
        <w:tblCellMar>
          <w:top w:w="0" w:type="dxa"/>
          <w:left w:w="0" w:type="dxa"/>
          <w:bottom w:w="0" w:type="dxa"/>
          <w:right w:w="0" w:type="dxa"/>
        </w:tblCellMar>
      </w:tblPr>
      <w:tr>
        <w:trPr>
          <w:trHeight w:val="158"/>
        </w:trPr>
        <w:tc>
          <w:tcPr>
            <w:tcW w:w="36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60" w:type="dxa"/>
            <w:vAlign w:val="bottom"/>
          </w:tcPr>
          <w:p>
            <w:pPr>
              <w:jc w:val="right"/>
              <w:ind w:right="203"/>
              <w:spacing w:after="0"/>
              <w:rPr>
                <w:sz w:val="20"/>
                <w:szCs w:val="20"/>
                <w:color w:val="auto"/>
              </w:rPr>
            </w:pPr>
            <w:r>
              <w:rPr>
                <w:rFonts w:ascii="Arial" w:cs="Arial" w:eastAsia="Arial" w:hAnsi="Arial"/>
                <w:sz w:val="11"/>
                <w:szCs w:val="11"/>
                <w:b w:val="1"/>
                <w:bCs w:val="1"/>
                <w:color w:val="auto"/>
              </w:rPr>
              <w:t>Square Footage</w:t>
            </w:r>
          </w:p>
        </w:tc>
        <w:tc>
          <w:tcPr>
            <w:tcW w:w="1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3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320" w:type="dxa"/>
            <w:vAlign w:val="bottom"/>
            <w:gridSpan w:val="2"/>
          </w:tcPr>
          <w:p>
            <w:pPr>
              <w:jc w:val="right"/>
              <w:ind w:right="263"/>
              <w:spacing w:after="0"/>
              <w:rPr>
                <w:sz w:val="20"/>
                <w:szCs w:val="20"/>
                <w:color w:val="auto"/>
              </w:rPr>
            </w:pPr>
            <w:r>
              <w:rPr>
                <w:rFonts w:ascii="Arial" w:cs="Arial" w:eastAsia="Arial" w:hAnsi="Arial"/>
                <w:sz w:val="11"/>
                <w:szCs w:val="11"/>
                <w:b w:val="1"/>
                <w:bCs w:val="1"/>
                <w:color w:val="auto"/>
              </w:rPr>
              <w:t>Development and Redevelopment</w:t>
            </w:r>
          </w:p>
        </w:tc>
        <w:tc>
          <w:tcPr>
            <w:tcW w:w="1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36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160" w:type="dxa"/>
            <w:vAlign w:val="bottom"/>
            <w:gridSpan w:val="2"/>
          </w:tcPr>
          <w:p>
            <w:pPr>
              <w:jc w:val="center"/>
              <w:ind w:right="3"/>
              <w:spacing w:after="0"/>
              <w:rPr>
                <w:sz w:val="20"/>
                <w:szCs w:val="20"/>
                <w:color w:val="auto"/>
              </w:rPr>
            </w:pPr>
            <w:r>
              <w:rPr>
                <w:rFonts w:ascii="Arial" w:cs="Arial" w:eastAsia="Arial" w:hAnsi="Arial"/>
                <w:sz w:val="11"/>
                <w:szCs w:val="11"/>
                <w:b w:val="1"/>
                <w:bCs w:val="1"/>
                <w:color w:val="auto"/>
              </w:rPr>
              <w:t>Active and Near-Term</w:t>
            </w:r>
          </w:p>
        </w:tc>
        <w:tc>
          <w:tcPr>
            <w:tcW w:w="2360" w:type="dxa"/>
            <w:vAlign w:val="bottom"/>
            <w:gridSpan w:val="2"/>
          </w:tcPr>
          <w:p>
            <w:pPr>
              <w:ind w:left="240"/>
              <w:spacing w:after="0"/>
              <w:rPr>
                <w:sz w:val="20"/>
                <w:szCs w:val="20"/>
                <w:color w:val="auto"/>
              </w:rPr>
            </w:pPr>
            <w:r>
              <w:rPr>
                <w:rFonts w:ascii="Arial" w:cs="Arial" w:eastAsia="Arial" w:hAnsi="Arial"/>
                <w:sz w:val="11"/>
                <w:szCs w:val="11"/>
                <w:b w:val="1"/>
                <w:bCs w:val="1"/>
                <w:color w:val="auto"/>
              </w:rPr>
              <w:t>Future Opportunities Subject to</w:t>
            </w: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3640" w:type="dxa"/>
            <w:vAlign w:val="bottom"/>
          </w:tcPr>
          <w:p>
            <w:pPr>
              <w:spacing w:after="0"/>
              <w:rPr>
                <w:sz w:val="13"/>
                <w:szCs w:val="13"/>
                <w:color w:val="auto"/>
              </w:rPr>
            </w:pPr>
          </w:p>
        </w:tc>
        <w:tc>
          <w:tcPr>
            <w:tcW w:w="76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Our</w:t>
            </w: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160" w:type="dxa"/>
            <w:vAlign w:val="bottom"/>
            <w:gridSpan w:val="2"/>
          </w:tcPr>
          <w:p>
            <w:pPr>
              <w:jc w:val="center"/>
              <w:spacing w:after="0"/>
              <w:rPr>
                <w:sz w:val="20"/>
                <w:szCs w:val="20"/>
                <w:color w:val="auto"/>
              </w:rPr>
            </w:pPr>
            <w:r>
              <w:rPr>
                <w:rFonts w:ascii="Arial" w:cs="Arial" w:eastAsia="Arial" w:hAnsi="Arial"/>
                <w:sz w:val="11"/>
                <w:szCs w:val="11"/>
                <w:b w:val="1"/>
                <w:bCs w:val="1"/>
                <w:color w:val="auto"/>
              </w:rPr>
              <w:t>Construction</w:t>
            </w:r>
          </w:p>
        </w:tc>
        <w:tc>
          <w:tcPr>
            <w:tcW w:w="2360" w:type="dxa"/>
            <w:vAlign w:val="bottom"/>
            <w:gridSpan w:val="2"/>
          </w:tcPr>
          <w:p>
            <w:pPr>
              <w:ind w:left="260"/>
              <w:spacing w:after="0"/>
              <w:rPr>
                <w:sz w:val="20"/>
                <w:szCs w:val="20"/>
                <w:color w:val="auto"/>
              </w:rPr>
            </w:pPr>
            <w:r>
              <w:rPr>
                <w:rFonts w:ascii="Arial" w:cs="Arial" w:eastAsia="Arial" w:hAnsi="Arial"/>
                <w:sz w:val="11"/>
                <w:szCs w:val="11"/>
                <w:b w:val="1"/>
                <w:bCs w:val="1"/>
                <w:color w:val="auto"/>
              </w:rPr>
              <w:t>Market Conditions and Leasing</w:t>
            </w: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
        </w:trPr>
        <w:tc>
          <w:tcPr>
            <w:tcW w:w="3640" w:type="dxa"/>
            <w:vAlign w:val="bottom"/>
            <w:vMerge w:val="restart"/>
          </w:tcPr>
          <w:p>
            <w:pPr>
              <w:spacing w:after="0"/>
              <w:rPr>
                <w:sz w:val="20"/>
                <w:szCs w:val="20"/>
                <w:color w:val="auto"/>
              </w:rPr>
            </w:pPr>
            <w:r>
              <w:rPr>
                <w:rFonts w:ascii="Arial" w:cs="Arial" w:eastAsia="Arial" w:hAnsi="Arial"/>
                <w:sz w:val="11"/>
                <w:szCs w:val="11"/>
                <w:b w:val="1"/>
                <w:bCs w:val="1"/>
                <w:color w:val="auto"/>
              </w:rPr>
              <w:t>Market</w:t>
            </w:r>
          </w:p>
        </w:tc>
        <w:tc>
          <w:tcPr>
            <w:tcW w:w="760" w:type="dxa"/>
            <w:vAlign w:val="bottom"/>
            <w:vMerge w:val="continue"/>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00" w:type="dxa"/>
            <w:vAlign w:val="bottom"/>
            <w:vMerge w:val="restart"/>
          </w:tcPr>
          <w:p>
            <w:pPr>
              <w:jc w:val="right"/>
              <w:ind w:right="363"/>
              <w:spacing w:after="0"/>
              <w:rPr>
                <w:sz w:val="20"/>
                <w:szCs w:val="20"/>
                <w:color w:val="auto"/>
              </w:rPr>
            </w:pPr>
            <w:r>
              <w:rPr>
                <w:rFonts w:ascii="Arial" w:cs="Arial" w:eastAsia="Arial" w:hAnsi="Arial"/>
                <w:sz w:val="11"/>
                <w:szCs w:val="11"/>
                <w:b w:val="1"/>
                <w:bCs w:val="1"/>
                <w:color w:val="auto"/>
              </w:rPr>
              <w:t>Under</w:t>
            </w:r>
          </w:p>
        </w:tc>
        <w:tc>
          <w:tcPr>
            <w:tcW w:w="106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Committed</w:t>
            </w:r>
          </w:p>
        </w:tc>
        <w:tc>
          <w:tcPr>
            <w:tcW w:w="1260" w:type="dxa"/>
            <w:vAlign w:val="bottom"/>
            <w:vMerge w:val="restart"/>
          </w:tcPr>
          <w:p>
            <w:pPr>
              <w:jc w:val="right"/>
              <w:ind w:right="463"/>
              <w:spacing w:after="0"/>
              <w:rPr>
                <w:sz w:val="20"/>
                <w:szCs w:val="20"/>
                <w:color w:val="auto"/>
              </w:rPr>
            </w:pPr>
            <w:r>
              <w:rPr>
                <w:rFonts w:ascii="Arial" w:cs="Arial" w:eastAsia="Arial" w:hAnsi="Arial"/>
                <w:sz w:val="11"/>
                <w:szCs w:val="11"/>
                <w:b w:val="1"/>
                <w:bCs w:val="1"/>
                <w:color w:val="auto"/>
              </w:rPr>
              <w:t>Priority</w:t>
            </w:r>
          </w:p>
        </w:tc>
        <w:tc>
          <w:tcPr>
            <w:tcW w:w="1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0"/>
        </w:trPr>
        <w:tc>
          <w:tcPr>
            <w:tcW w:w="3640" w:type="dxa"/>
            <w:vAlign w:val="bottom"/>
            <w:vMerge w:val="continue"/>
          </w:tcPr>
          <w:p>
            <w:pPr>
              <w:spacing w:after="0"/>
              <w:rPr>
                <w:sz w:val="9"/>
                <w:szCs w:val="9"/>
                <w:color w:val="auto"/>
              </w:rPr>
            </w:pPr>
          </w:p>
        </w:tc>
        <w:tc>
          <w:tcPr>
            <w:tcW w:w="760" w:type="dxa"/>
            <w:vAlign w:val="bottom"/>
          </w:tcPr>
          <w:p>
            <w:pPr>
              <w:jc w:val="center"/>
              <w:spacing w:after="0" w:line="110" w:lineRule="exact"/>
              <w:rPr>
                <w:sz w:val="20"/>
                <w:szCs w:val="20"/>
                <w:color w:val="auto"/>
              </w:rPr>
            </w:pPr>
            <w:r>
              <w:rPr>
                <w:rFonts w:ascii="Arial" w:cs="Arial" w:eastAsia="Arial" w:hAnsi="Arial"/>
                <w:sz w:val="11"/>
                <w:szCs w:val="11"/>
                <w:b w:val="1"/>
                <w:bCs w:val="1"/>
                <w:color w:val="auto"/>
              </w:rPr>
              <w:t>Ownership</w:t>
            </w:r>
          </w:p>
        </w:tc>
        <w:tc>
          <w:tcPr>
            <w:tcW w:w="88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Book Value</w:t>
            </w:r>
          </w:p>
        </w:tc>
        <w:tc>
          <w:tcPr>
            <w:tcW w:w="110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1260" w:type="dxa"/>
            <w:vAlign w:val="bottom"/>
            <w:vMerge w:val="continue"/>
          </w:tcPr>
          <w:p>
            <w:pPr>
              <w:spacing w:after="0"/>
              <w:rPr>
                <w:sz w:val="9"/>
                <w:szCs w:val="9"/>
                <w:color w:val="auto"/>
              </w:rPr>
            </w:pPr>
          </w:p>
        </w:tc>
        <w:tc>
          <w:tcPr>
            <w:tcW w:w="1100" w:type="dxa"/>
            <w:vAlign w:val="bottom"/>
            <w:vMerge w:val="restart"/>
          </w:tcPr>
          <w:p>
            <w:pPr>
              <w:jc w:val="right"/>
              <w:ind w:right="463"/>
              <w:spacing w:after="0"/>
              <w:rPr>
                <w:sz w:val="20"/>
                <w:szCs w:val="20"/>
                <w:color w:val="auto"/>
              </w:rPr>
            </w:pPr>
            <w:r>
              <w:rPr>
                <w:rFonts w:ascii="Arial" w:cs="Arial" w:eastAsia="Arial" w:hAnsi="Arial"/>
                <w:sz w:val="11"/>
                <w:szCs w:val="11"/>
                <w:b w:val="1"/>
                <w:bCs w:val="1"/>
                <w:color w:val="auto"/>
              </w:rPr>
              <w:t>Future</w:t>
            </w:r>
          </w:p>
        </w:tc>
        <w:tc>
          <w:tcPr>
            <w:tcW w:w="840" w:type="dxa"/>
            <w:vAlign w:val="bottom"/>
            <w:vMerge w:val="restart"/>
          </w:tcPr>
          <w:p>
            <w:pPr>
              <w:jc w:val="right"/>
              <w:ind w:right="163"/>
              <w:spacing w:after="0"/>
              <w:rPr>
                <w:sz w:val="20"/>
                <w:szCs w:val="20"/>
                <w:color w:val="auto"/>
              </w:rPr>
            </w:pPr>
            <w:r>
              <w:rPr>
                <w:rFonts w:ascii="Arial" w:cs="Arial" w:eastAsia="Arial" w:hAnsi="Arial"/>
                <w:sz w:val="11"/>
                <w:szCs w:val="11"/>
                <w:b w:val="1"/>
                <w:bCs w:val="1"/>
                <w:color w:val="auto"/>
              </w:rPr>
              <w:t>Total</w:t>
            </w:r>
            <w:r>
              <w:rPr>
                <w:rFonts w:ascii="Arial" w:cs="Arial" w:eastAsia="Arial" w:hAnsi="Arial"/>
                <w:sz w:val="14"/>
                <w:szCs w:val="14"/>
                <w:b w:val="1"/>
                <w:bCs w:val="1"/>
                <w:color w:val="auto"/>
                <w:vertAlign w:val="superscript"/>
              </w:rPr>
              <w:t>(1)</w:t>
            </w:r>
          </w:p>
        </w:tc>
        <w:tc>
          <w:tcPr>
            <w:tcW w:w="0" w:type="dxa"/>
            <w:vAlign w:val="bottom"/>
          </w:tcPr>
          <w:p>
            <w:pPr>
              <w:spacing w:after="0"/>
              <w:rPr>
                <w:sz w:val="1"/>
                <w:szCs w:val="1"/>
                <w:color w:val="auto"/>
              </w:rPr>
            </w:pPr>
          </w:p>
        </w:tc>
      </w:tr>
      <w:tr>
        <w:trPr>
          <w:trHeight w:val="185"/>
        </w:trPr>
        <w:tc>
          <w:tcPr>
            <w:tcW w:w="3640" w:type="dxa"/>
            <w:vAlign w:val="bottom"/>
          </w:tcPr>
          <w:p>
            <w:pPr>
              <w:ind w:left="120"/>
              <w:spacing w:after="0"/>
              <w:rPr>
                <w:sz w:val="20"/>
                <w:szCs w:val="20"/>
                <w:color w:val="auto"/>
              </w:rPr>
            </w:pPr>
            <w:r>
              <w:rPr>
                <w:rFonts w:ascii="Arial" w:cs="Arial" w:eastAsia="Arial" w:hAnsi="Arial"/>
                <w:sz w:val="11"/>
                <w:szCs w:val="11"/>
                <w:b w:val="1"/>
                <w:bCs w:val="1"/>
                <w:color w:val="auto"/>
              </w:rPr>
              <w:t>Property/Submarket</w:t>
            </w:r>
          </w:p>
        </w:tc>
        <w:tc>
          <w:tcPr>
            <w:tcW w:w="760" w:type="dxa"/>
            <w:vAlign w:val="bottom"/>
          </w:tcPr>
          <w:p>
            <w:pPr>
              <w:jc w:val="center"/>
              <w:spacing w:after="0"/>
              <w:rPr>
                <w:sz w:val="20"/>
                <w:szCs w:val="20"/>
                <w:color w:val="auto"/>
              </w:rPr>
            </w:pPr>
            <w:r>
              <w:rPr>
                <w:rFonts w:ascii="Arial" w:cs="Arial" w:eastAsia="Arial" w:hAnsi="Arial"/>
                <w:sz w:val="11"/>
                <w:szCs w:val="11"/>
                <w:b w:val="1"/>
                <w:bCs w:val="1"/>
                <w:color w:val="auto"/>
              </w:rPr>
              <w:t>Interest</w:t>
            </w:r>
          </w:p>
        </w:tc>
        <w:tc>
          <w:tcPr>
            <w:tcW w:w="880" w:type="dxa"/>
            <w:vAlign w:val="bottom"/>
            <w:gridSpan w:val="2"/>
            <w:vMerge w:val="continue"/>
          </w:tcPr>
          <w:p>
            <w:pPr>
              <w:spacing w:after="0"/>
              <w:rPr>
                <w:sz w:val="16"/>
                <w:szCs w:val="16"/>
                <w:color w:val="auto"/>
              </w:rPr>
            </w:pPr>
          </w:p>
        </w:tc>
        <w:tc>
          <w:tcPr>
            <w:tcW w:w="1100" w:type="dxa"/>
            <w:vAlign w:val="bottom"/>
          </w:tcPr>
          <w:p>
            <w:pPr>
              <w:jc w:val="right"/>
              <w:ind w:right="163"/>
              <w:spacing w:after="0"/>
              <w:rPr>
                <w:sz w:val="20"/>
                <w:szCs w:val="20"/>
                <w:color w:val="auto"/>
              </w:rPr>
            </w:pPr>
            <w:r>
              <w:rPr>
                <w:rFonts w:ascii="Arial" w:cs="Arial" w:eastAsia="Arial" w:hAnsi="Arial"/>
                <w:sz w:val="11"/>
                <w:szCs w:val="11"/>
                <w:b w:val="1"/>
                <w:bCs w:val="1"/>
                <w:color w:val="auto"/>
              </w:rPr>
              <w:t>Construction</w:t>
            </w:r>
          </w:p>
        </w:tc>
        <w:tc>
          <w:tcPr>
            <w:tcW w:w="1060" w:type="dxa"/>
            <w:vAlign w:val="bottom"/>
          </w:tcPr>
          <w:p>
            <w:pPr>
              <w:ind w:left="200"/>
              <w:spacing w:after="0"/>
              <w:rPr>
                <w:sz w:val="20"/>
                <w:szCs w:val="20"/>
                <w:color w:val="auto"/>
              </w:rPr>
            </w:pPr>
            <w:r>
              <w:rPr>
                <w:rFonts w:ascii="Arial" w:cs="Arial" w:eastAsia="Arial" w:hAnsi="Arial"/>
                <w:sz w:val="11"/>
                <w:szCs w:val="11"/>
                <w:b w:val="1"/>
                <w:bCs w:val="1"/>
                <w:color w:val="auto"/>
              </w:rPr>
              <w:t>Near Term</w:t>
            </w:r>
          </w:p>
        </w:tc>
        <w:tc>
          <w:tcPr>
            <w:tcW w:w="1260" w:type="dxa"/>
            <w:vAlign w:val="bottom"/>
          </w:tcPr>
          <w:p>
            <w:pPr>
              <w:ind w:left="240"/>
              <w:spacing w:after="0"/>
              <w:rPr>
                <w:sz w:val="20"/>
                <w:szCs w:val="20"/>
                <w:color w:val="auto"/>
              </w:rPr>
            </w:pPr>
            <w:r>
              <w:rPr>
                <w:rFonts w:ascii="Arial" w:cs="Arial" w:eastAsia="Arial" w:hAnsi="Arial"/>
                <w:sz w:val="11"/>
                <w:szCs w:val="11"/>
                <w:b w:val="1"/>
                <w:bCs w:val="1"/>
                <w:color w:val="auto"/>
              </w:rPr>
              <w:t>Anticipated</w:t>
            </w:r>
          </w:p>
        </w:tc>
        <w:tc>
          <w:tcPr>
            <w:tcW w:w="110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3640" w:type="dxa"/>
            <w:vAlign w:val="bottom"/>
          </w:tcPr>
          <w:p>
            <w:pPr>
              <w:spacing w:after="0"/>
              <w:rPr>
                <w:sz w:val="20"/>
                <w:szCs w:val="20"/>
                <w:color w:val="auto"/>
              </w:rPr>
            </w:pPr>
            <w:r>
              <w:rPr>
                <w:rFonts w:ascii="Arial" w:cs="Arial" w:eastAsia="Arial" w:hAnsi="Arial"/>
                <w:sz w:val="11"/>
                <w:szCs w:val="11"/>
                <w:color w:val="auto"/>
              </w:rPr>
              <w:t>San Francisco Bay Area</w:t>
            </w: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3640" w:type="dxa"/>
            <w:vAlign w:val="bottom"/>
          </w:tcPr>
          <w:p>
            <w:pPr>
              <w:ind w:left="120"/>
              <w:spacing w:after="0" w:line="136" w:lineRule="exact"/>
              <w:rPr>
                <w:sz w:val="20"/>
                <w:szCs w:val="20"/>
                <w:color w:val="auto"/>
              </w:rPr>
            </w:pPr>
            <w:r>
              <w:rPr>
                <w:rFonts w:ascii="Arial" w:cs="Arial" w:eastAsia="Arial" w:hAnsi="Arial"/>
                <w:sz w:val="11"/>
                <w:szCs w:val="11"/>
                <w:b w:val="1"/>
                <w:bCs w:val="1"/>
                <w:color w:val="auto"/>
              </w:rPr>
              <w:t>Mega Campus: Alexandria Center</w:t>
            </w:r>
            <w:r>
              <w:rPr>
                <w:rFonts w:ascii="Arial" w:cs="Arial" w:eastAsia="Arial" w:hAnsi="Arial"/>
                <w:sz w:val="14"/>
                <w:szCs w:val="14"/>
                <w:b w:val="1"/>
                <w:bCs w:val="1"/>
                <w:color w:val="auto"/>
                <w:vertAlign w:val="superscript"/>
              </w:rPr>
              <w:t>®</w:t>
            </w:r>
            <w:r>
              <w:rPr>
                <w:rFonts w:ascii="Arial" w:cs="Arial" w:eastAsia="Arial" w:hAnsi="Arial"/>
                <w:sz w:val="11"/>
                <w:szCs w:val="11"/>
                <w:b w:val="1"/>
                <w:bCs w:val="1"/>
                <w:color w:val="auto"/>
              </w:rPr>
              <w:t xml:space="preserve"> for Science and Technology</w:t>
            </w:r>
          </w:p>
        </w:tc>
        <w:tc>
          <w:tcPr>
            <w:tcW w:w="760" w:type="dxa"/>
            <w:vAlign w:val="bottom"/>
            <w:vMerge w:val="restart"/>
          </w:tcPr>
          <w:p>
            <w:pPr>
              <w:jc w:val="right"/>
              <w:ind w:right="203"/>
              <w:spacing w:after="0"/>
              <w:rPr>
                <w:sz w:val="20"/>
                <w:szCs w:val="20"/>
                <w:color w:val="auto"/>
              </w:rPr>
            </w:pPr>
            <w:r>
              <w:rPr>
                <w:rFonts w:ascii="Arial" w:cs="Arial" w:eastAsia="Arial" w:hAnsi="Arial"/>
                <w:sz w:val="11"/>
                <w:szCs w:val="11"/>
                <w:color w:val="auto"/>
              </w:rPr>
              <w:t>26.3%</w:t>
            </w:r>
          </w:p>
        </w:tc>
        <w:tc>
          <w:tcPr>
            <w:tcW w:w="160" w:type="dxa"/>
            <w:vAlign w:val="bottom"/>
            <w:vMerge w:val="restart"/>
          </w:tcPr>
          <w:p>
            <w:pPr>
              <w:ind w:left="60"/>
              <w:spacing w:after="0"/>
              <w:rPr>
                <w:sz w:val="20"/>
                <w:szCs w:val="20"/>
                <w:color w:val="auto"/>
              </w:rPr>
            </w:pPr>
            <w:r>
              <w:rPr>
                <w:rFonts w:ascii="Arial" w:cs="Arial" w:eastAsia="Arial" w:hAnsi="Arial"/>
                <w:sz w:val="11"/>
                <w:szCs w:val="11"/>
                <w:color w:val="auto"/>
              </w:rPr>
              <w:t>$</w:t>
            </w:r>
          </w:p>
        </w:tc>
        <w:tc>
          <w:tcPr>
            <w:tcW w:w="720" w:type="dxa"/>
            <w:vAlign w:val="bottom"/>
            <w:vMerge w:val="restart"/>
          </w:tcPr>
          <w:p>
            <w:pPr>
              <w:jc w:val="right"/>
              <w:ind w:right="123"/>
              <w:spacing w:after="0"/>
              <w:rPr>
                <w:sz w:val="20"/>
                <w:szCs w:val="20"/>
                <w:color w:val="auto"/>
              </w:rPr>
            </w:pPr>
            <w:r>
              <w:rPr>
                <w:rFonts w:ascii="Arial" w:cs="Arial" w:eastAsia="Arial" w:hAnsi="Arial"/>
                <w:sz w:val="11"/>
                <w:szCs w:val="11"/>
                <w:color w:val="auto"/>
              </w:rPr>
              <w:t>230,909</w:t>
            </w:r>
          </w:p>
        </w:tc>
        <w:tc>
          <w:tcPr>
            <w:tcW w:w="1100" w:type="dxa"/>
            <w:vAlign w:val="bottom"/>
            <w:vMerge w:val="restart"/>
          </w:tcPr>
          <w:p>
            <w:pPr>
              <w:jc w:val="right"/>
              <w:ind w:right="103"/>
              <w:spacing w:after="0"/>
              <w:rPr>
                <w:sz w:val="20"/>
                <w:szCs w:val="20"/>
                <w:color w:val="auto"/>
              </w:rPr>
            </w:pPr>
            <w:r>
              <w:rPr>
                <w:rFonts w:ascii="Arial" w:cs="Arial" w:eastAsia="Arial" w:hAnsi="Arial"/>
                <w:sz w:val="11"/>
                <w:szCs w:val="11"/>
                <w:color w:val="auto"/>
              </w:rPr>
              <w:t>212,796</w:t>
            </w:r>
          </w:p>
        </w:tc>
        <w:tc>
          <w:tcPr>
            <w:tcW w:w="1060" w:type="dxa"/>
            <w:vAlign w:val="bottom"/>
            <w:vMerge w:val="restart"/>
          </w:tcPr>
          <w:p>
            <w:pPr>
              <w:ind w:left="800"/>
              <w:spacing w:after="0"/>
              <w:rPr>
                <w:sz w:val="20"/>
                <w:szCs w:val="20"/>
                <w:color w:val="auto"/>
              </w:rPr>
            </w:pPr>
            <w:r>
              <w:rPr>
                <w:rFonts w:ascii="Arial" w:cs="Arial" w:eastAsia="Arial" w:hAnsi="Arial"/>
                <w:sz w:val="11"/>
                <w:szCs w:val="11"/>
                <w:color w:val="auto"/>
              </w:rPr>
              <w:t>—</w:t>
            </w:r>
          </w:p>
        </w:tc>
        <w:tc>
          <w:tcPr>
            <w:tcW w:w="1260" w:type="dxa"/>
            <w:vAlign w:val="bottom"/>
            <w:vMerge w:val="restart"/>
          </w:tcPr>
          <w:p>
            <w:pPr>
              <w:jc w:val="right"/>
              <w:ind w:right="223"/>
              <w:spacing w:after="0"/>
              <w:rPr>
                <w:sz w:val="20"/>
                <w:szCs w:val="20"/>
                <w:color w:val="auto"/>
              </w:rPr>
            </w:pPr>
            <w:r>
              <w:rPr>
                <w:rFonts w:ascii="Arial" w:cs="Arial" w:eastAsia="Arial" w:hAnsi="Arial"/>
                <w:sz w:val="11"/>
                <w:szCs w:val="11"/>
                <w:color w:val="auto"/>
              </w:rPr>
              <w:t>—</w:t>
            </w:r>
          </w:p>
        </w:tc>
        <w:tc>
          <w:tcPr>
            <w:tcW w:w="1100" w:type="dxa"/>
            <w:vAlign w:val="bottom"/>
            <w:vMerge w:val="restart"/>
          </w:tcPr>
          <w:p>
            <w:pPr>
              <w:jc w:val="right"/>
              <w:ind w:right="203"/>
              <w:spacing w:after="0"/>
              <w:rPr>
                <w:sz w:val="20"/>
                <w:szCs w:val="20"/>
                <w:color w:val="auto"/>
              </w:rPr>
            </w:pPr>
            <w:r>
              <w:rPr>
                <w:rFonts w:ascii="Arial" w:cs="Arial" w:eastAsia="Arial" w:hAnsi="Arial"/>
                <w:sz w:val="11"/>
                <w:szCs w:val="11"/>
                <w:color w:val="auto"/>
              </w:rPr>
              <w:t>—</w:t>
            </w:r>
          </w:p>
        </w:tc>
        <w:tc>
          <w:tcPr>
            <w:tcW w:w="840" w:type="dxa"/>
            <w:vAlign w:val="bottom"/>
            <w:vMerge w:val="restart"/>
          </w:tcPr>
          <w:p>
            <w:pPr>
              <w:jc w:val="right"/>
              <w:spacing w:after="0"/>
              <w:rPr>
                <w:sz w:val="20"/>
                <w:szCs w:val="20"/>
                <w:color w:val="auto"/>
              </w:rPr>
            </w:pPr>
            <w:r>
              <w:rPr>
                <w:rFonts w:ascii="Arial" w:cs="Arial" w:eastAsia="Arial" w:hAnsi="Arial"/>
                <w:sz w:val="11"/>
                <w:szCs w:val="11"/>
                <w:color w:val="auto"/>
              </w:rPr>
              <w:t>212,796</w:t>
            </w:r>
          </w:p>
        </w:tc>
        <w:tc>
          <w:tcPr>
            <w:tcW w:w="0" w:type="dxa"/>
            <w:vAlign w:val="bottom"/>
          </w:tcPr>
          <w:p>
            <w:pPr>
              <w:spacing w:after="0"/>
              <w:rPr>
                <w:sz w:val="1"/>
                <w:szCs w:val="1"/>
                <w:color w:val="auto"/>
              </w:rPr>
            </w:pPr>
          </w:p>
        </w:tc>
      </w:tr>
      <w:tr>
        <w:trPr>
          <w:trHeight w:val="158"/>
        </w:trPr>
        <w:tc>
          <w:tcPr>
            <w:tcW w:w="3640" w:type="dxa"/>
            <w:vAlign w:val="bottom"/>
          </w:tcPr>
          <w:p>
            <w:pPr>
              <w:ind w:left="260"/>
              <w:spacing w:after="0"/>
              <w:rPr>
                <w:sz w:val="20"/>
                <w:szCs w:val="20"/>
                <w:color w:val="auto"/>
              </w:rPr>
            </w:pPr>
            <w:r>
              <w:rPr>
                <w:rFonts w:ascii="Arial" w:cs="Arial" w:eastAsia="Arial" w:hAnsi="Arial"/>
                <w:sz w:val="11"/>
                <w:szCs w:val="11"/>
                <w:b w:val="1"/>
                <w:bCs w:val="1"/>
                <w:color w:val="auto"/>
              </w:rPr>
              <w:t>– Mission Bay/Mission Bay</w:t>
            </w:r>
          </w:p>
        </w:tc>
        <w:tc>
          <w:tcPr>
            <w:tcW w:w="760" w:type="dxa"/>
            <w:vAlign w:val="bottom"/>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1060" w:type="dxa"/>
            <w:vAlign w:val="bottom"/>
            <w:vMerge w:val="continue"/>
          </w:tcPr>
          <w:p>
            <w:pPr>
              <w:spacing w:after="0"/>
              <w:rPr>
                <w:sz w:val="13"/>
                <w:szCs w:val="13"/>
                <w:color w:val="auto"/>
              </w:rPr>
            </w:pPr>
          </w:p>
        </w:tc>
        <w:tc>
          <w:tcPr>
            <w:tcW w:w="1260" w:type="dxa"/>
            <w:vAlign w:val="bottom"/>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3640" w:type="dxa"/>
            <w:vAlign w:val="bottom"/>
          </w:tcPr>
          <w:p>
            <w:pPr>
              <w:ind w:left="180"/>
              <w:spacing w:after="0"/>
              <w:rPr>
                <w:sz w:val="20"/>
                <w:szCs w:val="20"/>
                <w:color w:val="auto"/>
              </w:rPr>
            </w:pPr>
            <w:r>
              <w:rPr>
                <w:rFonts w:ascii="Arial" w:cs="Arial" w:eastAsia="Arial" w:hAnsi="Arial"/>
                <w:sz w:val="11"/>
                <w:szCs w:val="11"/>
                <w:i w:val="1"/>
                <w:iCs w:val="1"/>
                <w:color w:val="auto"/>
              </w:rPr>
              <w:t>1450 Owens Street</w:t>
            </w: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3640" w:type="dxa"/>
            <w:vAlign w:val="bottom"/>
          </w:tcPr>
          <w:p>
            <w:pPr>
              <w:ind w:left="120"/>
              <w:spacing w:after="0"/>
              <w:rPr>
                <w:sz w:val="20"/>
                <w:szCs w:val="20"/>
                <w:color w:val="auto"/>
              </w:rPr>
            </w:pPr>
            <w:r>
              <w:rPr>
                <w:rFonts w:ascii="Arial" w:cs="Arial" w:eastAsia="Arial" w:hAnsi="Arial"/>
                <w:sz w:val="11"/>
                <w:szCs w:val="11"/>
                <w:color w:val="auto"/>
              </w:rPr>
              <w:t>Alexandria Center</w:t>
            </w:r>
            <w:r>
              <w:rPr>
                <w:rFonts w:ascii="Arial" w:cs="Arial" w:eastAsia="Arial" w:hAnsi="Arial"/>
                <w:sz w:val="14"/>
                <w:szCs w:val="14"/>
                <w:color w:val="auto"/>
                <w:vertAlign w:val="superscript"/>
              </w:rPr>
              <w:t>®</w:t>
            </w:r>
            <w:r>
              <w:rPr>
                <w:rFonts w:ascii="Arial" w:cs="Arial" w:eastAsia="Arial" w:hAnsi="Arial"/>
                <w:sz w:val="11"/>
                <w:szCs w:val="11"/>
                <w:color w:val="auto"/>
              </w:rPr>
              <w:t xml:space="preserve"> for Life Science – Millbrae/South San Francisco</w:t>
            </w:r>
          </w:p>
        </w:tc>
        <w:tc>
          <w:tcPr>
            <w:tcW w:w="760" w:type="dxa"/>
            <w:vAlign w:val="bottom"/>
          </w:tcPr>
          <w:p>
            <w:pPr>
              <w:jc w:val="right"/>
              <w:ind w:right="203"/>
              <w:spacing w:after="0"/>
              <w:rPr>
                <w:sz w:val="20"/>
                <w:szCs w:val="20"/>
                <w:color w:val="auto"/>
              </w:rPr>
            </w:pPr>
            <w:r>
              <w:rPr>
                <w:rFonts w:ascii="Arial" w:cs="Arial" w:eastAsia="Arial" w:hAnsi="Arial"/>
                <w:sz w:val="11"/>
                <w:szCs w:val="11"/>
                <w:color w:val="auto"/>
              </w:rPr>
              <w:t>47.7%</w:t>
            </w:r>
          </w:p>
        </w:tc>
        <w:tc>
          <w:tcPr>
            <w:tcW w:w="160" w:type="dxa"/>
            <w:vAlign w:val="bottom"/>
          </w:tcPr>
          <w:p>
            <w:pPr>
              <w:spacing w:after="0"/>
              <w:rPr>
                <w:sz w:val="18"/>
                <w:szCs w:val="18"/>
                <w:color w:val="auto"/>
              </w:rPr>
            </w:pPr>
          </w:p>
        </w:tc>
        <w:tc>
          <w:tcPr>
            <w:tcW w:w="720" w:type="dxa"/>
            <w:vAlign w:val="bottom"/>
          </w:tcPr>
          <w:p>
            <w:pPr>
              <w:jc w:val="right"/>
              <w:ind w:right="123"/>
              <w:spacing w:after="0"/>
              <w:rPr>
                <w:sz w:val="20"/>
                <w:szCs w:val="20"/>
                <w:color w:val="auto"/>
              </w:rPr>
            </w:pPr>
            <w:r>
              <w:rPr>
                <w:rFonts w:ascii="Arial" w:cs="Arial" w:eastAsia="Arial" w:hAnsi="Arial"/>
                <w:sz w:val="11"/>
                <w:szCs w:val="11"/>
                <w:color w:val="auto"/>
              </w:rPr>
              <w:t>469,434</w:t>
            </w:r>
          </w:p>
        </w:tc>
        <w:tc>
          <w:tcPr>
            <w:tcW w:w="1100" w:type="dxa"/>
            <w:vAlign w:val="bottom"/>
          </w:tcPr>
          <w:p>
            <w:pPr>
              <w:jc w:val="right"/>
              <w:ind w:right="103"/>
              <w:spacing w:after="0"/>
              <w:rPr>
                <w:sz w:val="20"/>
                <w:szCs w:val="20"/>
                <w:color w:val="auto"/>
              </w:rPr>
            </w:pPr>
            <w:r>
              <w:rPr>
                <w:rFonts w:ascii="Arial" w:cs="Arial" w:eastAsia="Arial" w:hAnsi="Arial"/>
                <w:sz w:val="11"/>
                <w:szCs w:val="11"/>
                <w:color w:val="auto"/>
              </w:rPr>
              <w:t>285,346</w:t>
            </w:r>
          </w:p>
        </w:tc>
        <w:tc>
          <w:tcPr>
            <w:tcW w:w="1060" w:type="dxa"/>
            <w:vAlign w:val="bottom"/>
          </w:tcPr>
          <w:p>
            <w:pPr>
              <w:ind w:left="800"/>
              <w:spacing w:after="0"/>
              <w:rPr>
                <w:sz w:val="20"/>
                <w:szCs w:val="20"/>
                <w:color w:val="auto"/>
              </w:rPr>
            </w:pPr>
            <w:r>
              <w:rPr>
                <w:rFonts w:ascii="Arial" w:cs="Arial" w:eastAsia="Arial" w:hAnsi="Arial"/>
                <w:sz w:val="11"/>
                <w:szCs w:val="11"/>
                <w:color w:val="auto"/>
              </w:rPr>
              <w:t>—</w:t>
            </w:r>
          </w:p>
        </w:tc>
        <w:tc>
          <w:tcPr>
            <w:tcW w:w="1260" w:type="dxa"/>
            <w:vAlign w:val="bottom"/>
          </w:tcPr>
          <w:p>
            <w:pPr>
              <w:jc w:val="right"/>
              <w:ind w:right="223"/>
              <w:spacing w:after="0"/>
              <w:rPr>
                <w:sz w:val="20"/>
                <w:szCs w:val="20"/>
                <w:color w:val="auto"/>
              </w:rPr>
            </w:pPr>
            <w:r>
              <w:rPr>
                <w:rFonts w:ascii="Arial" w:cs="Arial" w:eastAsia="Arial" w:hAnsi="Arial"/>
                <w:sz w:val="11"/>
                <w:szCs w:val="11"/>
                <w:color w:val="auto"/>
              </w:rPr>
              <w:t>198,188</w:t>
            </w:r>
          </w:p>
        </w:tc>
        <w:tc>
          <w:tcPr>
            <w:tcW w:w="1100" w:type="dxa"/>
            <w:vAlign w:val="bottom"/>
          </w:tcPr>
          <w:p>
            <w:pPr>
              <w:jc w:val="right"/>
              <w:ind w:right="203"/>
              <w:spacing w:after="0"/>
              <w:rPr>
                <w:sz w:val="20"/>
                <w:szCs w:val="20"/>
                <w:color w:val="auto"/>
              </w:rPr>
            </w:pPr>
            <w:r>
              <w:rPr>
                <w:rFonts w:ascii="Arial" w:cs="Arial" w:eastAsia="Arial" w:hAnsi="Arial"/>
                <w:sz w:val="11"/>
                <w:szCs w:val="11"/>
                <w:color w:val="auto"/>
              </w:rPr>
              <w:t>150,213</w:t>
            </w:r>
          </w:p>
        </w:tc>
        <w:tc>
          <w:tcPr>
            <w:tcW w:w="840" w:type="dxa"/>
            <w:vAlign w:val="bottom"/>
          </w:tcPr>
          <w:p>
            <w:pPr>
              <w:jc w:val="right"/>
              <w:spacing w:after="0"/>
              <w:rPr>
                <w:sz w:val="20"/>
                <w:szCs w:val="20"/>
                <w:color w:val="auto"/>
              </w:rPr>
            </w:pPr>
            <w:r>
              <w:rPr>
                <w:rFonts w:ascii="Arial" w:cs="Arial" w:eastAsia="Arial" w:hAnsi="Arial"/>
                <w:sz w:val="11"/>
                <w:szCs w:val="11"/>
                <w:color w:val="auto"/>
              </w:rPr>
              <w:t>633,747</w:t>
            </w:r>
          </w:p>
        </w:tc>
        <w:tc>
          <w:tcPr>
            <w:tcW w:w="0" w:type="dxa"/>
            <w:vAlign w:val="bottom"/>
          </w:tcPr>
          <w:p>
            <w:pPr>
              <w:spacing w:after="0"/>
              <w:rPr>
                <w:sz w:val="1"/>
                <w:szCs w:val="1"/>
                <w:color w:val="auto"/>
              </w:rPr>
            </w:pPr>
          </w:p>
        </w:tc>
      </w:tr>
      <w:tr>
        <w:trPr>
          <w:trHeight w:val="122"/>
        </w:trPr>
        <w:tc>
          <w:tcPr>
            <w:tcW w:w="3640" w:type="dxa"/>
            <w:vAlign w:val="bottom"/>
          </w:tcPr>
          <w:p>
            <w:pPr>
              <w:ind w:left="180"/>
              <w:spacing w:after="0" w:line="122" w:lineRule="exact"/>
              <w:rPr>
                <w:sz w:val="20"/>
                <w:szCs w:val="20"/>
                <w:color w:val="auto"/>
              </w:rPr>
            </w:pPr>
            <w:r>
              <w:rPr>
                <w:rFonts w:ascii="Arial" w:cs="Arial" w:eastAsia="Arial" w:hAnsi="Arial"/>
                <w:sz w:val="11"/>
                <w:szCs w:val="11"/>
                <w:i w:val="1"/>
                <w:iCs w:val="1"/>
                <w:color w:val="auto"/>
              </w:rPr>
              <w:t>230 Harriet Tubman Way, 201 and 231 Adrian Road, and 6 and 30</w:t>
            </w: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3640" w:type="dxa"/>
            <w:vAlign w:val="bottom"/>
          </w:tcPr>
          <w:p>
            <w:pPr>
              <w:ind w:left="320"/>
              <w:spacing w:after="0"/>
              <w:rPr>
                <w:sz w:val="20"/>
                <w:szCs w:val="20"/>
                <w:color w:val="auto"/>
              </w:rPr>
            </w:pPr>
            <w:r>
              <w:rPr>
                <w:rFonts w:ascii="Arial" w:cs="Arial" w:eastAsia="Arial" w:hAnsi="Arial"/>
                <w:sz w:val="11"/>
                <w:szCs w:val="11"/>
                <w:i w:val="1"/>
                <w:iCs w:val="1"/>
                <w:color w:val="auto"/>
              </w:rPr>
              <w:t>Rollins Road</w:t>
            </w: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3640" w:type="dxa"/>
            <w:vAlign w:val="bottom"/>
          </w:tcPr>
          <w:p>
            <w:pPr>
              <w:ind w:left="120"/>
              <w:spacing w:after="0" w:line="141" w:lineRule="exact"/>
              <w:rPr>
                <w:sz w:val="20"/>
                <w:szCs w:val="20"/>
                <w:color w:val="auto"/>
              </w:rPr>
            </w:pPr>
            <w:r>
              <w:rPr>
                <w:rFonts w:ascii="Arial" w:cs="Arial" w:eastAsia="Arial" w:hAnsi="Arial"/>
                <w:sz w:val="11"/>
                <w:szCs w:val="11"/>
                <w:b w:val="1"/>
                <w:bCs w:val="1"/>
                <w:color w:val="auto"/>
              </w:rPr>
              <w:t>Mega Campus: Alexandria Technology Center</w:t>
            </w:r>
            <w:r>
              <w:rPr>
                <w:rFonts w:ascii="Arial" w:cs="Arial" w:eastAsia="Arial" w:hAnsi="Arial"/>
                <w:sz w:val="14"/>
                <w:szCs w:val="14"/>
                <w:b w:val="1"/>
                <w:bCs w:val="1"/>
                <w:color w:val="auto"/>
                <w:vertAlign w:val="superscript"/>
              </w:rPr>
              <w:t>®</w:t>
            </w:r>
            <w:r>
              <w:rPr>
                <w:rFonts w:ascii="Arial" w:cs="Arial" w:eastAsia="Arial" w:hAnsi="Arial"/>
                <w:sz w:val="11"/>
                <w:szCs w:val="11"/>
                <w:b w:val="1"/>
                <w:bCs w:val="1"/>
                <w:color w:val="auto"/>
              </w:rPr>
              <w:t xml:space="preserve"> – Gateway/</w:t>
            </w:r>
          </w:p>
        </w:tc>
        <w:tc>
          <w:tcPr>
            <w:tcW w:w="760" w:type="dxa"/>
            <w:vAlign w:val="bottom"/>
            <w:vMerge w:val="restart"/>
          </w:tcPr>
          <w:p>
            <w:pPr>
              <w:jc w:val="right"/>
              <w:ind w:right="203"/>
              <w:spacing w:after="0"/>
              <w:rPr>
                <w:sz w:val="20"/>
                <w:szCs w:val="20"/>
                <w:color w:val="auto"/>
              </w:rPr>
            </w:pPr>
            <w:r>
              <w:rPr>
                <w:rFonts w:ascii="Arial" w:cs="Arial" w:eastAsia="Arial" w:hAnsi="Arial"/>
                <w:sz w:val="11"/>
                <w:szCs w:val="11"/>
                <w:color w:val="auto"/>
              </w:rPr>
              <w:t>50.0%</w:t>
            </w:r>
          </w:p>
        </w:tc>
        <w:tc>
          <w:tcPr>
            <w:tcW w:w="160" w:type="dxa"/>
            <w:vAlign w:val="bottom"/>
          </w:tcPr>
          <w:p>
            <w:pPr>
              <w:spacing w:after="0"/>
              <w:rPr>
                <w:sz w:val="12"/>
                <w:szCs w:val="12"/>
                <w:color w:val="auto"/>
              </w:rPr>
            </w:pPr>
          </w:p>
        </w:tc>
        <w:tc>
          <w:tcPr>
            <w:tcW w:w="720" w:type="dxa"/>
            <w:vAlign w:val="bottom"/>
            <w:vMerge w:val="restart"/>
          </w:tcPr>
          <w:p>
            <w:pPr>
              <w:jc w:val="right"/>
              <w:ind w:right="123"/>
              <w:spacing w:after="0"/>
              <w:rPr>
                <w:sz w:val="20"/>
                <w:szCs w:val="20"/>
                <w:color w:val="auto"/>
              </w:rPr>
            </w:pPr>
            <w:r>
              <w:rPr>
                <w:rFonts w:ascii="Arial" w:cs="Arial" w:eastAsia="Arial" w:hAnsi="Arial"/>
                <w:sz w:val="11"/>
                <w:szCs w:val="11"/>
                <w:color w:val="auto"/>
              </w:rPr>
              <w:t>302,398</w:t>
            </w:r>
          </w:p>
        </w:tc>
        <w:tc>
          <w:tcPr>
            <w:tcW w:w="1100" w:type="dxa"/>
            <w:vAlign w:val="bottom"/>
            <w:vMerge w:val="restart"/>
          </w:tcPr>
          <w:p>
            <w:pPr>
              <w:jc w:val="right"/>
              <w:ind w:right="103"/>
              <w:spacing w:after="0"/>
              <w:rPr>
                <w:sz w:val="20"/>
                <w:szCs w:val="20"/>
                <w:color w:val="auto"/>
              </w:rPr>
            </w:pPr>
            <w:r>
              <w:rPr>
                <w:rFonts w:ascii="Arial" w:cs="Arial" w:eastAsia="Arial" w:hAnsi="Arial"/>
                <w:sz w:val="11"/>
                <w:szCs w:val="11"/>
                <w:color w:val="auto"/>
              </w:rPr>
              <w:t>282,054</w:t>
            </w:r>
          </w:p>
        </w:tc>
        <w:tc>
          <w:tcPr>
            <w:tcW w:w="1060" w:type="dxa"/>
            <w:vAlign w:val="bottom"/>
            <w:vMerge w:val="restart"/>
          </w:tcPr>
          <w:p>
            <w:pPr>
              <w:ind w:left="800"/>
              <w:spacing w:after="0"/>
              <w:rPr>
                <w:sz w:val="20"/>
                <w:szCs w:val="20"/>
                <w:color w:val="auto"/>
              </w:rPr>
            </w:pPr>
            <w:r>
              <w:rPr>
                <w:rFonts w:ascii="Arial" w:cs="Arial" w:eastAsia="Arial" w:hAnsi="Arial"/>
                <w:sz w:val="11"/>
                <w:szCs w:val="11"/>
                <w:color w:val="auto"/>
              </w:rPr>
              <w:t>—</w:t>
            </w:r>
          </w:p>
        </w:tc>
        <w:tc>
          <w:tcPr>
            <w:tcW w:w="1260" w:type="dxa"/>
            <w:vAlign w:val="bottom"/>
            <w:vMerge w:val="restart"/>
          </w:tcPr>
          <w:p>
            <w:pPr>
              <w:jc w:val="right"/>
              <w:ind w:right="223"/>
              <w:spacing w:after="0"/>
              <w:rPr>
                <w:sz w:val="20"/>
                <w:szCs w:val="20"/>
                <w:color w:val="auto"/>
              </w:rPr>
            </w:pPr>
            <w:r>
              <w:rPr>
                <w:rFonts w:ascii="Arial" w:cs="Arial" w:eastAsia="Arial" w:hAnsi="Arial"/>
                <w:sz w:val="11"/>
                <w:szCs w:val="11"/>
                <w:color w:val="auto"/>
              </w:rPr>
              <w:t>—</w:t>
            </w:r>
          </w:p>
        </w:tc>
        <w:tc>
          <w:tcPr>
            <w:tcW w:w="1100" w:type="dxa"/>
            <w:vAlign w:val="bottom"/>
            <w:vMerge w:val="restart"/>
          </w:tcPr>
          <w:p>
            <w:pPr>
              <w:jc w:val="right"/>
              <w:ind w:right="203"/>
              <w:spacing w:after="0"/>
              <w:rPr>
                <w:sz w:val="20"/>
                <w:szCs w:val="20"/>
                <w:color w:val="auto"/>
              </w:rPr>
            </w:pPr>
            <w:r>
              <w:rPr>
                <w:rFonts w:ascii="Arial" w:cs="Arial" w:eastAsia="Arial" w:hAnsi="Arial"/>
                <w:sz w:val="11"/>
                <w:szCs w:val="11"/>
                <w:color w:val="auto"/>
              </w:rPr>
              <w:t>291,000</w:t>
            </w:r>
          </w:p>
        </w:tc>
        <w:tc>
          <w:tcPr>
            <w:tcW w:w="840" w:type="dxa"/>
            <w:vAlign w:val="bottom"/>
            <w:vMerge w:val="restart"/>
          </w:tcPr>
          <w:p>
            <w:pPr>
              <w:jc w:val="right"/>
              <w:spacing w:after="0"/>
              <w:rPr>
                <w:sz w:val="20"/>
                <w:szCs w:val="20"/>
                <w:color w:val="auto"/>
              </w:rPr>
            </w:pPr>
            <w:r>
              <w:rPr>
                <w:rFonts w:ascii="Arial" w:cs="Arial" w:eastAsia="Arial" w:hAnsi="Arial"/>
                <w:sz w:val="11"/>
                <w:szCs w:val="11"/>
                <w:color w:val="auto"/>
              </w:rPr>
              <w:t>573,054</w:t>
            </w:r>
          </w:p>
        </w:tc>
        <w:tc>
          <w:tcPr>
            <w:tcW w:w="0" w:type="dxa"/>
            <w:vAlign w:val="bottom"/>
          </w:tcPr>
          <w:p>
            <w:pPr>
              <w:spacing w:after="0"/>
              <w:rPr>
                <w:sz w:val="1"/>
                <w:szCs w:val="1"/>
                <w:color w:val="auto"/>
              </w:rPr>
            </w:pPr>
          </w:p>
        </w:tc>
      </w:tr>
      <w:tr>
        <w:trPr>
          <w:trHeight w:val="158"/>
        </w:trPr>
        <w:tc>
          <w:tcPr>
            <w:tcW w:w="3640" w:type="dxa"/>
            <w:vAlign w:val="bottom"/>
          </w:tcPr>
          <w:p>
            <w:pPr>
              <w:ind w:left="260"/>
              <w:spacing w:after="0"/>
              <w:rPr>
                <w:sz w:val="20"/>
                <w:szCs w:val="20"/>
                <w:color w:val="auto"/>
              </w:rPr>
            </w:pPr>
            <w:r>
              <w:rPr>
                <w:rFonts w:ascii="Arial" w:cs="Arial" w:eastAsia="Arial" w:hAnsi="Arial"/>
                <w:sz w:val="11"/>
                <w:szCs w:val="11"/>
                <w:b w:val="1"/>
                <w:bCs w:val="1"/>
                <w:color w:val="auto"/>
              </w:rPr>
              <w:t>South San Francisco</w:t>
            </w:r>
          </w:p>
        </w:tc>
        <w:tc>
          <w:tcPr>
            <w:tcW w:w="76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1060" w:type="dxa"/>
            <w:vAlign w:val="bottom"/>
            <w:vMerge w:val="continue"/>
          </w:tcPr>
          <w:p>
            <w:pPr>
              <w:spacing w:after="0"/>
              <w:rPr>
                <w:sz w:val="13"/>
                <w:szCs w:val="13"/>
                <w:color w:val="auto"/>
              </w:rPr>
            </w:pPr>
          </w:p>
        </w:tc>
        <w:tc>
          <w:tcPr>
            <w:tcW w:w="1260" w:type="dxa"/>
            <w:vAlign w:val="bottom"/>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3640" w:type="dxa"/>
            <w:vAlign w:val="bottom"/>
          </w:tcPr>
          <w:p>
            <w:pPr>
              <w:ind w:left="180"/>
              <w:spacing w:after="0"/>
              <w:rPr>
                <w:sz w:val="20"/>
                <w:szCs w:val="20"/>
                <w:color w:val="auto"/>
              </w:rPr>
            </w:pPr>
            <w:r>
              <w:rPr>
                <w:rFonts w:ascii="Arial" w:cs="Arial" w:eastAsia="Arial" w:hAnsi="Arial"/>
                <w:sz w:val="11"/>
                <w:szCs w:val="11"/>
                <w:i w:val="1"/>
                <w:iCs w:val="1"/>
                <w:color w:val="auto"/>
              </w:rPr>
              <w:t>651 Gateway Boulevard</w:t>
            </w: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3640" w:type="dxa"/>
            <w:vAlign w:val="bottom"/>
          </w:tcPr>
          <w:p>
            <w:pPr>
              <w:ind w:left="120"/>
              <w:spacing w:after="0" w:line="136" w:lineRule="exact"/>
              <w:rPr>
                <w:sz w:val="20"/>
                <w:szCs w:val="20"/>
                <w:color w:val="auto"/>
              </w:rPr>
            </w:pPr>
            <w:r>
              <w:rPr>
                <w:rFonts w:ascii="Arial" w:cs="Arial" w:eastAsia="Arial" w:hAnsi="Arial"/>
                <w:sz w:val="11"/>
                <w:szCs w:val="11"/>
                <w:b w:val="1"/>
                <w:bCs w:val="1"/>
                <w:color w:val="auto"/>
              </w:rPr>
              <w:t>Mega Campus: Alexandria Center</w:t>
            </w:r>
            <w:r>
              <w:rPr>
                <w:rFonts w:ascii="Arial" w:cs="Arial" w:eastAsia="Arial" w:hAnsi="Arial"/>
                <w:sz w:val="14"/>
                <w:szCs w:val="14"/>
                <w:b w:val="1"/>
                <w:bCs w:val="1"/>
                <w:color w:val="auto"/>
                <w:vertAlign w:val="superscript"/>
              </w:rPr>
              <w:t>®</w:t>
            </w:r>
            <w:r>
              <w:rPr>
                <w:rFonts w:ascii="Arial" w:cs="Arial" w:eastAsia="Arial" w:hAnsi="Arial"/>
                <w:sz w:val="11"/>
                <w:szCs w:val="11"/>
                <w:b w:val="1"/>
                <w:bCs w:val="1"/>
                <w:color w:val="auto"/>
              </w:rPr>
              <w:t xml:space="preserve"> for Advanced Technologies</w:t>
            </w:r>
          </w:p>
        </w:tc>
        <w:tc>
          <w:tcPr>
            <w:tcW w:w="760" w:type="dxa"/>
            <w:vAlign w:val="bottom"/>
            <w:vMerge w:val="restart"/>
          </w:tcPr>
          <w:p>
            <w:pPr>
              <w:jc w:val="right"/>
              <w:ind w:right="203"/>
              <w:spacing w:after="0"/>
              <w:rPr>
                <w:sz w:val="20"/>
                <w:szCs w:val="20"/>
                <w:color w:val="auto"/>
              </w:rPr>
            </w:pPr>
            <w:r>
              <w:rPr>
                <w:rFonts w:ascii="Arial" w:cs="Arial" w:eastAsia="Arial" w:hAnsi="Arial"/>
                <w:sz w:val="11"/>
                <w:szCs w:val="11"/>
                <w:color w:val="auto"/>
              </w:rPr>
              <w:t>100%</w:t>
            </w:r>
          </w:p>
        </w:tc>
        <w:tc>
          <w:tcPr>
            <w:tcW w:w="160" w:type="dxa"/>
            <w:vAlign w:val="bottom"/>
          </w:tcPr>
          <w:p>
            <w:pPr>
              <w:spacing w:after="0"/>
              <w:rPr>
                <w:sz w:val="11"/>
                <w:szCs w:val="11"/>
                <w:color w:val="auto"/>
              </w:rPr>
            </w:pPr>
          </w:p>
        </w:tc>
        <w:tc>
          <w:tcPr>
            <w:tcW w:w="720" w:type="dxa"/>
            <w:vAlign w:val="bottom"/>
            <w:vMerge w:val="restart"/>
          </w:tcPr>
          <w:p>
            <w:pPr>
              <w:jc w:val="right"/>
              <w:ind w:right="123"/>
              <w:spacing w:after="0"/>
              <w:rPr>
                <w:sz w:val="20"/>
                <w:szCs w:val="20"/>
                <w:color w:val="auto"/>
              </w:rPr>
            </w:pPr>
            <w:r>
              <w:rPr>
                <w:rFonts w:ascii="Arial" w:cs="Arial" w:eastAsia="Arial" w:hAnsi="Arial"/>
                <w:sz w:val="11"/>
                <w:szCs w:val="11"/>
                <w:color w:val="auto"/>
              </w:rPr>
              <w:t>388,661</w:t>
            </w:r>
          </w:p>
        </w:tc>
        <w:tc>
          <w:tcPr>
            <w:tcW w:w="1100" w:type="dxa"/>
            <w:vAlign w:val="bottom"/>
            <w:vMerge w:val="restart"/>
          </w:tcPr>
          <w:p>
            <w:pPr>
              <w:jc w:val="right"/>
              <w:ind w:right="103"/>
              <w:spacing w:after="0"/>
              <w:rPr>
                <w:sz w:val="20"/>
                <w:szCs w:val="20"/>
                <w:color w:val="auto"/>
              </w:rPr>
            </w:pPr>
            <w:r>
              <w:rPr>
                <w:rFonts w:ascii="Arial" w:cs="Arial" w:eastAsia="Arial" w:hAnsi="Arial"/>
                <w:sz w:val="11"/>
                <w:szCs w:val="11"/>
                <w:color w:val="auto"/>
              </w:rPr>
              <w:t>—</w:t>
            </w:r>
          </w:p>
        </w:tc>
        <w:tc>
          <w:tcPr>
            <w:tcW w:w="1060" w:type="dxa"/>
            <w:vAlign w:val="bottom"/>
            <w:vMerge w:val="restart"/>
          </w:tcPr>
          <w:p>
            <w:pPr>
              <w:ind w:left="800"/>
              <w:spacing w:after="0"/>
              <w:rPr>
                <w:sz w:val="20"/>
                <w:szCs w:val="20"/>
                <w:color w:val="auto"/>
              </w:rPr>
            </w:pPr>
            <w:r>
              <w:rPr>
                <w:rFonts w:ascii="Arial" w:cs="Arial" w:eastAsia="Arial" w:hAnsi="Arial"/>
                <w:sz w:val="11"/>
                <w:szCs w:val="11"/>
                <w:color w:val="auto"/>
              </w:rPr>
              <w:t>—</w:t>
            </w:r>
          </w:p>
        </w:tc>
        <w:tc>
          <w:tcPr>
            <w:tcW w:w="1260" w:type="dxa"/>
            <w:vAlign w:val="bottom"/>
            <w:vMerge w:val="restart"/>
          </w:tcPr>
          <w:p>
            <w:pPr>
              <w:jc w:val="right"/>
              <w:ind w:right="223"/>
              <w:spacing w:after="0"/>
              <w:rPr>
                <w:sz w:val="20"/>
                <w:szCs w:val="20"/>
                <w:color w:val="auto"/>
              </w:rPr>
            </w:pPr>
            <w:r>
              <w:rPr>
                <w:rFonts w:ascii="Arial" w:cs="Arial" w:eastAsia="Arial" w:hAnsi="Arial"/>
                <w:sz w:val="11"/>
                <w:szCs w:val="11"/>
                <w:color w:val="auto"/>
              </w:rPr>
              <w:t>150,000</w:t>
            </w:r>
          </w:p>
        </w:tc>
        <w:tc>
          <w:tcPr>
            <w:tcW w:w="1100" w:type="dxa"/>
            <w:vAlign w:val="bottom"/>
            <w:vMerge w:val="restart"/>
          </w:tcPr>
          <w:p>
            <w:pPr>
              <w:jc w:val="right"/>
              <w:ind w:right="203"/>
              <w:spacing w:after="0"/>
              <w:rPr>
                <w:sz w:val="20"/>
                <w:szCs w:val="20"/>
                <w:color w:val="auto"/>
              </w:rPr>
            </w:pPr>
            <w:r>
              <w:rPr>
                <w:rFonts w:ascii="Arial" w:cs="Arial" w:eastAsia="Arial" w:hAnsi="Arial"/>
                <w:sz w:val="11"/>
                <w:szCs w:val="11"/>
                <w:color w:val="auto"/>
              </w:rPr>
              <w:t>1,780,000</w:t>
            </w:r>
          </w:p>
        </w:tc>
        <w:tc>
          <w:tcPr>
            <w:tcW w:w="840" w:type="dxa"/>
            <w:vAlign w:val="bottom"/>
            <w:vMerge w:val="restart"/>
          </w:tcPr>
          <w:p>
            <w:pPr>
              <w:jc w:val="right"/>
              <w:spacing w:after="0"/>
              <w:rPr>
                <w:sz w:val="20"/>
                <w:szCs w:val="20"/>
                <w:color w:val="auto"/>
              </w:rPr>
            </w:pPr>
            <w:r>
              <w:rPr>
                <w:rFonts w:ascii="Arial" w:cs="Arial" w:eastAsia="Arial" w:hAnsi="Arial"/>
                <w:sz w:val="11"/>
                <w:szCs w:val="11"/>
                <w:color w:val="auto"/>
              </w:rPr>
              <w:t>1,930,000</w:t>
            </w:r>
          </w:p>
        </w:tc>
        <w:tc>
          <w:tcPr>
            <w:tcW w:w="0" w:type="dxa"/>
            <w:vAlign w:val="bottom"/>
          </w:tcPr>
          <w:p>
            <w:pPr>
              <w:spacing w:after="0"/>
              <w:rPr>
                <w:sz w:val="1"/>
                <w:szCs w:val="1"/>
                <w:color w:val="auto"/>
              </w:rPr>
            </w:pPr>
          </w:p>
        </w:tc>
      </w:tr>
      <w:tr>
        <w:trPr>
          <w:trHeight w:val="158"/>
        </w:trPr>
        <w:tc>
          <w:tcPr>
            <w:tcW w:w="3640" w:type="dxa"/>
            <w:vAlign w:val="bottom"/>
          </w:tcPr>
          <w:p>
            <w:pPr>
              <w:ind w:left="260"/>
              <w:spacing w:after="0"/>
              <w:rPr>
                <w:sz w:val="20"/>
                <w:szCs w:val="20"/>
                <w:color w:val="auto"/>
              </w:rPr>
            </w:pPr>
            <w:r>
              <w:rPr>
                <w:rFonts w:ascii="Arial" w:cs="Arial" w:eastAsia="Arial" w:hAnsi="Arial"/>
                <w:sz w:val="11"/>
                <w:szCs w:val="11"/>
                <w:b w:val="1"/>
                <w:bCs w:val="1"/>
                <w:color w:val="auto"/>
              </w:rPr>
              <w:t>– Tanforan/South San Francisco</w:t>
            </w:r>
          </w:p>
        </w:tc>
        <w:tc>
          <w:tcPr>
            <w:tcW w:w="76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1060" w:type="dxa"/>
            <w:vAlign w:val="bottom"/>
            <w:vMerge w:val="continue"/>
          </w:tcPr>
          <w:p>
            <w:pPr>
              <w:spacing w:after="0"/>
              <w:rPr>
                <w:sz w:val="13"/>
                <w:szCs w:val="13"/>
                <w:color w:val="auto"/>
              </w:rPr>
            </w:pPr>
          </w:p>
        </w:tc>
        <w:tc>
          <w:tcPr>
            <w:tcW w:w="1260" w:type="dxa"/>
            <w:vAlign w:val="bottom"/>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3640" w:type="dxa"/>
            <w:vAlign w:val="bottom"/>
          </w:tcPr>
          <w:p>
            <w:pPr>
              <w:ind w:left="180"/>
              <w:spacing w:after="0"/>
              <w:rPr>
                <w:sz w:val="20"/>
                <w:szCs w:val="20"/>
                <w:color w:val="auto"/>
              </w:rPr>
            </w:pPr>
            <w:r>
              <w:rPr>
                <w:rFonts w:ascii="Arial" w:cs="Arial" w:eastAsia="Arial" w:hAnsi="Arial"/>
                <w:sz w:val="11"/>
                <w:szCs w:val="11"/>
                <w:i w:val="1"/>
                <w:iCs w:val="1"/>
                <w:color w:val="auto"/>
              </w:rPr>
              <w:t>1122, 1150, and 1178 El Camino Real</w:t>
            </w: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3640" w:type="dxa"/>
            <w:vAlign w:val="bottom"/>
          </w:tcPr>
          <w:p>
            <w:pPr>
              <w:ind w:left="120"/>
              <w:spacing w:after="0" w:line="147" w:lineRule="exact"/>
              <w:rPr>
                <w:sz w:val="20"/>
                <w:szCs w:val="20"/>
                <w:color w:val="auto"/>
              </w:rPr>
            </w:pPr>
            <w:r>
              <w:rPr>
                <w:rFonts w:ascii="Arial" w:cs="Arial" w:eastAsia="Arial" w:hAnsi="Arial"/>
                <w:sz w:val="11"/>
                <w:szCs w:val="11"/>
                <w:b w:val="1"/>
                <w:bCs w:val="1"/>
                <w:color w:val="auto"/>
              </w:rPr>
              <w:t>Mega Campus: Alexandria Center</w:t>
            </w:r>
            <w:r>
              <w:rPr>
                <w:rFonts w:ascii="Arial" w:cs="Arial" w:eastAsia="Arial" w:hAnsi="Arial"/>
                <w:sz w:val="14"/>
                <w:szCs w:val="14"/>
                <w:b w:val="1"/>
                <w:bCs w:val="1"/>
                <w:color w:val="auto"/>
                <w:vertAlign w:val="superscript"/>
              </w:rPr>
              <w:t>®</w:t>
            </w:r>
            <w:r>
              <w:rPr>
                <w:rFonts w:ascii="Arial" w:cs="Arial" w:eastAsia="Arial" w:hAnsi="Arial"/>
                <w:sz w:val="11"/>
                <w:szCs w:val="11"/>
                <w:b w:val="1"/>
                <w:bCs w:val="1"/>
                <w:color w:val="auto"/>
              </w:rPr>
              <w:t xml:space="preserve"> for Advanced Technologies</w:t>
            </w:r>
          </w:p>
        </w:tc>
        <w:tc>
          <w:tcPr>
            <w:tcW w:w="760" w:type="dxa"/>
            <w:vAlign w:val="bottom"/>
            <w:vMerge w:val="restart"/>
          </w:tcPr>
          <w:p>
            <w:pPr>
              <w:jc w:val="right"/>
              <w:ind w:right="203"/>
              <w:spacing w:after="0"/>
              <w:rPr>
                <w:sz w:val="20"/>
                <w:szCs w:val="20"/>
                <w:color w:val="auto"/>
              </w:rPr>
            </w:pPr>
            <w:r>
              <w:rPr>
                <w:rFonts w:ascii="Arial" w:cs="Arial" w:eastAsia="Arial" w:hAnsi="Arial"/>
                <w:sz w:val="11"/>
                <w:szCs w:val="11"/>
                <w:color w:val="auto"/>
              </w:rPr>
              <w:t>100%</w:t>
            </w:r>
          </w:p>
        </w:tc>
        <w:tc>
          <w:tcPr>
            <w:tcW w:w="160" w:type="dxa"/>
            <w:vAlign w:val="bottom"/>
          </w:tcPr>
          <w:p>
            <w:pPr>
              <w:spacing w:after="0"/>
              <w:rPr>
                <w:sz w:val="12"/>
                <w:szCs w:val="12"/>
                <w:color w:val="auto"/>
              </w:rPr>
            </w:pPr>
          </w:p>
        </w:tc>
        <w:tc>
          <w:tcPr>
            <w:tcW w:w="720" w:type="dxa"/>
            <w:vAlign w:val="bottom"/>
            <w:vMerge w:val="restart"/>
          </w:tcPr>
          <w:p>
            <w:pPr>
              <w:jc w:val="right"/>
              <w:ind w:right="123"/>
              <w:spacing w:after="0"/>
              <w:rPr>
                <w:sz w:val="20"/>
                <w:szCs w:val="20"/>
                <w:color w:val="auto"/>
              </w:rPr>
            </w:pPr>
            <w:r>
              <w:rPr>
                <w:rFonts w:ascii="Arial" w:cs="Arial" w:eastAsia="Arial" w:hAnsi="Arial"/>
                <w:sz w:val="11"/>
                <w:szCs w:val="11"/>
                <w:color w:val="auto"/>
              </w:rPr>
              <w:t>6,655</w:t>
            </w:r>
          </w:p>
        </w:tc>
        <w:tc>
          <w:tcPr>
            <w:tcW w:w="1100" w:type="dxa"/>
            <w:vAlign w:val="bottom"/>
            <w:vMerge w:val="restart"/>
          </w:tcPr>
          <w:p>
            <w:pPr>
              <w:jc w:val="right"/>
              <w:ind w:right="103"/>
              <w:spacing w:after="0"/>
              <w:rPr>
                <w:sz w:val="20"/>
                <w:szCs w:val="20"/>
                <w:color w:val="auto"/>
              </w:rPr>
            </w:pPr>
            <w:r>
              <w:rPr>
                <w:rFonts w:ascii="Arial" w:cs="Arial" w:eastAsia="Arial" w:hAnsi="Arial"/>
                <w:sz w:val="11"/>
                <w:szCs w:val="11"/>
                <w:color w:val="auto"/>
              </w:rPr>
              <w:t>—</w:t>
            </w:r>
          </w:p>
        </w:tc>
        <w:tc>
          <w:tcPr>
            <w:tcW w:w="1060" w:type="dxa"/>
            <w:vAlign w:val="bottom"/>
            <w:vMerge w:val="restart"/>
          </w:tcPr>
          <w:p>
            <w:pPr>
              <w:ind w:left="800"/>
              <w:spacing w:after="0"/>
              <w:rPr>
                <w:sz w:val="20"/>
                <w:szCs w:val="20"/>
                <w:color w:val="auto"/>
              </w:rPr>
            </w:pPr>
            <w:r>
              <w:rPr>
                <w:rFonts w:ascii="Arial" w:cs="Arial" w:eastAsia="Arial" w:hAnsi="Arial"/>
                <w:sz w:val="11"/>
                <w:szCs w:val="11"/>
                <w:color w:val="auto"/>
              </w:rPr>
              <w:t>—</w:t>
            </w:r>
          </w:p>
        </w:tc>
        <w:tc>
          <w:tcPr>
            <w:tcW w:w="1260" w:type="dxa"/>
            <w:vAlign w:val="bottom"/>
            <w:vMerge w:val="restart"/>
          </w:tcPr>
          <w:p>
            <w:pPr>
              <w:jc w:val="right"/>
              <w:ind w:right="223"/>
              <w:spacing w:after="0"/>
              <w:rPr>
                <w:sz w:val="20"/>
                <w:szCs w:val="20"/>
                <w:color w:val="auto"/>
              </w:rPr>
            </w:pPr>
            <w:r>
              <w:rPr>
                <w:rFonts w:ascii="Arial" w:cs="Arial" w:eastAsia="Arial" w:hAnsi="Arial"/>
                <w:sz w:val="11"/>
                <w:szCs w:val="11"/>
                <w:color w:val="auto"/>
              </w:rPr>
              <w:t>107,250</w:t>
            </w:r>
          </w:p>
        </w:tc>
        <w:tc>
          <w:tcPr>
            <w:tcW w:w="1100" w:type="dxa"/>
            <w:vAlign w:val="bottom"/>
            <w:vMerge w:val="restart"/>
          </w:tcPr>
          <w:p>
            <w:pPr>
              <w:jc w:val="right"/>
              <w:ind w:right="203"/>
              <w:spacing w:after="0"/>
              <w:rPr>
                <w:sz w:val="20"/>
                <w:szCs w:val="20"/>
                <w:color w:val="auto"/>
              </w:rPr>
            </w:pPr>
            <w:r>
              <w:rPr>
                <w:rFonts w:ascii="Arial" w:cs="Arial" w:eastAsia="Arial" w:hAnsi="Arial"/>
                <w:sz w:val="11"/>
                <w:szCs w:val="11"/>
                <w:color w:val="auto"/>
              </w:rPr>
              <w:t>90,000</w:t>
            </w:r>
          </w:p>
        </w:tc>
        <w:tc>
          <w:tcPr>
            <w:tcW w:w="840" w:type="dxa"/>
            <w:vAlign w:val="bottom"/>
            <w:vMerge w:val="restart"/>
          </w:tcPr>
          <w:p>
            <w:pPr>
              <w:jc w:val="right"/>
              <w:spacing w:after="0"/>
              <w:rPr>
                <w:sz w:val="20"/>
                <w:szCs w:val="20"/>
                <w:color w:val="auto"/>
              </w:rPr>
            </w:pPr>
            <w:r>
              <w:rPr>
                <w:rFonts w:ascii="Arial" w:cs="Arial" w:eastAsia="Arial" w:hAnsi="Arial"/>
                <w:sz w:val="11"/>
                <w:szCs w:val="11"/>
                <w:color w:val="auto"/>
              </w:rPr>
              <w:t>197,250</w:t>
            </w:r>
          </w:p>
        </w:tc>
        <w:tc>
          <w:tcPr>
            <w:tcW w:w="0" w:type="dxa"/>
            <w:vAlign w:val="bottom"/>
          </w:tcPr>
          <w:p>
            <w:pPr>
              <w:spacing w:after="0"/>
              <w:rPr>
                <w:sz w:val="1"/>
                <w:szCs w:val="1"/>
                <w:color w:val="auto"/>
              </w:rPr>
            </w:pPr>
          </w:p>
        </w:tc>
      </w:tr>
      <w:tr>
        <w:trPr>
          <w:trHeight w:val="158"/>
        </w:trPr>
        <w:tc>
          <w:tcPr>
            <w:tcW w:w="3640" w:type="dxa"/>
            <w:vAlign w:val="bottom"/>
          </w:tcPr>
          <w:p>
            <w:pPr>
              <w:ind w:left="260"/>
              <w:spacing w:after="0"/>
              <w:rPr>
                <w:sz w:val="20"/>
                <w:szCs w:val="20"/>
                <w:color w:val="auto"/>
              </w:rPr>
            </w:pPr>
            <w:r>
              <w:rPr>
                <w:rFonts w:ascii="Arial" w:cs="Arial" w:eastAsia="Arial" w:hAnsi="Arial"/>
                <w:sz w:val="11"/>
                <w:szCs w:val="11"/>
                <w:b w:val="1"/>
                <w:bCs w:val="1"/>
                <w:color w:val="auto"/>
              </w:rPr>
              <w:t>– South San Francisco/South San Francisco</w:t>
            </w:r>
          </w:p>
        </w:tc>
        <w:tc>
          <w:tcPr>
            <w:tcW w:w="76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1060" w:type="dxa"/>
            <w:vAlign w:val="bottom"/>
            <w:vMerge w:val="continue"/>
          </w:tcPr>
          <w:p>
            <w:pPr>
              <w:spacing w:after="0"/>
              <w:rPr>
                <w:sz w:val="13"/>
                <w:szCs w:val="13"/>
                <w:color w:val="auto"/>
              </w:rPr>
            </w:pPr>
          </w:p>
        </w:tc>
        <w:tc>
          <w:tcPr>
            <w:tcW w:w="1260" w:type="dxa"/>
            <w:vAlign w:val="bottom"/>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3640" w:type="dxa"/>
            <w:vAlign w:val="bottom"/>
          </w:tcPr>
          <w:p>
            <w:pPr>
              <w:ind w:left="180"/>
              <w:spacing w:after="0"/>
              <w:rPr>
                <w:sz w:val="20"/>
                <w:szCs w:val="20"/>
                <w:color w:val="auto"/>
              </w:rPr>
            </w:pPr>
            <w:r>
              <w:rPr>
                <w:rFonts w:ascii="Arial" w:cs="Arial" w:eastAsia="Arial" w:hAnsi="Arial"/>
                <w:sz w:val="11"/>
                <w:szCs w:val="11"/>
                <w:i w:val="1"/>
                <w:iCs w:val="1"/>
                <w:color w:val="auto"/>
              </w:rPr>
              <w:t>211</w:t>
            </w:r>
            <w:r>
              <w:rPr>
                <w:rFonts w:ascii="Arial" w:cs="Arial" w:eastAsia="Arial" w:hAnsi="Arial"/>
                <w:sz w:val="14"/>
                <w:szCs w:val="14"/>
                <w:i w:val="1"/>
                <w:iCs w:val="1"/>
                <w:color w:val="auto"/>
                <w:vertAlign w:val="superscript"/>
              </w:rPr>
              <w:t>(2)</w:t>
            </w:r>
            <w:r>
              <w:rPr>
                <w:rFonts w:ascii="Arial" w:cs="Arial" w:eastAsia="Arial" w:hAnsi="Arial"/>
                <w:sz w:val="11"/>
                <w:szCs w:val="11"/>
                <w:i w:val="1"/>
                <w:iCs w:val="1"/>
                <w:color w:val="auto"/>
              </w:rPr>
              <w:t xml:space="preserve"> and 269 East Grand Avenue</w:t>
            </w: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3640" w:type="dxa"/>
            <w:vAlign w:val="bottom"/>
          </w:tcPr>
          <w:p>
            <w:pPr>
              <w:ind w:left="120"/>
              <w:spacing w:after="0" w:line="127" w:lineRule="exact"/>
              <w:rPr>
                <w:sz w:val="20"/>
                <w:szCs w:val="20"/>
                <w:color w:val="auto"/>
              </w:rPr>
            </w:pPr>
            <w:r>
              <w:rPr>
                <w:rFonts w:ascii="Arial" w:cs="Arial" w:eastAsia="Arial" w:hAnsi="Arial"/>
                <w:sz w:val="11"/>
                <w:szCs w:val="11"/>
                <w:b w:val="1"/>
                <w:bCs w:val="1"/>
                <w:color w:val="auto"/>
              </w:rPr>
              <w:t>Mega Campus: Alexandria Center</w:t>
            </w:r>
            <w:r>
              <w:rPr>
                <w:rFonts w:ascii="Arial" w:cs="Arial" w:eastAsia="Arial" w:hAnsi="Arial"/>
                <w:sz w:val="14"/>
                <w:szCs w:val="14"/>
                <w:b w:val="1"/>
                <w:bCs w:val="1"/>
                <w:color w:val="auto"/>
                <w:vertAlign w:val="superscript"/>
              </w:rPr>
              <w:t>®</w:t>
            </w:r>
            <w:r>
              <w:rPr>
                <w:rFonts w:ascii="Arial" w:cs="Arial" w:eastAsia="Arial" w:hAnsi="Arial"/>
                <w:sz w:val="11"/>
                <w:szCs w:val="11"/>
                <w:b w:val="1"/>
                <w:bCs w:val="1"/>
                <w:color w:val="auto"/>
              </w:rPr>
              <w:t xml:space="preserve"> for Life Science – San</w:t>
            </w:r>
          </w:p>
        </w:tc>
        <w:tc>
          <w:tcPr>
            <w:tcW w:w="760" w:type="dxa"/>
            <w:vAlign w:val="bottom"/>
            <w:vMerge w:val="restart"/>
          </w:tcPr>
          <w:p>
            <w:pPr>
              <w:jc w:val="right"/>
              <w:ind w:right="203"/>
              <w:spacing w:after="0"/>
              <w:rPr>
                <w:sz w:val="20"/>
                <w:szCs w:val="20"/>
                <w:color w:val="auto"/>
              </w:rPr>
            </w:pPr>
            <w:r>
              <w:rPr>
                <w:rFonts w:ascii="Arial" w:cs="Arial" w:eastAsia="Arial" w:hAnsi="Arial"/>
                <w:sz w:val="11"/>
                <w:szCs w:val="11"/>
                <w:color w:val="auto"/>
              </w:rPr>
              <w:t>100%</w:t>
            </w:r>
          </w:p>
        </w:tc>
        <w:tc>
          <w:tcPr>
            <w:tcW w:w="160" w:type="dxa"/>
            <w:vAlign w:val="bottom"/>
          </w:tcPr>
          <w:p>
            <w:pPr>
              <w:spacing w:after="0"/>
              <w:rPr>
                <w:sz w:val="11"/>
                <w:szCs w:val="11"/>
                <w:color w:val="auto"/>
              </w:rPr>
            </w:pPr>
          </w:p>
        </w:tc>
        <w:tc>
          <w:tcPr>
            <w:tcW w:w="720" w:type="dxa"/>
            <w:vAlign w:val="bottom"/>
            <w:vMerge w:val="restart"/>
          </w:tcPr>
          <w:p>
            <w:pPr>
              <w:jc w:val="right"/>
              <w:ind w:right="123"/>
              <w:spacing w:after="0"/>
              <w:rPr>
                <w:sz w:val="20"/>
                <w:szCs w:val="20"/>
                <w:color w:val="auto"/>
              </w:rPr>
            </w:pPr>
            <w:r>
              <w:rPr>
                <w:rFonts w:ascii="Arial" w:cs="Arial" w:eastAsia="Arial" w:hAnsi="Arial"/>
                <w:sz w:val="11"/>
                <w:szCs w:val="11"/>
                <w:color w:val="auto"/>
              </w:rPr>
              <w:t>435,269</w:t>
            </w:r>
          </w:p>
        </w:tc>
        <w:tc>
          <w:tcPr>
            <w:tcW w:w="1100" w:type="dxa"/>
            <w:vAlign w:val="bottom"/>
            <w:vMerge w:val="restart"/>
          </w:tcPr>
          <w:p>
            <w:pPr>
              <w:jc w:val="right"/>
              <w:ind w:right="103"/>
              <w:spacing w:after="0"/>
              <w:rPr>
                <w:sz w:val="20"/>
                <w:szCs w:val="20"/>
                <w:color w:val="auto"/>
              </w:rPr>
            </w:pPr>
            <w:r>
              <w:rPr>
                <w:rFonts w:ascii="Arial" w:cs="Arial" w:eastAsia="Arial" w:hAnsi="Arial"/>
                <w:sz w:val="11"/>
                <w:szCs w:val="11"/>
                <w:color w:val="auto"/>
              </w:rPr>
              <w:t>—</w:t>
            </w:r>
          </w:p>
        </w:tc>
        <w:tc>
          <w:tcPr>
            <w:tcW w:w="1060" w:type="dxa"/>
            <w:vAlign w:val="bottom"/>
            <w:vMerge w:val="restart"/>
          </w:tcPr>
          <w:p>
            <w:pPr>
              <w:ind w:left="800"/>
              <w:spacing w:after="0"/>
              <w:rPr>
                <w:sz w:val="20"/>
                <w:szCs w:val="20"/>
                <w:color w:val="auto"/>
              </w:rPr>
            </w:pPr>
            <w:r>
              <w:rPr>
                <w:rFonts w:ascii="Arial" w:cs="Arial" w:eastAsia="Arial" w:hAnsi="Arial"/>
                <w:sz w:val="11"/>
                <w:szCs w:val="11"/>
                <w:color w:val="auto"/>
              </w:rPr>
              <w:t>—</w:t>
            </w:r>
          </w:p>
        </w:tc>
        <w:tc>
          <w:tcPr>
            <w:tcW w:w="1260" w:type="dxa"/>
            <w:vAlign w:val="bottom"/>
            <w:vMerge w:val="restart"/>
          </w:tcPr>
          <w:p>
            <w:pPr>
              <w:jc w:val="right"/>
              <w:ind w:right="223"/>
              <w:spacing w:after="0"/>
              <w:rPr>
                <w:sz w:val="20"/>
                <w:szCs w:val="20"/>
                <w:color w:val="auto"/>
              </w:rPr>
            </w:pPr>
            <w:r>
              <w:rPr>
                <w:rFonts w:ascii="Arial" w:cs="Arial" w:eastAsia="Arial" w:hAnsi="Arial"/>
                <w:sz w:val="11"/>
                <w:szCs w:val="11"/>
                <w:color w:val="auto"/>
              </w:rPr>
              <w:t>105,000</w:t>
            </w:r>
          </w:p>
        </w:tc>
        <w:tc>
          <w:tcPr>
            <w:tcW w:w="1100" w:type="dxa"/>
            <w:vAlign w:val="bottom"/>
            <w:vMerge w:val="restart"/>
          </w:tcPr>
          <w:p>
            <w:pPr>
              <w:jc w:val="right"/>
              <w:ind w:right="203"/>
              <w:spacing w:after="0"/>
              <w:rPr>
                <w:sz w:val="20"/>
                <w:szCs w:val="20"/>
                <w:color w:val="auto"/>
              </w:rPr>
            </w:pPr>
            <w:r>
              <w:rPr>
                <w:rFonts w:ascii="Arial" w:cs="Arial" w:eastAsia="Arial" w:hAnsi="Arial"/>
                <w:sz w:val="11"/>
                <w:szCs w:val="11"/>
                <w:color w:val="auto"/>
              </w:rPr>
              <w:t>1,392,830</w:t>
            </w:r>
          </w:p>
        </w:tc>
        <w:tc>
          <w:tcPr>
            <w:tcW w:w="840" w:type="dxa"/>
            <w:vAlign w:val="bottom"/>
            <w:vMerge w:val="restart"/>
          </w:tcPr>
          <w:p>
            <w:pPr>
              <w:jc w:val="right"/>
              <w:spacing w:after="0"/>
              <w:rPr>
                <w:sz w:val="20"/>
                <w:szCs w:val="20"/>
                <w:color w:val="auto"/>
              </w:rPr>
            </w:pPr>
            <w:r>
              <w:rPr>
                <w:rFonts w:ascii="Arial" w:cs="Arial" w:eastAsia="Arial" w:hAnsi="Arial"/>
                <w:sz w:val="11"/>
                <w:szCs w:val="11"/>
                <w:color w:val="auto"/>
              </w:rPr>
              <w:t>1,497,830</w:t>
            </w:r>
          </w:p>
        </w:tc>
        <w:tc>
          <w:tcPr>
            <w:tcW w:w="0" w:type="dxa"/>
            <w:vAlign w:val="bottom"/>
          </w:tcPr>
          <w:p>
            <w:pPr>
              <w:spacing w:after="0"/>
              <w:rPr>
                <w:sz w:val="1"/>
                <w:szCs w:val="1"/>
                <w:color w:val="auto"/>
              </w:rPr>
            </w:pPr>
          </w:p>
        </w:tc>
      </w:tr>
      <w:tr>
        <w:trPr>
          <w:trHeight w:val="158"/>
        </w:trPr>
        <w:tc>
          <w:tcPr>
            <w:tcW w:w="3640" w:type="dxa"/>
            <w:vAlign w:val="bottom"/>
          </w:tcPr>
          <w:p>
            <w:pPr>
              <w:ind w:left="260"/>
              <w:spacing w:after="0"/>
              <w:rPr>
                <w:sz w:val="20"/>
                <w:szCs w:val="20"/>
                <w:color w:val="auto"/>
              </w:rPr>
            </w:pPr>
            <w:r>
              <w:rPr>
                <w:rFonts w:ascii="Arial" w:cs="Arial" w:eastAsia="Arial" w:hAnsi="Arial"/>
                <w:sz w:val="11"/>
                <w:szCs w:val="11"/>
                <w:b w:val="1"/>
                <w:bCs w:val="1"/>
                <w:color w:val="auto"/>
              </w:rPr>
              <w:t>Carlos/Greater Stanford</w:t>
            </w:r>
          </w:p>
        </w:tc>
        <w:tc>
          <w:tcPr>
            <w:tcW w:w="76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1060" w:type="dxa"/>
            <w:vAlign w:val="bottom"/>
            <w:vMerge w:val="continue"/>
          </w:tcPr>
          <w:p>
            <w:pPr>
              <w:spacing w:after="0"/>
              <w:rPr>
                <w:sz w:val="13"/>
                <w:szCs w:val="13"/>
                <w:color w:val="auto"/>
              </w:rPr>
            </w:pPr>
          </w:p>
        </w:tc>
        <w:tc>
          <w:tcPr>
            <w:tcW w:w="1260" w:type="dxa"/>
            <w:vAlign w:val="bottom"/>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3640" w:type="dxa"/>
            <w:vAlign w:val="bottom"/>
          </w:tcPr>
          <w:p>
            <w:pPr>
              <w:ind w:left="180"/>
              <w:spacing w:after="0"/>
              <w:rPr>
                <w:sz w:val="20"/>
                <w:szCs w:val="20"/>
                <w:color w:val="auto"/>
              </w:rPr>
            </w:pPr>
            <w:r>
              <w:rPr>
                <w:rFonts w:ascii="Arial" w:cs="Arial" w:eastAsia="Arial" w:hAnsi="Arial"/>
                <w:sz w:val="11"/>
                <w:szCs w:val="11"/>
                <w:i w:val="1"/>
                <w:iCs w:val="1"/>
                <w:color w:val="auto"/>
              </w:rPr>
              <w:t>960 Industrial Road, 987 and 1075 Commercial Street, and 888</w:t>
            </w: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3640" w:type="dxa"/>
            <w:vAlign w:val="bottom"/>
          </w:tcPr>
          <w:p>
            <w:pPr>
              <w:ind w:left="320"/>
              <w:spacing w:after="0"/>
              <w:rPr>
                <w:sz w:val="20"/>
                <w:szCs w:val="20"/>
                <w:color w:val="auto"/>
              </w:rPr>
            </w:pPr>
            <w:r>
              <w:rPr>
                <w:rFonts w:ascii="Arial" w:cs="Arial" w:eastAsia="Arial" w:hAnsi="Arial"/>
                <w:sz w:val="11"/>
                <w:szCs w:val="11"/>
                <w:i w:val="1"/>
                <w:iCs w:val="1"/>
                <w:color w:val="auto"/>
              </w:rPr>
              <w:t>Bransten Road</w:t>
            </w: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640" w:type="dxa"/>
            <w:vAlign w:val="bottom"/>
          </w:tcPr>
          <w:p>
            <w:pPr>
              <w:ind w:left="120"/>
              <w:spacing w:after="0"/>
              <w:rPr>
                <w:sz w:val="20"/>
                <w:szCs w:val="20"/>
                <w:color w:val="auto"/>
              </w:rPr>
            </w:pPr>
            <w:r>
              <w:rPr>
                <w:rFonts w:ascii="Arial" w:cs="Arial" w:eastAsia="Arial" w:hAnsi="Arial"/>
                <w:sz w:val="11"/>
                <w:szCs w:val="11"/>
                <w:color w:val="auto"/>
              </w:rPr>
              <w:t>3825 and 3875 Fabian Way/Greater Stanford</w:t>
            </w:r>
          </w:p>
        </w:tc>
        <w:tc>
          <w:tcPr>
            <w:tcW w:w="760" w:type="dxa"/>
            <w:vAlign w:val="bottom"/>
          </w:tcPr>
          <w:p>
            <w:pPr>
              <w:jc w:val="right"/>
              <w:ind w:right="203"/>
              <w:spacing w:after="0"/>
              <w:rPr>
                <w:sz w:val="20"/>
                <w:szCs w:val="20"/>
                <w:color w:val="auto"/>
              </w:rPr>
            </w:pPr>
            <w:r>
              <w:rPr>
                <w:rFonts w:ascii="Arial" w:cs="Arial" w:eastAsia="Arial" w:hAnsi="Arial"/>
                <w:sz w:val="11"/>
                <w:szCs w:val="11"/>
                <w:color w:val="auto"/>
              </w:rPr>
              <w:t>100%</w:t>
            </w:r>
          </w:p>
        </w:tc>
        <w:tc>
          <w:tcPr>
            <w:tcW w:w="160" w:type="dxa"/>
            <w:vAlign w:val="bottom"/>
          </w:tcPr>
          <w:p>
            <w:pPr>
              <w:spacing w:after="0"/>
              <w:rPr>
                <w:sz w:val="15"/>
                <w:szCs w:val="15"/>
                <w:color w:val="auto"/>
              </w:rPr>
            </w:pPr>
          </w:p>
        </w:tc>
        <w:tc>
          <w:tcPr>
            <w:tcW w:w="720" w:type="dxa"/>
            <w:vAlign w:val="bottom"/>
          </w:tcPr>
          <w:p>
            <w:pPr>
              <w:jc w:val="right"/>
              <w:ind w:right="123"/>
              <w:spacing w:after="0"/>
              <w:rPr>
                <w:sz w:val="20"/>
                <w:szCs w:val="20"/>
                <w:color w:val="auto"/>
              </w:rPr>
            </w:pPr>
            <w:r>
              <w:rPr>
                <w:rFonts w:ascii="Arial" w:cs="Arial" w:eastAsia="Arial" w:hAnsi="Arial"/>
                <w:sz w:val="11"/>
                <w:szCs w:val="11"/>
                <w:color w:val="auto"/>
              </w:rPr>
              <w:t>151,762</w:t>
            </w:r>
          </w:p>
        </w:tc>
        <w:tc>
          <w:tcPr>
            <w:tcW w:w="1100" w:type="dxa"/>
            <w:vAlign w:val="bottom"/>
          </w:tcPr>
          <w:p>
            <w:pPr>
              <w:jc w:val="right"/>
              <w:ind w:right="103"/>
              <w:spacing w:after="0"/>
              <w:rPr>
                <w:sz w:val="20"/>
                <w:szCs w:val="20"/>
                <w:color w:val="auto"/>
              </w:rPr>
            </w:pPr>
            <w:r>
              <w:rPr>
                <w:rFonts w:ascii="Arial" w:cs="Arial" w:eastAsia="Arial" w:hAnsi="Arial"/>
                <w:sz w:val="11"/>
                <w:szCs w:val="11"/>
                <w:color w:val="auto"/>
              </w:rPr>
              <w:t>—</w:t>
            </w:r>
          </w:p>
        </w:tc>
        <w:tc>
          <w:tcPr>
            <w:tcW w:w="1060" w:type="dxa"/>
            <w:vAlign w:val="bottom"/>
          </w:tcPr>
          <w:p>
            <w:pPr>
              <w:ind w:left="800"/>
              <w:spacing w:after="0"/>
              <w:rPr>
                <w:sz w:val="20"/>
                <w:szCs w:val="20"/>
                <w:color w:val="auto"/>
              </w:rPr>
            </w:pPr>
            <w:r>
              <w:rPr>
                <w:rFonts w:ascii="Arial" w:cs="Arial" w:eastAsia="Arial" w:hAnsi="Arial"/>
                <w:sz w:val="11"/>
                <w:szCs w:val="11"/>
                <w:color w:val="auto"/>
              </w:rPr>
              <w:t>—</w:t>
            </w:r>
          </w:p>
        </w:tc>
        <w:tc>
          <w:tcPr>
            <w:tcW w:w="1260" w:type="dxa"/>
            <w:vAlign w:val="bottom"/>
          </w:tcPr>
          <w:p>
            <w:pPr>
              <w:jc w:val="right"/>
              <w:ind w:right="223"/>
              <w:spacing w:after="0"/>
              <w:rPr>
                <w:sz w:val="20"/>
                <w:szCs w:val="20"/>
                <w:color w:val="auto"/>
              </w:rPr>
            </w:pPr>
            <w:r>
              <w:rPr>
                <w:rFonts w:ascii="Arial" w:cs="Arial" w:eastAsia="Arial" w:hAnsi="Arial"/>
                <w:sz w:val="11"/>
                <w:szCs w:val="11"/>
                <w:color w:val="auto"/>
              </w:rPr>
              <w:t>—</w:t>
            </w:r>
          </w:p>
        </w:tc>
        <w:tc>
          <w:tcPr>
            <w:tcW w:w="1100" w:type="dxa"/>
            <w:vAlign w:val="bottom"/>
          </w:tcPr>
          <w:p>
            <w:pPr>
              <w:jc w:val="right"/>
              <w:ind w:right="203"/>
              <w:spacing w:after="0"/>
              <w:rPr>
                <w:sz w:val="20"/>
                <w:szCs w:val="20"/>
                <w:color w:val="auto"/>
              </w:rPr>
            </w:pPr>
            <w:r>
              <w:rPr>
                <w:rFonts w:ascii="Arial" w:cs="Arial" w:eastAsia="Arial" w:hAnsi="Arial"/>
                <w:sz w:val="11"/>
                <w:szCs w:val="11"/>
                <w:color w:val="auto"/>
              </w:rPr>
              <w:t>478,000</w:t>
            </w:r>
          </w:p>
        </w:tc>
        <w:tc>
          <w:tcPr>
            <w:tcW w:w="840" w:type="dxa"/>
            <w:vAlign w:val="bottom"/>
          </w:tcPr>
          <w:p>
            <w:pPr>
              <w:jc w:val="right"/>
              <w:spacing w:after="0"/>
              <w:rPr>
                <w:sz w:val="20"/>
                <w:szCs w:val="20"/>
                <w:color w:val="auto"/>
              </w:rPr>
            </w:pPr>
            <w:r>
              <w:rPr>
                <w:rFonts w:ascii="Arial" w:cs="Arial" w:eastAsia="Arial" w:hAnsi="Arial"/>
                <w:sz w:val="11"/>
                <w:szCs w:val="11"/>
                <w:color w:val="auto"/>
              </w:rPr>
              <w:t>478,000</w:t>
            </w:r>
          </w:p>
        </w:tc>
        <w:tc>
          <w:tcPr>
            <w:tcW w:w="0" w:type="dxa"/>
            <w:vAlign w:val="bottom"/>
          </w:tcPr>
          <w:p>
            <w:pPr>
              <w:spacing w:after="0"/>
              <w:rPr>
                <w:sz w:val="1"/>
                <w:szCs w:val="1"/>
                <w:color w:val="auto"/>
              </w:rPr>
            </w:pPr>
          </w:p>
        </w:tc>
      </w:tr>
      <w:tr>
        <w:trPr>
          <w:trHeight w:val="161"/>
        </w:trPr>
        <w:tc>
          <w:tcPr>
            <w:tcW w:w="3640" w:type="dxa"/>
            <w:vAlign w:val="bottom"/>
          </w:tcPr>
          <w:p>
            <w:pPr>
              <w:ind w:left="120"/>
              <w:spacing w:after="0"/>
              <w:rPr>
                <w:sz w:val="20"/>
                <w:szCs w:val="20"/>
                <w:color w:val="auto"/>
              </w:rPr>
            </w:pPr>
            <w:r>
              <w:rPr>
                <w:rFonts w:ascii="Arial" w:cs="Arial" w:eastAsia="Arial" w:hAnsi="Arial"/>
                <w:sz w:val="11"/>
                <w:szCs w:val="11"/>
                <w:color w:val="auto"/>
              </w:rPr>
              <w:t>2100, 2200, 2300, and 2400 Geng Road/Greater Stanford</w:t>
            </w:r>
          </w:p>
        </w:tc>
        <w:tc>
          <w:tcPr>
            <w:tcW w:w="760" w:type="dxa"/>
            <w:vAlign w:val="bottom"/>
          </w:tcPr>
          <w:p>
            <w:pPr>
              <w:jc w:val="right"/>
              <w:ind w:right="203"/>
              <w:spacing w:after="0"/>
              <w:rPr>
                <w:sz w:val="20"/>
                <w:szCs w:val="20"/>
                <w:color w:val="auto"/>
              </w:rPr>
            </w:pPr>
            <w:r>
              <w:rPr>
                <w:rFonts w:ascii="Arial" w:cs="Arial" w:eastAsia="Arial" w:hAnsi="Arial"/>
                <w:sz w:val="11"/>
                <w:szCs w:val="11"/>
                <w:color w:val="auto"/>
              </w:rPr>
              <w:t>100%</w:t>
            </w:r>
          </w:p>
        </w:tc>
        <w:tc>
          <w:tcPr>
            <w:tcW w:w="160" w:type="dxa"/>
            <w:vAlign w:val="bottom"/>
          </w:tcPr>
          <w:p>
            <w:pPr>
              <w:spacing w:after="0"/>
              <w:rPr>
                <w:sz w:val="14"/>
                <w:szCs w:val="14"/>
                <w:color w:val="auto"/>
              </w:rPr>
            </w:pPr>
          </w:p>
        </w:tc>
        <w:tc>
          <w:tcPr>
            <w:tcW w:w="720" w:type="dxa"/>
            <w:vAlign w:val="bottom"/>
          </w:tcPr>
          <w:p>
            <w:pPr>
              <w:jc w:val="right"/>
              <w:ind w:right="123"/>
              <w:spacing w:after="0"/>
              <w:rPr>
                <w:sz w:val="20"/>
                <w:szCs w:val="20"/>
                <w:color w:val="auto"/>
              </w:rPr>
            </w:pPr>
            <w:r>
              <w:rPr>
                <w:rFonts w:ascii="Arial" w:cs="Arial" w:eastAsia="Arial" w:hAnsi="Arial"/>
                <w:sz w:val="11"/>
                <w:szCs w:val="11"/>
                <w:color w:val="auto"/>
              </w:rPr>
              <w:t>35,759</w:t>
            </w:r>
          </w:p>
        </w:tc>
        <w:tc>
          <w:tcPr>
            <w:tcW w:w="1100" w:type="dxa"/>
            <w:vAlign w:val="bottom"/>
          </w:tcPr>
          <w:p>
            <w:pPr>
              <w:jc w:val="right"/>
              <w:ind w:right="103"/>
              <w:spacing w:after="0"/>
              <w:rPr>
                <w:sz w:val="20"/>
                <w:szCs w:val="20"/>
                <w:color w:val="auto"/>
              </w:rPr>
            </w:pPr>
            <w:r>
              <w:rPr>
                <w:rFonts w:ascii="Arial" w:cs="Arial" w:eastAsia="Arial" w:hAnsi="Arial"/>
                <w:sz w:val="11"/>
                <w:szCs w:val="11"/>
                <w:color w:val="auto"/>
              </w:rPr>
              <w:t>—</w:t>
            </w:r>
          </w:p>
        </w:tc>
        <w:tc>
          <w:tcPr>
            <w:tcW w:w="1060" w:type="dxa"/>
            <w:vAlign w:val="bottom"/>
          </w:tcPr>
          <w:p>
            <w:pPr>
              <w:ind w:left="800"/>
              <w:spacing w:after="0"/>
              <w:rPr>
                <w:sz w:val="20"/>
                <w:szCs w:val="20"/>
                <w:color w:val="auto"/>
              </w:rPr>
            </w:pPr>
            <w:r>
              <w:rPr>
                <w:rFonts w:ascii="Arial" w:cs="Arial" w:eastAsia="Arial" w:hAnsi="Arial"/>
                <w:sz w:val="11"/>
                <w:szCs w:val="11"/>
                <w:color w:val="auto"/>
              </w:rPr>
              <w:t>—</w:t>
            </w:r>
          </w:p>
        </w:tc>
        <w:tc>
          <w:tcPr>
            <w:tcW w:w="1260" w:type="dxa"/>
            <w:vAlign w:val="bottom"/>
          </w:tcPr>
          <w:p>
            <w:pPr>
              <w:jc w:val="right"/>
              <w:ind w:right="223"/>
              <w:spacing w:after="0"/>
              <w:rPr>
                <w:sz w:val="20"/>
                <w:szCs w:val="20"/>
                <w:color w:val="auto"/>
              </w:rPr>
            </w:pPr>
            <w:r>
              <w:rPr>
                <w:rFonts w:ascii="Arial" w:cs="Arial" w:eastAsia="Arial" w:hAnsi="Arial"/>
                <w:sz w:val="11"/>
                <w:szCs w:val="11"/>
                <w:color w:val="auto"/>
              </w:rPr>
              <w:t>—</w:t>
            </w:r>
          </w:p>
        </w:tc>
        <w:tc>
          <w:tcPr>
            <w:tcW w:w="1100" w:type="dxa"/>
            <w:vAlign w:val="bottom"/>
          </w:tcPr>
          <w:p>
            <w:pPr>
              <w:jc w:val="right"/>
              <w:ind w:right="203"/>
              <w:spacing w:after="0"/>
              <w:rPr>
                <w:sz w:val="20"/>
                <w:szCs w:val="20"/>
                <w:color w:val="auto"/>
              </w:rPr>
            </w:pPr>
            <w:r>
              <w:rPr>
                <w:rFonts w:ascii="Arial" w:cs="Arial" w:eastAsia="Arial" w:hAnsi="Arial"/>
                <w:sz w:val="11"/>
                <w:szCs w:val="11"/>
                <w:color w:val="auto"/>
              </w:rPr>
              <w:t>240,000</w:t>
            </w:r>
          </w:p>
        </w:tc>
        <w:tc>
          <w:tcPr>
            <w:tcW w:w="840" w:type="dxa"/>
            <w:vAlign w:val="bottom"/>
          </w:tcPr>
          <w:p>
            <w:pPr>
              <w:jc w:val="right"/>
              <w:spacing w:after="0"/>
              <w:rPr>
                <w:sz w:val="20"/>
                <w:szCs w:val="20"/>
                <w:color w:val="auto"/>
              </w:rPr>
            </w:pPr>
            <w:r>
              <w:rPr>
                <w:rFonts w:ascii="Arial" w:cs="Arial" w:eastAsia="Arial" w:hAnsi="Arial"/>
                <w:sz w:val="11"/>
                <w:szCs w:val="11"/>
                <w:color w:val="auto"/>
              </w:rPr>
              <w:t>240,000</w:t>
            </w:r>
          </w:p>
        </w:tc>
        <w:tc>
          <w:tcPr>
            <w:tcW w:w="0" w:type="dxa"/>
            <w:vAlign w:val="bottom"/>
          </w:tcPr>
          <w:p>
            <w:pPr>
              <w:spacing w:after="0"/>
              <w:rPr>
                <w:sz w:val="1"/>
                <w:szCs w:val="1"/>
                <w:color w:val="auto"/>
              </w:rPr>
            </w:pPr>
          </w:p>
        </w:tc>
      </w:tr>
      <w:tr>
        <w:trPr>
          <w:trHeight w:val="172"/>
        </w:trPr>
        <w:tc>
          <w:tcPr>
            <w:tcW w:w="3640" w:type="dxa"/>
            <w:vAlign w:val="bottom"/>
          </w:tcPr>
          <w:p>
            <w:pPr>
              <w:ind w:left="120"/>
              <w:spacing w:after="0"/>
              <w:rPr>
                <w:sz w:val="20"/>
                <w:szCs w:val="20"/>
                <w:color w:val="auto"/>
              </w:rPr>
            </w:pPr>
            <w:r>
              <w:rPr>
                <w:rFonts w:ascii="Arial" w:cs="Arial" w:eastAsia="Arial" w:hAnsi="Arial"/>
                <w:sz w:val="11"/>
                <w:szCs w:val="11"/>
                <w:color w:val="auto"/>
              </w:rPr>
              <w:t>901 California Avenue/Greater Stanford</w:t>
            </w:r>
          </w:p>
        </w:tc>
        <w:tc>
          <w:tcPr>
            <w:tcW w:w="760" w:type="dxa"/>
            <w:vAlign w:val="bottom"/>
          </w:tcPr>
          <w:p>
            <w:pPr>
              <w:jc w:val="right"/>
              <w:ind w:right="203"/>
              <w:spacing w:after="0"/>
              <w:rPr>
                <w:sz w:val="20"/>
                <w:szCs w:val="20"/>
                <w:color w:val="auto"/>
              </w:rPr>
            </w:pPr>
            <w:r>
              <w:rPr>
                <w:rFonts w:ascii="Arial" w:cs="Arial" w:eastAsia="Arial" w:hAnsi="Arial"/>
                <w:sz w:val="11"/>
                <w:szCs w:val="11"/>
                <w:color w:val="auto"/>
              </w:rPr>
              <w:t>100%</w:t>
            </w:r>
          </w:p>
        </w:tc>
        <w:tc>
          <w:tcPr>
            <w:tcW w:w="160" w:type="dxa"/>
            <w:vAlign w:val="bottom"/>
          </w:tcPr>
          <w:p>
            <w:pPr>
              <w:spacing w:after="0"/>
              <w:rPr>
                <w:sz w:val="14"/>
                <w:szCs w:val="14"/>
                <w:color w:val="auto"/>
              </w:rPr>
            </w:pPr>
          </w:p>
        </w:tc>
        <w:tc>
          <w:tcPr>
            <w:tcW w:w="720" w:type="dxa"/>
            <w:vAlign w:val="bottom"/>
          </w:tcPr>
          <w:p>
            <w:pPr>
              <w:jc w:val="right"/>
              <w:ind w:right="123"/>
              <w:spacing w:after="0"/>
              <w:rPr>
                <w:sz w:val="20"/>
                <w:szCs w:val="20"/>
                <w:color w:val="auto"/>
              </w:rPr>
            </w:pPr>
            <w:r>
              <w:rPr>
                <w:rFonts w:ascii="Arial" w:cs="Arial" w:eastAsia="Arial" w:hAnsi="Arial"/>
                <w:sz w:val="11"/>
                <w:szCs w:val="11"/>
                <w:color w:val="auto"/>
              </w:rPr>
              <w:t>18,640</w:t>
            </w:r>
          </w:p>
        </w:tc>
        <w:tc>
          <w:tcPr>
            <w:tcW w:w="1100" w:type="dxa"/>
            <w:vAlign w:val="bottom"/>
          </w:tcPr>
          <w:p>
            <w:pPr>
              <w:jc w:val="right"/>
              <w:ind w:right="103"/>
              <w:spacing w:after="0"/>
              <w:rPr>
                <w:sz w:val="20"/>
                <w:szCs w:val="20"/>
                <w:color w:val="auto"/>
              </w:rPr>
            </w:pPr>
            <w:r>
              <w:rPr>
                <w:rFonts w:ascii="Arial" w:cs="Arial" w:eastAsia="Arial" w:hAnsi="Arial"/>
                <w:sz w:val="11"/>
                <w:szCs w:val="11"/>
                <w:color w:val="auto"/>
              </w:rPr>
              <w:t>—</w:t>
            </w:r>
          </w:p>
        </w:tc>
        <w:tc>
          <w:tcPr>
            <w:tcW w:w="1060" w:type="dxa"/>
            <w:vAlign w:val="bottom"/>
          </w:tcPr>
          <w:p>
            <w:pPr>
              <w:ind w:left="800"/>
              <w:spacing w:after="0"/>
              <w:rPr>
                <w:sz w:val="20"/>
                <w:szCs w:val="20"/>
                <w:color w:val="auto"/>
              </w:rPr>
            </w:pPr>
            <w:r>
              <w:rPr>
                <w:rFonts w:ascii="Arial" w:cs="Arial" w:eastAsia="Arial" w:hAnsi="Arial"/>
                <w:sz w:val="11"/>
                <w:szCs w:val="11"/>
                <w:color w:val="auto"/>
              </w:rPr>
              <w:t>—</w:t>
            </w:r>
          </w:p>
        </w:tc>
        <w:tc>
          <w:tcPr>
            <w:tcW w:w="1260" w:type="dxa"/>
            <w:vAlign w:val="bottom"/>
          </w:tcPr>
          <w:p>
            <w:pPr>
              <w:jc w:val="right"/>
              <w:ind w:right="223"/>
              <w:spacing w:after="0"/>
              <w:rPr>
                <w:sz w:val="20"/>
                <w:szCs w:val="20"/>
                <w:color w:val="auto"/>
              </w:rPr>
            </w:pPr>
            <w:r>
              <w:rPr>
                <w:rFonts w:ascii="Arial" w:cs="Arial" w:eastAsia="Arial" w:hAnsi="Arial"/>
                <w:sz w:val="11"/>
                <w:szCs w:val="11"/>
                <w:color w:val="auto"/>
              </w:rPr>
              <w:t>—</w:t>
            </w:r>
          </w:p>
        </w:tc>
        <w:tc>
          <w:tcPr>
            <w:tcW w:w="1100" w:type="dxa"/>
            <w:vAlign w:val="bottom"/>
          </w:tcPr>
          <w:p>
            <w:pPr>
              <w:jc w:val="right"/>
              <w:ind w:right="203"/>
              <w:spacing w:after="0"/>
              <w:rPr>
                <w:sz w:val="20"/>
                <w:szCs w:val="20"/>
                <w:color w:val="auto"/>
              </w:rPr>
            </w:pPr>
            <w:r>
              <w:rPr>
                <w:rFonts w:ascii="Arial" w:cs="Arial" w:eastAsia="Arial" w:hAnsi="Arial"/>
                <w:sz w:val="11"/>
                <w:szCs w:val="11"/>
                <w:color w:val="auto"/>
              </w:rPr>
              <w:t>56,924</w:t>
            </w:r>
          </w:p>
        </w:tc>
        <w:tc>
          <w:tcPr>
            <w:tcW w:w="840" w:type="dxa"/>
            <w:vAlign w:val="bottom"/>
          </w:tcPr>
          <w:p>
            <w:pPr>
              <w:jc w:val="right"/>
              <w:spacing w:after="0"/>
              <w:rPr>
                <w:sz w:val="20"/>
                <w:szCs w:val="20"/>
                <w:color w:val="auto"/>
              </w:rPr>
            </w:pPr>
            <w:r>
              <w:rPr>
                <w:rFonts w:ascii="Arial" w:cs="Arial" w:eastAsia="Arial" w:hAnsi="Arial"/>
                <w:sz w:val="11"/>
                <w:szCs w:val="11"/>
                <w:color w:val="auto"/>
              </w:rPr>
              <w:t>56,924</w:t>
            </w:r>
          </w:p>
        </w:tc>
        <w:tc>
          <w:tcPr>
            <w:tcW w:w="0" w:type="dxa"/>
            <w:vAlign w:val="bottom"/>
          </w:tcPr>
          <w:p>
            <w:pPr>
              <w:spacing w:after="0"/>
              <w:rPr>
                <w:sz w:val="1"/>
                <w:szCs w:val="1"/>
                <w:color w:val="auto"/>
              </w:rPr>
            </w:pPr>
          </w:p>
        </w:tc>
      </w:tr>
      <w:tr>
        <w:trPr>
          <w:trHeight w:val="178"/>
        </w:trPr>
        <w:tc>
          <w:tcPr>
            <w:tcW w:w="3640" w:type="dxa"/>
            <w:vAlign w:val="bottom"/>
          </w:tcPr>
          <w:p>
            <w:pPr>
              <w:ind w:left="120"/>
              <w:spacing w:after="0"/>
              <w:rPr>
                <w:sz w:val="20"/>
                <w:szCs w:val="20"/>
                <w:color w:val="auto"/>
              </w:rPr>
            </w:pPr>
            <w:r>
              <w:rPr>
                <w:rFonts w:ascii="Arial" w:cs="Arial" w:eastAsia="Arial" w:hAnsi="Arial"/>
                <w:sz w:val="11"/>
                <w:szCs w:val="11"/>
                <w:b w:val="1"/>
                <w:bCs w:val="1"/>
                <w:color w:val="auto"/>
              </w:rPr>
              <w:t>Mega Campus: 88 Bluxome Street/SoMa</w:t>
            </w:r>
          </w:p>
        </w:tc>
        <w:tc>
          <w:tcPr>
            <w:tcW w:w="760" w:type="dxa"/>
            <w:vAlign w:val="bottom"/>
          </w:tcPr>
          <w:p>
            <w:pPr>
              <w:jc w:val="right"/>
              <w:ind w:right="203"/>
              <w:spacing w:after="0"/>
              <w:rPr>
                <w:sz w:val="20"/>
                <w:szCs w:val="20"/>
                <w:color w:val="auto"/>
              </w:rPr>
            </w:pPr>
            <w:r>
              <w:rPr>
                <w:rFonts w:ascii="Arial" w:cs="Arial" w:eastAsia="Arial" w:hAnsi="Arial"/>
                <w:sz w:val="11"/>
                <w:szCs w:val="11"/>
                <w:color w:val="auto"/>
              </w:rPr>
              <w:t>100%</w:t>
            </w:r>
          </w:p>
        </w:tc>
        <w:tc>
          <w:tcPr>
            <w:tcW w:w="160" w:type="dxa"/>
            <w:vAlign w:val="bottom"/>
          </w:tcPr>
          <w:p>
            <w:pPr>
              <w:spacing w:after="0"/>
              <w:rPr>
                <w:sz w:val="15"/>
                <w:szCs w:val="15"/>
                <w:color w:val="auto"/>
              </w:rPr>
            </w:pPr>
          </w:p>
        </w:tc>
        <w:tc>
          <w:tcPr>
            <w:tcW w:w="720" w:type="dxa"/>
            <w:vAlign w:val="bottom"/>
          </w:tcPr>
          <w:p>
            <w:pPr>
              <w:jc w:val="right"/>
              <w:ind w:right="123"/>
              <w:spacing w:after="0"/>
              <w:rPr>
                <w:sz w:val="20"/>
                <w:szCs w:val="20"/>
                <w:color w:val="auto"/>
              </w:rPr>
            </w:pPr>
            <w:r>
              <w:rPr>
                <w:rFonts w:ascii="Arial" w:cs="Arial" w:eastAsia="Arial" w:hAnsi="Arial"/>
                <w:sz w:val="11"/>
                <w:szCs w:val="11"/>
                <w:color w:val="auto"/>
              </w:rPr>
              <w:t>388,020</w:t>
            </w:r>
          </w:p>
        </w:tc>
        <w:tc>
          <w:tcPr>
            <w:tcW w:w="1100" w:type="dxa"/>
            <w:vAlign w:val="bottom"/>
          </w:tcPr>
          <w:p>
            <w:pPr>
              <w:jc w:val="right"/>
              <w:ind w:right="103"/>
              <w:spacing w:after="0"/>
              <w:rPr>
                <w:sz w:val="20"/>
                <w:szCs w:val="20"/>
                <w:color w:val="auto"/>
              </w:rPr>
            </w:pPr>
            <w:r>
              <w:rPr>
                <w:rFonts w:ascii="Arial" w:cs="Arial" w:eastAsia="Arial" w:hAnsi="Arial"/>
                <w:sz w:val="11"/>
                <w:szCs w:val="11"/>
                <w:color w:val="auto"/>
              </w:rPr>
              <w:t>—</w:t>
            </w:r>
          </w:p>
        </w:tc>
        <w:tc>
          <w:tcPr>
            <w:tcW w:w="1060" w:type="dxa"/>
            <w:vAlign w:val="bottom"/>
          </w:tcPr>
          <w:p>
            <w:pPr>
              <w:ind w:left="800"/>
              <w:spacing w:after="0"/>
              <w:rPr>
                <w:sz w:val="20"/>
                <w:szCs w:val="20"/>
                <w:color w:val="auto"/>
              </w:rPr>
            </w:pPr>
            <w:r>
              <w:rPr>
                <w:rFonts w:ascii="Arial" w:cs="Arial" w:eastAsia="Arial" w:hAnsi="Arial"/>
                <w:sz w:val="11"/>
                <w:szCs w:val="11"/>
                <w:color w:val="auto"/>
              </w:rPr>
              <w:t>—</w:t>
            </w:r>
          </w:p>
        </w:tc>
        <w:tc>
          <w:tcPr>
            <w:tcW w:w="1260" w:type="dxa"/>
            <w:vAlign w:val="bottom"/>
          </w:tcPr>
          <w:p>
            <w:pPr>
              <w:jc w:val="right"/>
              <w:ind w:right="223"/>
              <w:spacing w:after="0"/>
              <w:rPr>
                <w:sz w:val="20"/>
                <w:szCs w:val="20"/>
                <w:color w:val="auto"/>
              </w:rPr>
            </w:pPr>
            <w:r>
              <w:rPr>
                <w:rFonts w:ascii="Arial" w:cs="Arial" w:eastAsia="Arial" w:hAnsi="Arial"/>
                <w:sz w:val="11"/>
                <w:szCs w:val="11"/>
                <w:color w:val="auto"/>
              </w:rPr>
              <w:t>—</w:t>
            </w:r>
          </w:p>
        </w:tc>
        <w:tc>
          <w:tcPr>
            <w:tcW w:w="1100" w:type="dxa"/>
            <w:vAlign w:val="bottom"/>
          </w:tcPr>
          <w:p>
            <w:pPr>
              <w:jc w:val="right"/>
              <w:ind w:right="203"/>
              <w:spacing w:after="0"/>
              <w:rPr>
                <w:sz w:val="20"/>
                <w:szCs w:val="20"/>
                <w:color w:val="auto"/>
              </w:rPr>
            </w:pPr>
            <w:r>
              <w:rPr>
                <w:rFonts w:ascii="Arial" w:cs="Arial" w:eastAsia="Arial" w:hAnsi="Arial"/>
                <w:sz w:val="11"/>
                <w:szCs w:val="11"/>
                <w:color w:val="auto"/>
              </w:rPr>
              <w:t>1,070,925</w:t>
            </w:r>
          </w:p>
        </w:tc>
        <w:tc>
          <w:tcPr>
            <w:tcW w:w="840" w:type="dxa"/>
            <w:vAlign w:val="bottom"/>
          </w:tcPr>
          <w:p>
            <w:pPr>
              <w:jc w:val="right"/>
              <w:spacing w:after="0"/>
              <w:rPr>
                <w:sz w:val="20"/>
                <w:szCs w:val="20"/>
                <w:color w:val="auto"/>
              </w:rPr>
            </w:pPr>
            <w:r>
              <w:rPr>
                <w:rFonts w:ascii="Arial" w:cs="Arial" w:eastAsia="Arial" w:hAnsi="Arial"/>
                <w:sz w:val="11"/>
                <w:szCs w:val="11"/>
                <w:color w:val="auto"/>
              </w:rPr>
              <w:t>1,070,925</w:t>
            </w:r>
          </w:p>
        </w:tc>
        <w:tc>
          <w:tcPr>
            <w:tcW w:w="0" w:type="dxa"/>
            <w:vAlign w:val="bottom"/>
          </w:tcPr>
          <w:p>
            <w:pPr>
              <w:spacing w:after="0"/>
              <w:rPr>
                <w:sz w:val="1"/>
                <w:szCs w:val="1"/>
                <w:color w:val="auto"/>
              </w:rPr>
            </w:pPr>
          </w:p>
        </w:tc>
      </w:tr>
      <w:tr>
        <w:trPr>
          <w:trHeight w:val="166"/>
        </w:trPr>
        <w:tc>
          <w:tcPr>
            <w:tcW w:w="3640" w:type="dxa"/>
            <w:vAlign w:val="bottom"/>
          </w:tcPr>
          <w:p>
            <w:pPr>
              <w:ind w:left="120"/>
              <w:spacing w:after="0"/>
              <w:rPr>
                <w:sz w:val="20"/>
                <w:szCs w:val="20"/>
                <w:color w:val="auto"/>
              </w:rPr>
            </w:pPr>
            <w:r>
              <w:rPr>
                <w:rFonts w:ascii="Arial" w:cs="Arial" w:eastAsia="Arial" w:hAnsi="Arial"/>
                <w:sz w:val="11"/>
                <w:szCs w:val="11"/>
                <w:color w:val="auto"/>
              </w:rPr>
              <w:t>Other value-creation projects</w:t>
            </w:r>
          </w:p>
        </w:tc>
        <w:tc>
          <w:tcPr>
            <w:tcW w:w="760" w:type="dxa"/>
            <w:vAlign w:val="bottom"/>
          </w:tcPr>
          <w:p>
            <w:pPr>
              <w:jc w:val="right"/>
              <w:ind w:right="203"/>
              <w:spacing w:after="0"/>
              <w:rPr>
                <w:sz w:val="20"/>
                <w:szCs w:val="20"/>
                <w:color w:val="auto"/>
              </w:rPr>
            </w:pPr>
            <w:r>
              <w:rPr>
                <w:rFonts w:ascii="Arial" w:cs="Arial" w:eastAsia="Arial" w:hAnsi="Arial"/>
                <w:sz w:val="11"/>
                <w:szCs w:val="11"/>
                <w:color w:val="auto"/>
              </w:rPr>
              <w:t>100%</w:t>
            </w:r>
          </w:p>
        </w:tc>
        <w:tc>
          <w:tcPr>
            <w:tcW w:w="160" w:type="dxa"/>
            <w:vAlign w:val="bottom"/>
          </w:tcPr>
          <w:p>
            <w:pPr>
              <w:spacing w:after="0"/>
              <w:rPr>
                <w:sz w:val="14"/>
                <w:szCs w:val="14"/>
                <w:color w:val="auto"/>
              </w:rPr>
            </w:pPr>
          </w:p>
        </w:tc>
        <w:tc>
          <w:tcPr>
            <w:tcW w:w="720" w:type="dxa"/>
            <w:vAlign w:val="bottom"/>
          </w:tcPr>
          <w:p>
            <w:pPr>
              <w:jc w:val="right"/>
              <w:ind w:right="123"/>
              <w:spacing w:after="0"/>
              <w:rPr>
                <w:sz w:val="20"/>
                <w:szCs w:val="20"/>
                <w:color w:val="auto"/>
              </w:rPr>
            </w:pPr>
            <w:r>
              <w:rPr>
                <w:rFonts w:ascii="Arial" w:cs="Arial" w:eastAsia="Arial" w:hAnsi="Arial"/>
                <w:sz w:val="11"/>
                <w:szCs w:val="11"/>
                <w:color w:val="auto"/>
              </w:rPr>
              <w:t>—</w:t>
            </w:r>
          </w:p>
        </w:tc>
        <w:tc>
          <w:tcPr>
            <w:tcW w:w="1100" w:type="dxa"/>
            <w:vAlign w:val="bottom"/>
          </w:tcPr>
          <w:p>
            <w:pPr>
              <w:jc w:val="right"/>
              <w:ind w:right="103"/>
              <w:spacing w:after="0"/>
              <w:rPr>
                <w:sz w:val="20"/>
                <w:szCs w:val="20"/>
                <w:color w:val="auto"/>
              </w:rPr>
            </w:pPr>
            <w:r>
              <w:rPr>
                <w:rFonts w:ascii="Arial" w:cs="Arial" w:eastAsia="Arial" w:hAnsi="Arial"/>
                <w:sz w:val="11"/>
                <w:szCs w:val="11"/>
                <w:color w:val="auto"/>
              </w:rPr>
              <w:t>—</w:t>
            </w:r>
          </w:p>
        </w:tc>
        <w:tc>
          <w:tcPr>
            <w:tcW w:w="1060" w:type="dxa"/>
            <w:vAlign w:val="bottom"/>
          </w:tcPr>
          <w:p>
            <w:pPr>
              <w:ind w:left="800"/>
              <w:spacing w:after="0"/>
              <w:rPr>
                <w:sz w:val="20"/>
                <w:szCs w:val="20"/>
                <w:color w:val="auto"/>
              </w:rPr>
            </w:pPr>
            <w:r>
              <w:rPr>
                <w:rFonts w:ascii="Arial" w:cs="Arial" w:eastAsia="Arial" w:hAnsi="Arial"/>
                <w:sz w:val="11"/>
                <w:szCs w:val="11"/>
                <w:color w:val="auto"/>
              </w:rPr>
              <w:t>—</w:t>
            </w:r>
          </w:p>
        </w:tc>
        <w:tc>
          <w:tcPr>
            <w:tcW w:w="1260" w:type="dxa"/>
            <w:vAlign w:val="bottom"/>
          </w:tcPr>
          <w:p>
            <w:pPr>
              <w:jc w:val="right"/>
              <w:ind w:right="223"/>
              <w:spacing w:after="0"/>
              <w:rPr>
                <w:sz w:val="20"/>
                <w:szCs w:val="20"/>
                <w:color w:val="auto"/>
              </w:rPr>
            </w:pPr>
            <w:r>
              <w:rPr>
                <w:rFonts w:ascii="Arial" w:cs="Arial" w:eastAsia="Arial" w:hAnsi="Arial"/>
                <w:sz w:val="11"/>
                <w:szCs w:val="11"/>
                <w:color w:val="auto"/>
              </w:rPr>
              <w:t>—</w:t>
            </w:r>
          </w:p>
        </w:tc>
        <w:tc>
          <w:tcPr>
            <w:tcW w:w="1100" w:type="dxa"/>
            <w:vAlign w:val="bottom"/>
          </w:tcPr>
          <w:p>
            <w:pPr>
              <w:jc w:val="right"/>
              <w:ind w:right="203"/>
              <w:spacing w:after="0"/>
              <w:rPr>
                <w:sz w:val="20"/>
                <w:szCs w:val="20"/>
                <w:color w:val="auto"/>
              </w:rPr>
            </w:pPr>
            <w:r>
              <w:rPr>
                <w:rFonts w:ascii="Arial" w:cs="Arial" w:eastAsia="Arial" w:hAnsi="Arial"/>
                <w:sz w:val="11"/>
                <w:szCs w:val="11"/>
                <w:color w:val="auto"/>
              </w:rPr>
              <w:t>25,000</w:t>
            </w:r>
          </w:p>
        </w:tc>
        <w:tc>
          <w:tcPr>
            <w:tcW w:w="840" w:type="dxa"/>
            <w:vAlign w:val="bottom"/>
          </w:tcPr>
          <w:p>
            <w:pPr>
              <w:jc w:val="right"/>
              <w:spacing w:after="0"/>
              <w:rPr>
                <w:sz w:val="20"/>
                <w:szCs w:val="20"/>
                <w:color w:val="auto"/>
              </w:rPr>
            </w:pPr>
            <w:r>
              <w:rPr>
                <w:rFonts w:ascii="Arial" w:cs="Arial" w:eastAsia="Arial" w:hAnsi="Arial"/>
                <w:sz w:val="11"/>
                <w:szCs w:val="11"/>
                <w:color w:val="auto"/>
              </w:rPr>
              <w:t>25,000</w:t>
            </w:r>
          </w:p>
        </w:tc>
        <w:tc>
          <w:tcPr>
            <w:tcW w:w="0" w:type="dxa"/>
            <w:vAlign w:val="bottom"/>
          </w:tcPr>
          <w:p>
            <w:pPr>
              <w:spacing w:after="0"/>
              <w:rPr>
                <w:sz w:val="1"/>
                <w:szCs w:val="1"/>
                <w:color w:val="auto"/>
              </w:rPr>
            </w:pPr>
          </w:p>
        </w:tc>
      </w:tr>
      <w:tr>
        <w:trPr>
          <w:trHeight w:val="167"/>
        </w:trPr>
        <w:tc>
          <w:tcPr>
            <w:tcW w:w="3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ind w:left="60"/>
              <w:spacing w:after="0"/>
              <w:rPr>
                <w:sz w:val="20"/>
                <w:szCs w:val="20"/>
                <w:color w:val="auto"/>
              </w:rPr>
            </w:pPr>
            <w:r>
              <w:rPr>
                <w:rFonts w:ascii="Arial" w:cs="Arial" w:eastAsia="Arial" w:hAnsi="Arial"/>
                <w:sz w:val="11"/>
                <w:szCs w:val="11"/>
                <w:b w:val="1"/>
                <w:bCs w:val="1"/>
                <w:color w:val="auto"/>
              </w:rPr>
              <w:t>$</w:t>
            </w:r>
          </w:p>
        </w:tc>
        <w:tc>
          <w:tcPr>
            <w:tcW w:w="720" w:type="dxa"/>
            <w:vAlign w:val="bottom"/>
          </w:tcPr>
          <w:p>
            <w:pPr>
              <w:jc w:val="right"/>
              <w:ind w:right="123"/>
              <w:spacing w:after="0"/>
              <w:rPr>
                <w:sz w:val="20"/>
                <w:szCs w:val="20"/>
                <w:color w:val="auto"/>
              </w:rPr>
            </w:pPr>
            <w:r>
              <w:rPr>
                <w:rFonts w:ascii="Arial" w:cs="Arial" w:eastAsia="Arial" w:hAnsi="Arial"/>
                <w:sz w:val="11"/>
                <w:szCs w:val="11"/>
                <w:b w:val="1"/>
                <w:bCs w:val="1"/>
                <w:color w:val="auto"/>
              </w:rPr>
              <w:t>2,427,507</w:t>
            </w:r>
          </w:p>
        </w:tc>
        <w:tc>
          <w:tcPr>
            <w:tcW w:w="1100" w:type="dxa"/>
            <w:vAlign w:val="bottom"/>
          </w:tcPr>
          <w:p>
            <w:pPr>
              <w:jc w:val="right"/>
              <w:ind w:right="103"/>
              <w:spacing w:after="0"/>
              <w:rPr>
                <w:sz w:val="20"/>
                <w:szCs w:val="20"/>
                <w:color w:val="auto"/>
              </w:rPr>
            </w:pPr>
            <w:r>
              <w:rPr>
                <w:rFonts w:ascii="Arial" w:cs="Arial" w:eastAsia="Arial" w:hAnsi="Arial"/>
                <w:sz w:val="11"/>
                <w:szCs w:val="11"/>
                <w:b w:val="1"/>
                <w:bCs w:val="1"/>
                <w:color w:val="auto"/>
              </w:rPr>
              <w:t>780,196</w:t>
            </w:r>
          </w:p>
        </w:tc>
        <w:tc>
          <w:tcPr>
            <w:tcW w:w="1060" w:type="dxa"/>
            <w:vAlign w:val="bottom"/>
          </w:tcPr>
          <w:p>
            <w:pPr>
              <w:ind w:left="800"/>
              <w:spacing w:after="0"/>
              <w:rPr>
                <w:sz w:val="20"/>
                <w:szCs w:val="20"/>
                <w:color w:val="auto"/>
              </w:rPr>
            </w:pPr>
            <w:r>
              <w:rPr>
                <w:rFonts w:ascii="Arial" w:cs="Arial" w:eastAsia="Arial" w:hAnsi="Arial"/>
                <w:sz w:val="11"/>
                <w:szCs w:val="11"/>
                <w:b w:val="1"/>
                <w:bCs w:val="1"/>
                <w:color w:val="auto"/>
              </w:rPr>
              <w:t>—</w:t>
            </w:r>
          </w:p>
        </w:tc>
        <w:tc>
          <w:tcPr>
            <w:tcW w:w="1260" w:type="dxa"/>
            <w:vAlign w:val="bottom"/>
          </w:tcPr>
          <w:p>
            <w:pPr>
              <w:jc w:val="right"/>
              <w:ind w:right="223"/>
              <w:spacing w:after="0"/>
              <w:rPr>
                <w:sz w:val="20"/>
                <w:szCs w:val="20"/>
                <w:color w:val="auto"/>
              </w:rPr>
            </w:pPr>
            <w:r>
              <w:rPr>
                <w:rFonts w:ascii="Arial" w:cs="Arial" w:eastAsia="Arial" w:hAnsi="Arial"/>
                <w:sz w:val="11"/>
                <w:szCs w:val="11"/>
                <w:b w:val="1"/>
                <w:bCs w:val="1"/>
                <w:color w:val="auto"/>
              </w:rPr>
              <w:t>560,438</w:t>
            </w:r>
          </w:p>
        </w:tc>
        <w:tc>
          <w:tcPr>
            <w:tcW w:w="1100" w:type="dxa"/>
            <w:vAlign w:val="bottom"/>
          </w:tcPr>
          <w:p>
            <w:pPr>
              <w:jc w:val="right"/>
              <w:ind w:right="203"/>
              <w:spacing w:after="0"/>
              <w:rPr>
                <w:sz w:val="20"/>
                <w:szCs w:val="20"/>
                <w:color w:val="auto"/>
              </w:rPr>
            </w:pPr>
            <w:r>
              <w:rPr>
                <w:rFonts w:ascii="Arial" w:cs="Arial" w:eastAsia="Arial" w:hAnsi="Arial"/>
                <w:sz w:val="11"/>
                <w:szCs w:val="11"/>
                <w:b w:val="1"/>
                <w:bCs w:val="1"/>
                <w:color w:val="auto"/>
              </w:rPr>
              <w:t>5,574,892</w:t>
            </w:r>
          </w:p>
        </w:tc>
        <w:tc>
          <w:tcPr>
            <w:tcW w:w="840" w:type="dxa"/>
            <w:vAlign w:val="bottom"/>
          </w:tcPr>
          <w:p>
            <w:pPr>
              <w:jc w:val="right"/>
              <w:spacing w:after="0"/>
              <w:rPr>
                <w:sz w:val="20"/>
                <w:szCs w:val="20"/>
                <w:color w:val="auto"/>
              </w:rPr>
            </w:pPr>
            <w:r>
              <w:rPr>
                <w:rFonts w:ascii="Arial" w:cs="Arial" w:eastAsia="Arial" w:hAnsi="Arial"/>
                <w:sz w:val="11"/>
                <w:szCs w:val="11"/>
                <w:b w:val="1"/>
                <w:bCs w:val="1"/>
                <w:color w:val="auto"/>
              </w:rPr>
              <w:t>6,915,526</w:t>
            </w:r>
          </w:p>
        </w:tc>
        <w:tc>
          <w:tcPr>
            <w:tcW w:w="0" w:type="dxa"/>
            <w:vAlign w:val="bottom"/>
          </w:tcPr>
          <w:p>
            <w:pPr>
              <w:spacing w:after="0"/>
              <w:rPr>
                <w:sz w:val="1"/>
                <w:szCs w:val="1"/>
                <w:color w:val="auto"/>
              </w:rPr>
            </w:pPr>
          </w:p>
        </w:tc>
      </w:tr>
    </w:tbl>
    <w:p>
      <w:pPr>
        <w:sectPr>
          <w:pgSz w:w="11900" w:h="16838" w:orient="portrait"/>
          <w:cols w:equalWidth="0" w:num="1">
            <w:col w:w="10760"/>
          </w:cols>
          <w:pgMar w:left="580" w:top="483" w:right="559" w:bottom="595" w:gutter="0" w:footer="0" w:header="0"/>
        </w:sectPr>
      </w:pPr>
    </w:p>
    <w:bookmarkStart w:id="45" w:name="page46"/>
    <w:bookmarkEnd w:id="45"/>
    <w:p>
      <w:pPr>
        <w:ind w:left="60"/>
        <w:spacing w:after="0"/>
        <w:rPr>
          <w:sz w:val="20"/>
          <w:szCs w:val="20"/>
          <w:color w:val="auto"/>
        </w:rPr>
      </w:pPr>
      <w:r>
        <w:rPr>
          <w:rFonts w:ascii="Arial" w:cs="Arial" w:eastAsia="Arial" w:hAnsi="Arial"/>
          <w:sz w:val="10"/>
          <w:szCs w:val="10"/>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212965" cy="120967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12965" cy="1209675"/>
                    </a:xfrm>
                    <a:prstGeom prst="rect">
                      <a:avLst/>
                    </a:prstGeom>
                    <a:noFill/>
                  </pic:spPr>
                </pic:pic>
              </a:graphicData>
            </a:graphic>
          </wp:anchor>
        </w:drawing>
        <w:t>Refer to “Mega campus” under “Definitions and reconciliations” in Item 2 for additional information.</w:t>
      </w:r>
    </w:p>
    <w:p>
      <w:pPr>
        <w:spacing w:after="0" w:line="132" w:lineRule="exact"/>
        <w:rPr>
          <w:sz w:val="20"/>
          <w:szCs w:val="20"/>
          <w:color w:val="auto"/>
        </w:rPr>
      </w:pPr>
    </w:p>
    <w:p>
      <w:pPr>
        <w:ind w:left="320" w:right="120" w:hanging="267"/>
        <w:spacing w:after="0" w:line="253" w:lineRule="auto"/>
        <w:tabs>
          <w:tab w:leader="none" w:pos="320" w:val="left"/>
        </w:tabs>
        <w:numPr>
          <w:ilvl w:val="0"/>
          <w:numId w:val="91"/>
        </w:numPr>
        <w:rPr>
          <w:rFonts w:ascii="Arial" w:cs="Arial" w:eastAsia="Arial" w:hAnsi="Arial"/>
          <w:sz w:val="10"/>
          <w:szCs w:val="10"/>
          <w:color w:val="auto"/>
        </w:rPr>
      </w:pPr>
      <w:r>
        <w:rPr>
          <w:rFonts w:ascii="Arial" w:cs="Arial" w:eastAsia="Arial" w:hAnsi="Arial"/>
          <w:sz w:val="10"/>
          <w:szCs w:val="10"/>
          <w:color w:val="auto"/>
        </w:rPr>
        <w:t>Represents total square footage upon completion of development or redevelopment of one or more new Class A/A+ properties. Square footage presented includes the RSF of buildings currently in operation at properties that also have future development or redevelopment opportunities. Upon expiration of existin</w:t>
      </w:r>
      <w:r>
        <w:rPr>
          <w:rFonts w:ascii="Arial" w:cs="Arial" w:eastAsia="Arial" w:hAnsi="Arial"/>
          <w:sz w:val="10"/>
          <w:szCs w:val="10"/>
          <w:color w:val="auto"/>
          <w:strike w:val="1"/>
        </w:rPr>
        <w:t>g in-place leas</w:t>
      </w:r>
      <w:r>
        <w:rPr>
          <w:rFonts w:ascii="Arial" w:cs="Arial" w:eastAsia="Arial" w:hAnsi="Arial"/>
          <w:sz w:val="10"/>
          <w:szCs w:val="10"/>
          <w:color w:val="auto"/>
        </w:rPr>
        <w:t>e</w:t>
      </w:r>
      <w:r>
        <w:rPr>
          <w:rFonts w:ascii="Arial" w:cs="Arial" w:eastAsia="Arial" w:hAnsi="Arial"/>
          <w:sz w:val="10"/>
          <w:szCs w:val="10"/>
          <w:color w:val="auto"/>
          <w:strike w:val="1"/>
        </w:rPr>
        <w:t>s, we have the in</w:t>
      </w:r>
      <w:r>
        <w:rPr>
          <w:rFonts w:ascii="Arial" w:cs="Arial" w:eastAsia="Arial" w:hAnsi="Arial"/>
          <w:sz w:val="10"/>
          <w:szCs w:val="10"/>
          <w:color w:val="auto"/>
        </w:rPr>
        <w:t xml:space="preserve">tent </w:t>
      </w:r>
      <w:r>
        <w:rPr>
          <w:rFonts w:ascii="Arial" w:cs="Arial" w:eastAsia="Arial" w:hAnsi="Arial"/>
          <w:sz w:val="10"/>
          <w:szCs w:val="10"/>
          <w:color w:val="auto"/>
          <w:strike w:val="1"/>
        </w:rPr>
        <w:t>to demolish or redev</w:t>
      </w:r>
      <w:r>
        <w:rPr>
          <w:rFonts w:ascii="Arial" w:cs="Arial" w:eastAsia="Arial" w:hAnsi="Arial"/>
          <w:sz w:val="10"/>
          <w:szCs w:val="10"/>
          <w:color w:val="auto"/>
        </w:rPr>
        <w:t>elo</w:t>
      </w:r>
      <w:r>
        <w:rPr>
          <w:rFonts w:ascii="Arial" w:cs="Arial" w:eastAsia="Arial" w:hAnsi="Arial"/>
          <w:sz w:val="10"/>
          <w:szCs w:val="10"/>
          <w:color w:val="auto"/>
          <w:strike w:val="1"/>
        </w:rPr>
        <w:t>p the existing propert</w:t>
      </w:r>
      <w:r>
        <w:rPr>
          <w:rFonts w:ascii="Arial" w:cs="Arial" w:eastAsia="Arial" w:hAnsi="Arial"/>
          <w:sz w:val="10"/>
          <w:szCs w:val="10"/>
          <w:color w:val="auto"/>
        </w:rPr>
        <w:t>y. R</w:t>
      </w:r>
      <w:r>
        <w:rPr>
          <w:rFonts w:ascii="Arial" w:cs="Arial" w:eastAsia="Arial" w:hAnsi="Arial"/>
          <w:sz w:val="10"/>
          <w:szCs w:val="10"/>
          <w:color w:val="auto"/>
          <w:strike w:val="1"/>
        </w:rPr>
        <w:t>efer to “Investments in</w:t>
      </w:r>
      <w:r>
        <w:rPr>
          <w:rFonts w:ascii="Arial" w:cs="Arial" w:eastAsia="Arial" w:hAnsi="Arial"/>
          <w:sz w:val="10"/>
          <w:szCs w:val="10"/>
          <w:color w:val="auto"/>
        </w:rPr>
        <w:t xml:space="preserve"> rea</w:t>
      </w:r>
      <w:r>
        <w:rPr>
          <w:rFonts w:ascii="Arial" w:cs="Arial" w:eastAsia="Arial" w:hAnsi="Arial"/>
          <w:sz w:val="10"/>
          <w:szCs w:val="10"/>
          <w:color w:val="auto"/>
          <w:strike w:val="1"/>
        </w:rPr>
        <w:t>l estate” under “Defin</w:t>
      </w:r>
      <w:r>
        <w:rPr>
          <w:rFonts w:ascii="Arial" w:cs="Arial" w:eastAsia="Arial" w:hAnsi="Arial"/>
          <w:sz w:val="10"/>
          <w:szCs w:val="10"/>
          <w:color w:val="auto"/>
        </w:rPr>
        <w:t>itions and reconciliations” in Item 2 for additional information, including value-creation square feet currently included in rental properties.</w:t>
      </w:r>
    </w:p>
    <w:p>
      <w:pPr>
        <w:ind w:left="320" w:hanging="267"/>
        <w:spacing w:after="0"/>
        <w:tabs>
          <w:tab w:leader="none" w:pos="320" w:val="left"/>
        </w:tabs>
        <w:numPr>
          <w:ilvl w:val="0"/>
          <w:numId w:val="91"/>
        </w:numPr>
        <w:rPr>
          <w:rFonts w:ascii="Arial" w:cs="Arial" w:eastAsia="Arial" w:hAnsi="Arial"/>
          <w:sz w:val="10"/>
          <w:szCs w:val="10"/>
          <w:color w:val="auto"/>
        </w:rPr>
      </w:pPr>
      <w:r>
        <w:rPr>
          <w:rFonts w:ascii="Arial" w:cs="Arial" w:eastAsia="Arial" w:hAnsi="Arial"/>
          <w:sz w:val="10"/>
          <w:szCs w:val="10"/>
          <w:color w:val="auto"/>
        </w:rPr>
        <w:t>We own a partial interest in this property through a real estate joint venture. Refer to Note 4 – “Consolidated and unconsolidated real estate joint ventures” to our unaudited consolidated financial statements in Item 1 for additional details.</w:t>
      </w:r>
    </w:p>
    <w:p>
      <w:pPr>
        <w:spacing w:after="0" w:line="309"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188595</wp:posOffset>
            </wp:positionV>
            <wp:extent cx="7212965" cy="55841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12965" cy="5584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New Class A/A+ development and redevelopment properties: summary of pipeline (continued)</w:t>
      </w:r>
    </w:p>
    <w:p>
      <w:pPr>
        <w:spacing w:after="0" w:line="164" w:lineRule="exact"/>
        <w:rPr>
          <w:sz w:val="20"/>
          <w:szCs w:val="20"/>
          <w:color w:val="auto"/>
        </w:rPr>
      </w:pPr>
    </w:p>
    <w:tbl>
      <w:tblPr>
        <w:tblLayout w:type="fixed"/>
        <w:tblInd w:w="20" w:type="dxa"/>
        <w:tblCellMar>
          <w:top w:w="0" w:type="dxa"/>
          <w:left w:w="0" w:type="dxa"/>
          <w:bottom w:w="0" w:type="dxa"/>
          <w:right w:w="0" w:type="dxa"/>
        </w:tblCellMar>
      </w:tblPr>
      <w:tr>
        <w:trPr>
          <w:trHeight w:val="148"/>
        </w:trPr>
        <w:tc>
          <w:tcPr>
            <w:tcW w:w="3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2"/>
          </w:tcPr>
          <w:p>
            <w:pPr>
              <w:ind w:left="80"/>
              <w:spacing w:after="0"/>
              <w:rPr>
                <w:sz w:val="20"/>
                <w:szCs w:val="20"/>
                <w:color w:val="auto"/>
              </w:rPr>
            </w:pPr>
            <w:r>
              <w:rPr>
                <w:rFonts w:ascii="Arial" w:cs="Arial" w:eastAsia="Arial" w:hAnsi="Arial"/>
                <w:sz w:val="11"/>
                <w:szCs w:val="11"/>
                <w:b w:val="1"/>
                <w:bCs w:val="1"/>
                <w:color w:val="auto"/>
              </w:rPr>
              <w:t>Square Footage</w:t>
            </w:r>
          </w:p>
        </w:tc>
        <w:tc>
          <w:tcPr>
            <w:tcW w:w="9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3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240" w:type="dxa"/>
            <w:vAlign w:val="bottom"/>
            <w:tcBorders>
              <w:bottom w:val="single" w:sz="8" w:color="auto"/>
            </w:tcBorders>
            <w:gridSpan w:val="4"/>
          </w:tcPr>
          <w:p>
            <w:pPr>
              <w:ind w:left="140"/>
              <w:spacing w:after="0"/>
              <w:rPr>
                <w:sz w:val="20"/>
                <w:szCs w:val="20"/>
                <w:color w:val="auto"/>
              </w:rPr>
            </w:pPr>
            <w:r>
              <w:rPr>
                <w:rFonts w:ascii="Arial" w:cs="Arial" w:eastAsia="Arial" w:hAnsi="Arial"/>
                <w:sz w:val="11"/>
                <w:szCs w:val="11"/>
                <w:b w:val="1"/>
                <w:bCs w:val="1"/>
                <w:color w:val="auto"/>
              </w:rPr>
              <w:t>Development and Redevelopment</w:t>
            </w:r>
          </w:p>
        </w:tc>
        <w:tc>
          <w:tcPr>
            <w:tcW w:w="94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3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160" w:type="dxa"/>
            <w:vAlign w:val="bottom"/>
            <w:gridSpan w:val="4"/>
          </w:tcPr>
          <w:p>
            <w:pPr>
              <w:ind w:left="400"/>
              <w:spacing w:after="0"/>
              <w:rPr>
                <w:sz w:val="20"/>
                <w:szCs w:val="20"/>
                <w:color w:val="auto"/>
              </w:rPr>
            </w:pPr>
            <w:r>
              <w:rPr>
                <w:rFonts w:ascii="Arial" w:cs="Arial" w:eastAsia="Arial" w:hAnsi="Arial"/>
                <w:sz w:val="11"/>
                <w:szCs w:val="11"/>
                <w:b w:val="1"/>
                <w:bCs w:val="1"/>
                <w:color w:val="auto"/>
              </w:rPr>
              <w:t>Active and Near-Term</w:t>
            </w:r>
          </w:p>
        </w:tc>
        <w:tc>
          <w:tcPr>
            <w:tcW w:w="2260" w:type="dxa"/>
            <w:vAlign w:val="bottom"/>
            <w:gridSpan w:val="4"/>
          </w:tcPr>
          <w:p>
            <w:pPr>
              <w:ind w:left="180"/>
              <w:spacing w:after="0"/>
              <w:rPr>
                <w:sz w:val="20"/>
                <w:szCs w:val="20"/>
                <w:color w:val="auto"/>
              </w:rPr>
            </w:pPr>
            <w:r>
              <w:rPr>
                <w:rFonts w:ascii="Arial" w:cs="Arial" w:eastAsia="Arial" w:hAnsi="Arial"/>
                <w:sz w:val="11"/>
                <w:szCs w:val="11"/>
                <w:b w:val="1"/>
                <w:bCs w:val="1"/>
                <w:color w:val="auto"/>
              </w:rPr>
              <w:t>Future Opportunities Subject to</w:t>
            </w: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3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2"/>
            <w:vMerge w:val="restart"/>
          </w:tcPr>
          <w:p>
            <w:pPr>
              <w:jc w:val="center"/>
              <w:ind w:right="60"/>
              <w:spacing w:after="0"/>
              <w:rPr>
                <w:sz w:val="20"/>
                <w:szCs w:val="20"/>
                <w:color w:val="auto"/>
              </w:rPr>
            </w:pPr>
            <w:r>
              <w:rPr>
                <w:rFonts w:ascii="Arial" w:cs="Arial" w:eastAsia="Arial" w:hAnsi="Arial"/>
                <w:sz w:val="11"/>
                <w:szCs w:val="11"/>
                <w:b w:val="1"/>
                <w:bCs w:val="1"/>
                <w:color w:val="auto"/>
              </w:rPr>
              <w:t>Our</w:t>
            </w: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0" w:type="dxa"/>
            <w:vAlign w:val="bottom"/>
            <w:tcBorders>
              <w:bottom w:val="single" w:sz="8" w:color="auto"/>
            </w:tcBorders>
            <w:gridSpan w:val="3"/>
          </w:tcPr>
          <w:p>
            <w:pPr>
              <w:jc w:val="right"/>
              <w:ind w:right="583"/>
              <w:spacing w:after="0"/>
              <w:rPr>
                <w:sz w:val="20"/>
                <w:szCs w:val="20"/>
                <w:color w:val="auto"/>
              </w:rPr>
            </w:pPr>
            <w:r>
              <w:rPr>
                <w:rFonts w:ascii="Arial" w:cs="Arial" w:eastAsia="Arial" w:hAnsi="Arial"/>
                <w:sz w:val="11"/>
                <w:szCs w:val="11"/>
                <w:b w:val="1"/>
                <w:bCs w:val="1"/>
                <w:color w:val="auto"/>
              </w:rPr>
              <w:t>Construction</w:t>
            </w:r>
          </w:p>
        </w:tc>
        <w:tc>
          <w:tcPr>
            <w:tcW w:w="160" w:type="dxa"/>
            <w:vAlign w:val="bottom"/>
          </w:tcPr>
          <w:p>
            <w:pPr>
              <w:spacing w:after="0"/>
              <w:rPr>
                <w:sz w:val="12"/>
                <w:szCs w:val="12"/>
                <w:color w:val="auto"/>
              </w:rPr>
            </w:pPr>
          </w:p>
        </w:tc>
        <w:tc>
          <w:tcPr>
            <w:tcW w:w="2080" w:type="dxa"/>
            <w:vAlign w:val="bottom"/>
            <w:tcBorders>
              <w:bottom w:val="single" w:sz="8" w:color="auto"/>
            </w:tcBorders>
            <w:gridSpan w:val="3"/>
          </w:tcPr>
          <w:p>
            <w:pPr>
              <w:ind w:left="200"/>
              <w:spacing w:after="0"/>
              <w:rPr>
                <w:sz w:val="20"/>
                <w:szCs w:val="20"/>
                <w:color w:val="auto"/>
              </w:rPr>
            </w:pPr>
            <w:r>
              <w:rPr>
                <w:rFonts w:ascii="Arial" w:cs="Arial" w:eastAsia="Arial" w:hAnsi="Arial"/>
                <w:sz w:val="11"/>
                <w:szCs w:val="11"/>
                <w:b w:val="1"/>
                <w:bCs w:val="1"/>
                <w:color w:val="auto"/>
              </w:rPr>
              <w:t>Market Conditions and Leasing</w:t>
            </w: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372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Market</w:t>
            </w:r>
          </w:p>
        </w:tc>
        <w:tc>
          <w:tcPr>
            <w:tcW w:w="74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gridSpan w:val="2"/>
            <w:vMerge w:val="restart"/>
          </w:tcPr>
          <w:p>
            <w:pPr>
              <w:ind w:left="300"/>
              <w:spacing w:after="0"/>
              <w:rPr>
                <w:sz w:val="20"/>
                <w:szCs w:val="20"/>
                <w:color w:val="auto"/>
              </w:rPr>
            </w:pPr>
            <w:r>
              <w:rPr>
                <w:rFonts w:ascii="Arial" w:cs="Arial" w:eastAsia="Arial" w:hAnsi="Arial"/>
                <w:sz w:val="11"/>
                <w:szCs w:val="11"/>
                <w:b w:val="1"/>
                <w:bCs w:val="1"/>
                <w:color w:val="auto"/>
              </w:rPr>
              <w:t>Under</w:t>
            </w:r>
          </w:p>
        </w:tc>
        <w:tc>
          <w:tcPr>
            <w:tcW w:w="110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Committed</w:t>
            </w:r>
          </w:p>
        </w:tc>
        <w:tc>
          <w:tcPr>
            <w:tcW w:w="1140" w:type="dxa"/>
            <w:vAlign w:val="bottom"/>
            <w:gridSpan w:val="2"/>
            <w:vMerge w:val="restart"/>
          </w:tcPr>
          <w:p>
            <w:pPr>
              <w:ind w:left="280"/>
              <w:spacing w:after="0"/>
              <w:rPr>
                <w:sz w:val="20"/>
                <w:szCs w:val="20"/>
                <w:color w:val="auto"/>
              </w:rPr>
            </w:pPr>
            <w:r>
              <w:rPr>
                <w:rFonts w:ascii="Arial" w:cs="Arial" w:eastAsia="Arial" w:hAnsi="Arial"/>
                <w:sz w:val="11"/>
                <w:szCs w:val="11"/>
                <w:b w:val="1"/>
                <w:bCs w:val="1"/>
                <w:color w:val="auto"/>
              </w:rPr>
              <w:t>Priority</w:t>
            </w: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3720" w:type="dxa"/>
            <w:vAlign w:val="bottom"/>
            <w:gridSpan w:val="2"/>
            <w:vMerge w:val="continue"/>
          </w:tcPr>
          <w:p>
            <w:pPr>
              <w:spacing w:after="0"/>
              <w:rPr>
                <w:sz w:val="9"/>
                <w:szCs w:val="9"/>
                <w:color w:val="auto"/>
              </w:rPr>
            </w:pPr>
          </w:p>
        </w:tc>
        <w:tc>
          <w:tcPr>
            <w:tcW w:w="740" w:type="dxa"/>
            <w:vAlign w:val="bottom"/>
            <w:gridSpan w:val="2"/>
          </w:tcPr>
          <w:p>
            <w:pPr>
              <w:jc w:val="center"/>
              <w:ind w:right="40"/>
              <w:spacing w:after="0" w:line="110" w:lineRule="exact"/>
              <w:rPr>
                <w:sz w:val="20"/>
                <w:szCs w:val="20"/>
                <w:color w:val="auto"/>
              </w:rPr>
            </w:pPr>
            <w:r>
              <w:rPr>
                <w:rFonts w:ascii="Arial" w:cs="Arial" w:eastAsia="Arial" w:hAnsi="Arial"/>
                <w:sz w:val="11"/>
                <w:szCs w:val="11"/>
                <w:b w:val="1"/>
                <w:bCs w:val="1"/>
                <w:color w:val="auto"/>
              </w:rPr>
              <w:t>Ownership</w:t>
            </w:r>
          </w:p>
        </w:tc>
        <w:tc>
          <w:tcPr>
            <w:tcW w:w="7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Book Value</w:t>
            </w:r>
          </w:p>
        </w:tc>
        <w:tc>
          <w:tcPr>
            <w:tcW w:w="200" w:type="dxa"/>
            <w:vAlign w:val="bottom"/>
            <w:vMerge w:val="restart"/>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940" w:type="dxa"/>
            <w:vAlign w:val="bottom"/>
            <w:vMerge w:val="restart"/>
          </w:tcPr>
          <w:p>
            <w:pPr>
              <w:jc w:val="right"/>
              <w:ind w:right="243"/>
              <w:spacing w:after="0"/>
              <w:rPr>
                <w:sz w:val="20"/>
                <w:szCs w:val="20"/>
                <w:color w:val="auto"/>
              </w:rPr>
            </w:pPr>
            <w:r>
              <w:rPr>
                <w:rFonts w:ascii="Arial" w:cs="Arial" w:eastAsia="Arial" w:hAnsi="Arial"/>
                <w:sz w:val="11"/>
                <w:szCs w:val="11"/>
                <w:b w:val="1"/>
                <w:bCs w:val="1"/>
                <w:color w:val="auto"/>
              </w:rPr>
              <w:t>Future</w:t>
            </w:r>
          </w:p>
        </w:tc>
        <w:tc>
          <w:tcPr>
            <w:tcW w:w="180" w:type="dxa"/>
            <w:vAlign w:val="bottom"/>
            <w:vMerge w:val="restart"/>
          </w:tcPr>
          <w:p>
            <w:pPr>
              <w:spacing w:after="0"/>
              <w:rPr>
                <w:sz w:val="9"/>
                <w:szCs w:val="9"/>
                <w:color w:val="auto"/>
              </w:rPr>
            </w:pPr>
          </w:p>
        </w:tc>
        <w:tc>
          <w:tcPr>
            <w:tcW w:w="940" w:type="dxa"/>
            <w:vAlign w:val="bottom"/>
            <w:vMerge w:val="restart"/>
          </w:tcPr>
          <w:p>
            <w:pPr>
              <w:jc w:val="right"/>
              <w:ind w:right="223"/>
              <w:spacing w:after="0"/>
              <w:rPr>
                <w:sz w:val="20"/>
                <w:szCs w:val="20"/>
                <w:color w:val="auto"/>
              </w:rPr>
            </w:pPr>
            <w:r>
              <w:rPr>
                <w:rFonts w:ascii="Arial" w:cs="Arial" w:eastAsia="Arial" w:hAnsi="Arial"/>
                <w:sz w:val="11"/>
                <w:szCs w:val="11"/>
                <w:b w:val="1"/>
                <w:bCs w:val="1"/>
                <w:color w:val="auto"/>
              </w:rPr>
              <w:t>Total</w:t>
            </w:r>
            <w:r>
              <w:rPr>
                <w:rFonts w:ascii="Arial" w:cs="Arial" w:eastAsia="Arial" w:hAnsi="Arial"/>
                <w:sz w:val="14"/>
                <w:szCs w:val="14"/>
                <w:b w:val="1"/>
                <w:bCs w:val="1"/>
                <w:color w:val="auto"/>
                <w:vertAlign w:val="superscript"/>
              </w:rPr>
              <w:t>(1)</w:t>
            </w:r>
          </w:p>
        </w:tc>
        <w:tc>
          <w:tcPr>
            <w:tcW w:w="0" w:type="dxa"/>
            <w:vAlign w:val="bottom"/>
          </w:tcPr>
          <w:p>
            <w:pPr>
              <w:spacing w:after="0"/>
              <w:rPr>
                <w:sz w:val="1"/>
                <w:szCs w:val="1"/>
                <w:color w:val="auto"/>
              </w:rPr>
            </w:pPr>
          </w:p>
        </w:tc>
      </w:tr>
      <w:tr>
        <w:trPr>
          <w:trHeight w:val="148"/>
        </w:trPr>
        <w:tc>
          <w:tcPr>
            <w:tcW w:w="3680" w:type="dxa"/>
            <w:vAlign w:val="bottom"/>
            <w:tcBorders>
              <w:bottom w:val="single" w:sz="8" w:color="auto"/>
            </w:tcBorders>
          </w:tcPr>
          <w:p>
            <w:pPr>
              <w:ind w:left="160"/>
              <w:spacing w:after="0"/>
              <w:rPr>
                <w:sz w:val="20"/>
                <w:szCs w:val="20"/>
                <w:color w:val="auto"/>
              </w:rPr>
            </w:pPr>
            <w:r>
              <w:rPr>
                <w:rFonts w:ascii="Arial" w:cs="Arial" w:eastAsia="Arial" w:hAnsi="Arial"/>
                <w:sz w:val="11"/>
                <w:szCs w:val="11"/>
                <w:b w:val="1"/>
                <w:bCs w:val="1"/>
                <w:color w:val="auto"/>
              </w:rPr>
              <w:t>Property/Submarket</w:t>
            </w:r>
          </w:p>
        </w:tc>
        <w:tc>
          <w:tcPr>
            <w:tcW w:w="4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Interest</w:t>
            </w:r>
          </w:p>
        </w:tc>
        <w:tc>
          <w:tcPr>
            <w:tcW w:w="60" w:type="dxa"/>
            <w:vAlign w:val="bottom"/>
            <w:tcBorders>
              <w:bottom w:val="single" w:sz="8" w:color="CCEEFF"/>
            </w:tcBorders>
          </w:tcPr>
          <w:p>
            <w:pPr>
              <w:spacing w:after="0"/>
              <w:rPr>
                <w:sz w:val="12"/>
                <w:szCs w:val="12"/>
                <w:color w:val="auto"/>
              </w:rPr>
            </w:pPr>
          </w:p>
        </w:tc>
        <w:tc>
          <w:tcPr>
            <w:tcW w:w="720" w:type="dxa"/>
            <w:vAlign w:val="bottom"/>
            <w:tcBorders>
              <w:bottom w:val="single" w:sz="8" w:color="auto"/>
            </w:tcBorders>
            <w:gridSpan w:val="2"/>
            <w:vMerge w:val="continue"/>
          </w:tcPr>
          <w:p>
            <w:pPr>
              <w:spacing w:after="0"/>
              <w:rPr>
                <w:sz w:val="12"/>
                <w:szCs w:val="12"/>
                <w:color w:val="auto"/>
              </w:rPr>
            </w:pPr>
          </w:p>
        </w:tc>
        <w:tc>
          <w:tcPr>
            <w:tcW w:w="200" w:type="dxa"/>
            <w:vAlign w:val="bottom"/>
            <w:tcBorders>
              <w:bottom w:val="single" w:sz="8" w:color="CCEEFF"/>
            </w:tcBorders>
            <w:vMerge w:val="continue"/>
          </w:tcPr>
          <w:p>
            <w:pPr>
              <w:spacing w:after="0"/>
              <w:rPr>
                <w:sz w:val="12"/>
                <w:szCs w:val="12"/>
                <w:color w:val="auto"/>
              </w:rPr>
            </w:pPr>
          </w:p>
        </w:tc>
        <w:tc>
          <w:tcPr>
            <w:tcW w:w="94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b w:val="1"/>
                <w:bCs w:val="1"/>
                <w:color w:val="auto"/>
              </w:rPr>
              <w:t>Construction</w:t>
            </w:r>
          </w:p>
        </w:tc>
        <w:tc>
          <w:tcPr>
            <w:tcW w:w="12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tcPr>
          <w:p>
            <w:pPr>
              <w:jc w:val="right"/>
              <w:ind w:right="143"/>
              <w:spacing w:after="0"/>
              <w:rPr>
                <w:sz w:val="20"/>
                <w:szCs w:val="20"/>
                <w:color w:val="auto"/>
              </w:rPr>
            </w:pPr>
            <w:r>
              <w:rPr>
                <w:rFonts w:ascii="Arial" w:cs="Arial" w:eastAsia="Arial" w:hAnsi="Arial"/>
                <w:sz w:val="11"/>
                <w:szCs w:val="11"/>
                <w:b w:val="1"/>
                <w:bCs w:val="1"/>
                <w:color w:val="auto"/>
              </w:rPr>
              <w:t>Near Term</w:t>
            </w:r>
          </w:p>
        </w:tc>
        <w:tc>
          <w:tcPr>
            <w:tcW w:w="160" w:type="dxa"/>
            <w:vAlign w:val="bottom"/>
            <w:tcBorders>
              <w:bottom w:val="single" w:sz="8" w:color="CCEEFF"/>
            </w:tcBorders>
          </w:tcPr>
          <w:p>
            <w:pPr>
              <w:spacing w:after="0"/>
              <w:rPr>
                <w:sz w:val="12"/>
                <w:szCs w:val="12"/>
                <w:color w:val="auto"/>
              </w:rPr>
            </w:pPr>
          </w:p>
        </w:tc>
        <w:tc>
          <w:tcPr>
            <w:tcW w:w="960" w:type="dxa"/>
            <w:vAlign w:val="bottom"/>
            <w:tcBorders>
              <w:bottom w:val="single" w:sz="8" w:color="auto"/>
            </w:tcBorders>
          </w:tcPr>
          <w:p>
            <w:pPr>
              <w:ind w:left="180"/>
              <w:spacing w:after="0"/>
              <w:rPr>
                <w:sz w:val="20"/>
                <w:szCs w:val="20"/>
                <w:color w:val="auto"/>
              </w:rPr>
            </w:pPr>
            <w:r>
              <w:rPr>
                <w:rFonts w:ascii="Arial" w:cs="Arial" w:eastAsia="Arial" w:hAnsi="Arial"/>
                <w:sz w:val="11"/>
                <w:szCs w:val="11"/>
                <w:b w:val="1"/>
                <w:bCs w:val="1"/>
                <w:color w:val="auto"/>
              </w:rPr>
              <w:t>Anticipated</w:t>
            </w:r>
          </w:p>
        </w:tc>
        <w:tc>
          <w:tcPr>
            <w:tcW w:w="18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vMerge w:val="continue"/>
          </w:tcPr>
          <w:p>
            <w:pPr>
              <w:spacing w:after="0"/>
              <w:rPr>
                <w:sz w:val="12"/>
                <w:szCs w:val="12"/>
                <w:color w:val="auto"/>
              </w:rPr>
            </w:pPr>
          </w:p>
        </w:tc>
        <w:tc>
          <w:tcPr>
            <w:tcW w:w="180" w:type="dxa"/>
            <w:vAlign w:val="bottom"/>
            <w:tcBorders>
              <w:bottom w:val="single" w:sz="8" w:color="CCEEFF"/>
            </w:tcBorders>
            <w:vMerge w:val="continue"/>
          </w:tcPr>
          <w:p>
            <w:pPr>
              <w:spacing w:after="0"/>
              <w:rPr>
                <w:sz w:val="12"/>
                <w:szCs w:val="12"/>
                <w:color w:val="auto"/>
              </w:rPr>
            </w:pPr>
          </w:p>
        </w:tc>
        <w:tc>
          <w:tcPr>
            <w:tcW w:w="9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3720" w:type="dxa"/>
            <w:vAlign w:val="bottom"/>
            <w:gridSpan w:val="2"/>
            <w:shd w:val="clear" w:color="auto" w:fill="CCEEFF"/>
          </w:tcPr>
          <w:p>
            <w:pPr>
              <w:ind w:left="40"/>
              <w:spacing w:after="0"/>
              <w:rPr>
                <w:sz w:val="20"/>
                <w:szCs w:val="20"/>
                <w:color w:val="auto"/>
              </w:rPr>
            </w:pPr>
            <w:r>
              <w:rPr>
                <w:rFonts w:ascii="Arial" w:cs="Arial" w:eastAsia="Arial" w:hAnsi="Arial"/>
                <w:sz w:val="11"/>
                <w:szCs w:val="11"/>
                <w:color w:val="auto"/>
              </w:rPr>
              <w:t>San Diego</w:t>
            </w: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3720" w:type="dxa"/>
            <w:vAlign w:val="bottom"/>
            <w:gridSpan w:val="2"/>
          </w:tcPr>
          <w:p>
            <w:pPr>
              <w:ind w:left="160"/>
              <w:spacing w:after="0"/>
              <w:rPr>
                <w:sz w:val="20"/>
                <w:szCs w:val="20"/>
                <w:color w:val="auto"/>
              </w:rPr>
            </w:pPr>
            <w:r>
              <w:rPr>
                <w:rFonts w:ascii="Arial" w:cs="Arial" w:eastAsia="Arial" w:hAnsi="Arial"/>
                <w:sz w:val="11"/>
                <w:szCs w:val="11"/>
                <w:b w:val="1"/>
                <w:bCs w:val="1"/>
                <w:color w:val="auto"/>
              </w:rPr>
              <w:t>Mega Campus: One Alexandria Square/Torrey Pines</w:t>
            </w:r>
          </w:p>
        </w:tc>
        <w:tc>
          <w:tcPr>
            <w:tcW w:w="680" w:type="dxa"/>
            <w:vAlign w:val="bottom"/>
          </w:tcPr>
          <w:p>
            <w:pPr>
              <w:jc w:val="right"/>
              <w:ind w:right="163"/>
              <w:spacing w:after="0"/>
              <w:rPr>
                <w:sz w:val="20"/>
                <w:szCs w:val="20"/>
                <w:color w:val="auto"/>
              </w:rPr>
            </w:pPr>
            <w:r>
              <w:rPr>
                <w:rFonts w:ascii="Arial" w:cs="Arial" w:eastAsia="Arial" w:hAnsi="Arial"/>
                <w:sz w:val="11"/>
                <w:szCs w:val="11"/>
                <w:color w:val="auto"/>
              </w:rPr>
              <w:t>100%</w:t>
            </w:r>
          </w:p>
        </w:tc>
        <w:tc>
          <w:tcPr>
            <w:tcW w:w="60" w:type="dxa"/>
            <w:vAlign w:val="bottom"/>
          </w:tcPr>
          <w:p>
            <w:pPr>
              <w:spacing w:after="0"/>
              <w:rPr>
                <w:sz w:val="14"/>
                <w:szCs w:val="14"/>
                <w:color w:val="auto"/>
              </w:rPr>
            </w:pPr>
          </w:p>
        </w:tc>
        <w:tc>
          <w:tcPr>
            <w:tcW w:w="140" w:type="dxa"/>
            <w:vAlign w:val="bottom"/>
          </w:tcPr>
          <w:p>
            <w:pPr>
              <w:ind w:left="40"/>
              <w:spacing w:after="0"/>
              <w:rPr>
                <w:sz w:val="20"/>
                <w:szCs w:val="20"/>
                <w:color w:val="auto"/>
              </w:rPr>
            </w:pPr>
            <w:r>
              <w:rPr>
                <w:rFonts w:ascii="Arial" w:cs="Arial" w:eastAsia="Arial" w:hAnsi="Arial"/>
                <w:sz w:val="11"/>
                <w:szCs w:val="11"/>
                <w:color w:val="auto"/>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339,673</w:t>
            </w:r>
          </w:p>
        </w:tc>
        <w:tc>
          <w:tcPr>
            <w:tcW w:w="200" w:type="dxa"/>
            <w:vAlign w:val="bottom"/>
          </w:tcPr>
          <w:p>
            <w:pPr>
              <w:spacing w:after="0"/>
              <w:rPr>
                <w:sz w:val="14"/>
                <w:szCs w:val="14"/>
                <w:color w:val="auto"/>
              </w:rPr>
            </w:pPr>
          </w:p>
        </w:tc>
        <w:tc>
          <w:tcPr>
            <w:tcW w:w="940" w:type="dxa"/>
            <w:vAlign w:val="bottom"/>
          </w:tcPr>
          <w:p>
            <w:pPr>
              <w:jc w:val="right"/>
              <w:ind w:right="3"/>
              <w:spacing w:after="0"/>
              <w:rPr>
                <w:sz w:val="20"/>
                <w:szCs w:val="20"/>
                <w:color w:val="auto"/>
              </w:rPr>
            </w:pPr>
            <w:r>
              <w:rPr>
                <w:rFonts w:ascii="Arial" w:cs="Arial" w:eastAsia="Arial" w:hAnsi="Arial"/>
                <w:sz w:val="11"/>
                <w:szCs w:val="11"/>
                <w:color w:val="auto"/>
              </w:rPr>
              <w:t>334,996</w:t>
            </w:r>
          </w:p>
        </w:tc>
        <w:tc>
          <w:tcPr>
            <w:tcW w:w="12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940" w:type="dxa"/>
            <w:vAlign w:val="bottom"/>
          </w:tcPr>
          <w:p>
            <w:pPr>
              <w:jc w:val="right"/>
              <w:spacing w:after="0"/>
              <w:rPr>
                <w:sz w:val="20"/>
                <w:szCs w:val="20"/>
                <w:color w:val="auto"/>
              </w:rPr>
            </w:pPr>
            <w:r>
              <w:rPr>
                <w:rFonts w:ascii="Arial" w:cs="Arial" w:eastAsia="Arial" w:hAnsi="Arial"/>
                <w:sz w:val="11"/>
                <w:szCs w:val="11"/>
                <w:color w:val="auto"/>
              </w:rPr>
              <w:t>125,280</w:t>
            </w:r>
          </w:p>
        </w:tc>
        <w:tc>
          <w:tcPr>
            <w:tcW w:w="180" w:type="dxa"/>
            <w:vAlign w:val="bottom"/>
          </w:tcPr>
          <w:p>
            <w:pPr>
              <w:spacing w:after="0"/>
              <w:rPr>
                <w:sz w:val="14"/>
                <w:szCs w:val="14"/>
                <w:color w:val="auto"/>
              </w:rPr>
            </w:pPr>
          </w:p>
        </w:tc>
        <w:tc>
          <w:tcPr>
            <w:tcW w:w="940" w:type="dxa"/>
            <w:vAlign w:val="bottom"/>
          </w:tcPr>
          <w:p>
            <w:pPr>
              <w:jc w:val="right"/>
              <w:ind w:right="3"/>
              <w:spacing w:after="0"/>
              <w:rPr>
                <w:sz w:val="20"/>
                <w:szCs w:val="20"/>
                <w:color w:val="auto"/>
              </w:rPr>
            </w:pPr>
            <w:r>
              <w:rPr>
                <w:rFonts w:ascii="Arial" w:cs="Arial" w:eastAsia="Arial" w:hAnsi="Arial"/>
                <w:sz w:val="11"/>
                <w:szCs w:val="11"/>
                <w:color w:val="auto"/>
              </w:rPr>
              <w:t>460,276</w:t>
            </w:r>
          </w:p>
        </w:tc>
        <w:tc>
          <w:tcPr>
            <w:tcW w:w="0" w:type="dxa"/>
            <w:vAlign w:val="bottom"/>
          </w:tcPr>
          <w:p>
            <w:pPr>
              <w:spacing w:after="0"/>
              <w:rPr>
                <w:sz w:val="1"/>
                <w:szCs w:val="1"/>
                <w:color w:val="auto"/>
              </w:rPr>
            </w:pPr>
          </w:p>
        </w:tc>
      </w:tr>
      <w:tr>
        <w:trPr>
          <w:trHeight w:val="155"/>
        </w:trPr>
        <w:tc>
          <w:tcPr>
            <w:tcW w:w="3720" w:type="dxa"/>
            <w:vAlign w:val="bottom"/>
            <w:gridSpan w:val="2"/>
            <w:shd w:val="clear" w:color="auto" w:fill="CCEEFF"/>
          </w:tcPr>
          <w:p>
            <w:pPr>
              <w:ind w:left="220"/>
              <w:spacing w:after="0"/>
              <w:rPr>
                <w:sz w:val="20"/>
                <w:szCs w:val="20"/>
                <w:color w:val="auto"/>
              </w:rPr>
            </w:pPr>
            <w:r>
              <w:rPr>
                <w:rFonts w:ascii="Arial" w:cs="Arial" w:eastAsia="Arial" w:hAnsi="Arial"/>
                <w:sz w:val="11"/>
                <w:szCs w:val="11"/>
                <w:i w:val="1"/>
                <w:iCs w:val="1"/>
                <w:color w:val="auto"/>
              </w:rPr>
              <w:t>10935, 10945, and 10955 Alexandria Way and 10975 and 10995</w:t>
            </w: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3720" w:type="dxa"/>
            <w:vAlign w:val="bottom"/>
            <w:gridSpan w:val="2"/>
            <w:shd w:val="clear" w:color="auto" w:fill="CCEEFF"/>
          </w:tcPr>
          <w:p>
            <w:pPr>
              <w:ind w:left="360"/>
              <w:spacing w:after="0"/>
              <w:rPr>
                <w:sz w:val="20"/>
                <w:szCs w:val="20"/>
                <w:color w:val="auto"/>
              </w:rPr>
            </w:pPr>
            <w:r>
              <w:rPr>
                <w:rFonts w:ascii="Arial" w:cs="Arial" w:eastAsia="Arial" w:hAnsi="Arial"/>
                <w:sz w:val="11"/>
                <w:szCs w:val="11"/>
                <w:i w:val="1"/>
                <w:iCs w:val="1"/>
                <w:color w:val="auto"/>
              </w:rPr>
              <w:t>Torreyana Road</w:t>
            </w: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720" w:type="dxa"/>
            <w:vAlign w:val="bottom"/>
            <w:gridSpan w:val="2"/>
          </w:tcPr>
          <w:p>
            <w:pPr>
              <w:ind w:left="160"/>
              <w:spacing w:after="0"/>
              <w:rPr>
                <w:sz w:val="20"/>
                <w:szCs w:val="20"/>
                <w:color w:val="auto"/>
              </w:rPr>
            </w:pPr>
            <w:r>
              <w:rPr>
                <w:rFonts w:ascii="Arial" w:cs="Arial" w:eastAsia="Arial" w:hAnsi="Arial"/>
                <w:sz w:val="11"/>
                <w:szCs w:val="11"/>
                <w:b w:val="1"/>
                <w:bCs w:val="1"/>
                <w:color w:val="auto"/>
              </w:rPr>
              <w:t>Mega Campus: Campus Point by Alexandria/University Town</w:t>
            </w:r>
          </w:p>
        </w:tc>
        <w:tc>
          <w:tcPr>
            <w:tcW w:w="680" w:type="dxa"/>
            <w:vAlign w:val="bottom"/>
            <w:vMerge w:val="restart"/>
          </w:tcPr>
          <w:p>
            <w:pPr>
              <w:jc w:val="right"/>
              <w:ind w:right="163"/>
              <w:spacing w:after="0"/>
              <w:rPr>
                <w:sz w:val="20"/>
                <w:szCs w:val="20"/>
                <w:color w:val="auto"/>
              </w:rPr>
            </w:pPr>
            <w:r>
              <w:rPr>
                <w:rFonts w:ascii="Arial" w:cs="Arial" w:eastAsia="Arial" w:hAnsi="Arial"/>
                <w:sz w:val="11"/>
                <w:szCs w:val="11"/>
                <w:color w:val="auto"/>
              </w:rPr>
              <w:t>55.0%</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vMerge w:val="restart"/>
          </w:tcPr>
          <w:p>
            <w:pPr>
              <w:jc w:val="right"/>
              <w:spacing w:after="0"/>
              <w:rPr>
                <w:sz w:val="20"/>
                <w:szCs w:val="20"/>
                <w:color w:val="auto"/>
              </w:rPr>
            </w:pPr>
            <w:r>
              <w:rPr>
                <w:rFonts w:ascii="Arial" w:cs="Arial" w:eastAsia="Arial" w:hAnsi="Arial"/>
                <w:sz w:val="11"/>
                <w:szCs w:val="11"/>
                <w:color w:val="auto"/>
              </w:rPr>
              <w:t>584,337</w:t>
            </w:r>
          </w:p>
        </w:tc>
        <w:tc>
          <w:tcPr>
            <w:tcW w:w="200" w:type="dxa"/>
            <w:vAlign w:val="bottom"/>
          </w:tcPr>
          <w:p>
            <w:pPr>
              <w:spacing w:after="0"/>
              <w:rPr>
                <w:sz w:val="13"/>
                <w:szCs w:val="13"/>
                <w:color w:val="auto"/>
              </w:rPr>
            </w:pPr>
          </w:p>
        </w:tc>
        <w:tc>
          <w:tcPr>
            <w:tcW w:w="940" w:type="dxa"/>
            <w:vAlign w:val="bottom"/>
            <w:vMerge w:val="restart"/>
          </w:tcPr>
          <w:p>
            <w:pPr>
              <w:jc w:val="right"/>
              <w:ind w:right="3"/>
              <w:spacing w:after="0"/>
              <w:rPr>
                <w:sz w:val="20"/>
                <w:szCs w:val="20"/>
                <w:color w:val="auto"/>
              </w:rPr>
            </w:pPr>
            <w:r>
              <w:rPr>
                <w:rFonts w:ascii="Arial" w:cs="Arial" w:eastAsia="Arial" w:hAnsi="Arial"/>
                <w:sz w:val="11"/>
                <w:szCs w:val="11"/>
                <w:color w:val="auto"/>
              </w:rPr>
              <w:t>598,029</w:t>
            </w:r>
          </w:p>
        </w:tc>
        <w:tc>
          <w:tcPr>
            <w:tcW w:w="120" w:type="dxa"/>
            <w:vAlign w:val="bottom"/>
          </w:tcPr>
          <w:p>
            <w:pPr>
              <w:spacing w:after="0"/>
              <w:rPr>
                <w:sz w:val="13"/>
                <w:szCs w:val="13"/>
                <w:color w:val="auto"/>
              </w:rPr>
            </w:pPr>
          </w:p>
        </w:tc>
        <w:tc>
          <w:tcPr>
            <w:tcW w:w="940" w:type="dxa"/>
            <w:vAlign w:val="bottom"/>
            <w:vMerge w:val="restart"/>
          </w:tcPr>
          <w:p>
            <w:pPr>
              <w:jc w:val="right"/>
              <w:ind w:right="3"/>
              <w:spacing w:after="0"/>
              <w:rPr>
                <w:sz w:val="20"/>
                <w:szCs w:val="20"/>
                <w:color w:val="auto"/>
              </w:rPr>
            </w:pPr>
            <w:r>
              <w:rPr>
                <w:rFonts w:ascii="Arial" w:cs="Arial" w:eastAsia="Arial" w:hAnsi="Arial"/>
                <w:sz w:val="11"/>
                <w:szCs w:val="11"/>
                <w:color w:val="auto"/>
              </w:rPr>
              <w:t>492,570</w:t>
            </w:r>
          </w:p>
        </w:tc>
        <w:tc>
          <w:tcPr>
            <w:tcW w:w="160" w:type="dxa"/>
            <w:vAlign w:val="bottom"/>
          </w:tcPr>
          <w:p>
            <w:pPr>
              <w:spacing w:after="0"/>
              <w:rPr>
                <w:sz w:val="13"/>
                <w:szCs w:val="13"/>
                <w:color w:val="auto"/>
              </w:rPr>
            </w:pPr>
          </w:p>
        </w:tc>
        <w:tc>
          <w:tcPr>
            <w:tcW w:w="1140" w:type="dxa"/>
            <w:vAlign w:val="bottom"/>
            <w:gridSpan w:val="2"/>
            <w:vMerge w:val="restart"/>
          </w:tcPr>
          <w:p>
            <w:pPr>
              <w:jc w:val="right"/>
              <w:ind w:right="220"/>
              <w:spacing w:after="0"/>
              <w:rPr>
                <w:sz w:val="20"/>
                <w:szCs w:val="20"/>
                <w:color w:val="auto"/>
              </w:rPr>
            </w:pPr>
            <w:r>
              <w:rPr>
                <w:rFonts w:ascii="Arial" w:cs="Arial" w:eastAsia="Arial" w:hAnsi="Arial"/>
                <w:sz w:val="11"/>
                <w:szCs w:val="11"/>
                <w:color w:val="auto"/>
              </w:rPr>
              <w:t>—</w:t>
            </w:r>
          </w:p>
        </w:tc>
        <w:tc>
          <w:tcPr>
            <w:tcW w:w="940" w:type="dxa"/>
            <w:vAlign w:val="bottom"/>
            <w:vMerge w:val="restart"/>
          </w:tcPr>
          <w:p>
            <w:pPr>
              <w:jc w:val="right"/>
              <w:spacing w:after="0"/>
              <w:rPr>
                <w:sz w:val="20"/>
                <w:szCs w:val="20"/>
                <w:color w:val="auto"/>
              </w:rPr>
            </w:pPr>
            <w:r>
              <w:rPr>
                <w:rFonts w:ascii="Arial" w:cs="Arial" w:eastAsia="Arial" w:hAnsi="Arial"/>
                <w:sz w:val="11"/>
                <w:szCs w:val="11"/>
                <w:color w:val="auto"/>
              </w:rPr>
              <w:t>650,000</w:t>
            </w:r>
          </w:p>
        </w:tc>
        <w:tc>
          <w:tcPr>
            <w:tcW w:w="180" w:type="dxa"/>
            <w:vAlign w:val="bottom"/>
          </w:tcPr>
          <w:p>
            <w:pPr>
              <w:spacing w:after="0"/>
              <w:rPr>
                <w:sz w:val="13"/>
                <w:szCs w:val="13"/>
                <w:color w:val="auto"/>
              </w:rPr>
            </w:pPr>
          </w:p>
        </w:tc>
        <w:tc>
          <w:tcPr>
            <w:tcW w:w="940" w:type="dxa"/>
            <w:vAlign w:val="bottom"/>
            <w:vMerge w:val="restart"/>
          </w:tcPr>
          <w:p>
            <w:pPr>
              <w:jc w:val="right"/>
              <w:ind w:right="3"/>
              <w:spacing w:after="0"/>
              <w:rPr>
                <w:sz w:val="20"/>
                <w:szCs w:val="20"/>
                <w:color w:val="auto"/>
              </w:rPr>
            </w:pPr>
            <w:r>
              <w:rPr>
                <w:rFonts w:ascii="Arial" w:cs="Arial" w:eastAsia="Arial" w:hAnsi="Arial"/>
                <w:sz w:val="11"/>
                <w:szCs w:val="11"/>
                <w:color w:val="auto"/>
              </w:rPr>
              <w:t>1,740,599</w:t>
            </w:r>
          </w:p>
        </w:tc>
        <w:tc>
          <w:tcPr>
            <w:tcW w:w="0" w:type="dxa"/>
            <w:vAlign w:val="bottom"/>
          </w:tcPr>
          <w:p>
            <w:pPr>
              <w:spacing w:after="0"/>
              <w:rPr>
                <w:sz w:val="1"/>
                <w:szCs w:val="1"/>
                <w:color w:val="auto"/>
              </w:rPr>
            </w:pPr>
          </w:p>
        </w:tc>
      </w:tr>
      <w:tr>
        <w:trPr>
          <w:trHeight w:val="148"/>
        </w:trPr>
        <w:tc>
          <w:tcPr>
            <w:tcW w:w="3720" w:type="dxa"/>
            <w:vAlign w:val="bottom"/>
            <w:gridSpan w:val="2"/>
          </w:tcPr>
          <w:p>
            <w:pPr>
              <w:ind w:left="300"/>
              <w:spacing w:after="0"/>
              <w:rPr>
                <w:sz w:val="20"/>
                <w:szCs w:val="20"/>
                <w:color w:val="auto"/>
              </w:rPr>
            </w:pPr>
            <w:r>
              <w:rPr>
                <w:rFonts w:ascii="Arial" w:cs="Arial" w:eastAsia="Arial" w:hAnsi="Arial"/>
                <w:sz w:val="11"/>
                <w:szCs w:val="11"/>
                <w:b w:val="1"/>
                <w:bCs w:val="1"/>
                <w:color w:val="auto"/>
              </w:rPr>
              <w:t>Center</w:t>
            </w:r>
          </w:p>
        </w:tc>
        <w:tc>
          <w:tcPr>
            <w:tcW w:w="6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3720" w:type="dxa"/>
            <w:vAlign w:val="bottom"/>
            <w:gridSpan w:val="2"/>
            <w:shd w:val="clear" w:color="auto" w:fill="CCEEFF"/>
          </w:tcPr>
          <w:p>
            <w:pPr>
              <w:ind w:left="220"/>
              <w:spacing w:after="0" w:line="151" w:lineRule="exact"/>
              <w:rPr>
                <w:sz w:val="20"/>
                <w:szCs w:val="20"/>
                <w:color w:val="auto"/>
              </w:rPr>
            </w:pPr>
            <w:r>
              <w:rPr>
                <w:rFonts w:ascii="Arial" w:cs="Arial" w:eastAsia="Arial" w:hAnsi="Arial"/>
                <w:sz w:val="11"/>
                <w:szCs w:val="11"/>
                <w:i w:val="1"/>
                <w:iCs w:val="1"/>
                <w:color w:val="auto"/>
              </w:rPr>
              <w:t>10010</w:t>
            </w:r>
            <w:r>
              <w:rPr>
                <w:rFonts w:ascii="Arial" w:cs="Arial" w:eastAsia="Arial" w:hAnsi="Arial"/>
                <w:sz w:val="14"/>
                <w:szCs w:val="14"/>
                <w:i w:val="1"/>
                <w:iCs w:val="1"/>
                <w:color w:val="auto"/>
                <w:vertAlign w:val="superscript"/>
              </w:rPr>
              <w:t>(2)</w:t>
            </w:r>
            <w:r>
              <w:rPr>
                <w:rFonts w:ascii="Arial" w:cs="Arial" w:eastAsia="Arial" w:hAnsi="Arial"/>
                <w:sz w:val="11"/>
                <w:szCs w:val="11"/>
                <w:i w:val="1"/>
                <w:iCs w:val="1"/>
                <w:color w:val="auto"/>
              </w:rPr>
              <w:t>, 10140</w:t>
            </w:r>
            <w:r>
              <w:rPr>
                <w:rFonts w:ascii="Arial" w:cs="Arial" w:eastAsia="Arial" w:hAnsi="Arial"/>
                <w:sz w:val="14"/>
                <w:szCs w:val="14"/>
                <w:i w:val="1"/>
                <w:iCs w:val="1"/>
                <w:color w:val="auto"/>
                <w:vertAlign w:val="superscript"/>
              </w:rPr>
              <w:t>(2)</w:t>
            </w:r>
            <w:r>
              <w:rPr>
                <w:rFonts w:ascii="Arial" w:cs="Arial" w:eastAsia="Arial" w:hAnsi="Arial"/>
                <w:sz w:val="11"/>
                <w:szCs w:val="11"/>
                <w:i w:val="1"/>
                <w:iCs w:val="1"/>
                <w:color w:val="auto"/>
              </w:rPr>
              <w:t>, and 10260 Campus Point Drive and 4135, 4155,</w:t>
            </w: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3720" w:type="dxa"/>
            <w:vAlign w:val="bottom"/>
            <w:gridSpan w:val="2"/>
            <w:shd w:val="clear" w:color="auto" w:fill="CCEEFF"/>
          </w:tcPr>
          <w:p>
            <w:pPr>
              <w:ind w:left="360"/>
              <w:spacing w:after="0" w:line="140" w:lineRule="exact"/>
              <w:rPr>
                <w:sz w:val="20"/>
                <w:szCs w:val="20"/>
                <w:color w:val="auto"/>
              </w:rPr>
            </w:pPr>
            <w:r>
              <w:rPr>
                <w:rFonts w:ascii="Arial" w:cs="Arial" w:eastAsia="Arial" w:hAnsi="Arial"/>
                <w:sz w:val="11"/>
                <w:szCs w:val="11"/>
                <w:i w:val="1"/>
                <w:iCs w:val="1"/>
                <w:color w:val="auto"/>
              </w:rPr>
              <w:t>4161, 4165, and 4275</w:t>
            </w:r>
            <w:r>
              <w:rPr>
                <w:rFonts w:ascii="Arial" w:cs="Arial" w:eastAsia="Arial" w:hAnsi="Arial"/>
                <w:sz w:val="14"/>
                <w:szCs w:val="14"/>
                <w:i w:val="1"/>
                <w:iCs w:val="1"/>
                <w:color w:val="auto"/>
                <w:vertAlign w:val="superscript"/>
              </w:rPr>
              <w:t>(2)</w:t>
            </w:r>
            <w:r>
              <w:rPr>
                <w:rFonts w:ascii="Arial" w:cs="Arial" w:eastAsia="Arial" w:hAnsi="Arial"/>
                <w:sz w:val="11"/>
                <w:szCs w:val="11"/>
                <w:i w:val="1"/>
                <w:iCs w:val="1"/>
                <w:color w:val="auto"/>
              </w:rPr>
              <w:t xml:space="preserve"> Campus Point Court</w:t>
            </w: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720" w:type="dxa"/>
            <w:vAlign w:val="bottom"/>
            <w:gridSpan w:val="2"/>
          </w:tcPr>
          <w:p>
            <w:pPr>
              <w:ind w:left="160"/>
              <w:spacing w:after="0"/>
              <w:rPr>
                <w:sz w:val="20"/>
                <w:szCs w:val="20"/>
                <w:color w:val="auto"/>
              </w:rPr>
            </w:pPr>
            <w:r>
              <w:rPr>
                <w:rFonts w:ascii="Arial" w:cs="Arial" w:eastAsia="Arial" w:hAnsi="Arial"/>
                <w:sz w:val="11"/>
                <w:szCs w:val="11"/>
                <w:b w:val="1"/>
                <w:bCs w:val="1"/>
                <w:color w:val="auto"/>
              </w:rPr>
              <w:t>Mega Campus: SD Tech by Alexandria/Sorrento Mesa</w:t>
            </w:r>
          </w:p>
        </w:tc>
        <w:tc>
          <w:tcPr>
            <w:tcW w:w="680" w:type="dxa"/>
            <w:vAlign w:val="bottom"/>
          </w:tcPr>
          <w:p>
            <w:pPr>
              <w:jc w:val="right"/>
              <w:ind w:right="163"/>
              <w:spacing w:after="0"/>
              <w:rPr>
                <w:sz w:val="20"/>
                <w:szCs w:val="20"/>
                <w:color w:val="auto"/>
              </w:rPr>
            </w:pPr>
            <w:r>
              <w:rPr>
                <w:rFonts w:ascii="Arial" w:cs="Arial" w:eastAsia="Arial" w:hAnsi="Arial"/>
                <w:sz w:val="11"/>
                <w:szCs w:val="11"/>
                <w:color w:val="auto"/>
              </w:rPr>
              <w:t>50.0%</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283,420</w:t>
            </w:r>
          </w:p>
        </w:tc>
        <w:tc>
          <w:tcPr>
            <w:tcW w:w="200" w:type="dxa"/>
            <w:vAlign w:val="bottom"/>
          </w:tcPr>
          <w:p>
            <w:pPr>
              <w:spacing w:after="0"/>
              <w:rPr>
                <w:sz w:val="14"/>
                <w:szCs w:val="14"/>
                <w:color w:val="auto"/>
              </w:rPr>
            </w:pPr>
          </w:p>
        </w:tc>
        <w:tc>
          <w:tcPr>
            <w:tcW w:w="940" w:type="dxa"/>
            <w:vAlign w:val="bottom"/>
          </w:tcPr>
          <w:p>
            <w:pPr>
              <w:jc w:val="right"/>
              <w:ind w:right="3"/>
              <w:spacing w:after="0"/>
              <w:rPr>
                <w:sz w:val="20"/>
                <w:szCs w:val="20"/>
                <w:color w:val="auto"/>
              </w:rPr>
            </w:pPr>
            <w:r>
              <w:rPr>
                <w:rFonts w:ascii="Arial" w:cs="Arial" w:eastAsia="Arial" w:hAnsi="Arial"/>
                <w:sz w:val="11"/>
                <w:szCs w:val="11"/>
                <w:color w:val="auto"/>
              </w:rPr>
              <w:t>253,079</w:t>
            </w:r>
          </w:p>
        </w:tc>
        <w:tc>
          <w:tcPr>
            <w:tcW w:w="12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960" w:type="dxa"/>
            <w:vAlign w:val="bottom"/>
          </w:tcPr>
          <w:p>
            <w:pPr>
              <w:jc w:val="right"/>
              <w:spacing w:after="0"/>
              <w:rPr>
                <w:sz w:val="20"/>
                <w:szCs w:val="20"/>
                <w:color w:val="auto"/>
              </w:rPr>
            </w:pPr>
            <w:r>
              <w:rPr>
                <w:rFonts w:ascii="Arial" w:cs="Arial" w:eastAsia="Arial" w:hAnsi="Arial"/>
                <w:sz w:val="11"/>
                <w:szCs w:val="11"/>
                <w:color w:val="auto"/>
              </w:rPr>
              <w:t>250,000</w:t>
            </w: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243,845</w:t>
            </w:r>
          </w:p>
        </w:tc>
        <w:tc>
          <w:tcPr>
            <w:tcW w:w="180" w:type="dxa"/>
            <w:vAlign w:val="bottom"/>
          </w:tcPr>
          <w:p>
            <w:pPr>
              <w:spacing w:after="0"/>
              <w:rPr>
                <w:sz w:val="14"/>
                <w:szCs w:val="14"/>
                <w:color w:val="auto"/>
              </w:rPr>
            </w:pPr>
          </w:p>
        </w:tc>
        <w:tc>
          <w:tcPr>
            <w:tcW w:w="940" w:type="dxa"/>
            <w:vAlign w:val="bottom"/>
          </w:tcPr>
          <w:p>
            <w:pPr>
              <w:jc w:val="right"/>
              <w:ind w:right="3"/>
              <w:spacing w:after="0"/>
              <w:rPr>
                <w:sz w:val="20"/>
                <w:szCs w:val="20"/>
                <w:color w:val="auto"/>
              </w:rPr>
            </w:pPr>
            <w:r>
              <w:rPr>
                <w:rFonts w:ascii="Arial" w:cs="Arial" w:eastAsia="Arial" w:hAnsi="Arial"/>
                <w:sz w:val="11"/>
                <w:szCs w:val="11"/>
                <w:color w:val="auto"/>
              </w:rPr>
              <w:t>746,924</w:t>
            </w:r>
          </w:p>
        </w:tc>
        <w:tc>
          <w:tcPr>
            <w:tcW w:w="0" w:type="dxa"/>
            <w:vAlign w:val="bottom"/>
          </w:tcPr>
          <w:p>
            <w:pPr>
              <w:spacing w:after="0"/>
              <w:rPr>
                <w:sz w:val="1"/>
                <w:szCs w:val="1"/>
                <w:color w:val="auto"/>
              </w:rPr>
            </w:pPr>
          </w:p>
        </w:tc>
      </w:tr>
      <w:tr>
        <w:trPr>
          <w:trHeight w:val="183"/>
        </w:trPr>
        <w:tc>
          <w:tcPr>
            <w:tcW w:w="3720" w:type="dxa"/>
            <w:vAlign w:val="bottom"/>
            <w:gridSpan w:val="2"/>
            <w:shd w:val="clear" w:color="auto" w:fill="CCEEFF"/>
          </w:tcPr>
          <w:p>
            <w:pPr>
              <w:ind w:left="220"/>
              <w:spacing w:after="0"/>
              <w:rPr>
                <w:sz w:val="20"/>
                <w:szCs w:val="20"/>
                <w:color w:val="auto"/>
              </w:rPr>
            </w:pPr>
            <w:r>
              <w:rPr>
                <w:rFonts w:ascii="Arial" w:cs="Arial" w:eastAsia="Arial" w:hAnsi="Arial"/>
                <w:sz w:val="11"/>
                <w:szCs w:val="11"/>
                <w:i w:val="1"/>
                <w:iCs w:val="1"/>
                <w:color w:val="auto"/>
              </w:rPr>
              <w:t>9805 Scranton Road and 10065 and 10075 Barnes Canyon Road</w:t>
            </w: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3720" w:type="dxa"/>
            <w:vAlign w:val="bottom"/>
            <w:gridSpan w:val="2"/>
          </w:tcPr>
          <w:p>
            <w:pPr>
              <w:ind w:left="160"/>
              <w:spacing w:after="0"/>
              <w:rPr>
                <w:sz w:val="20"/>
                <w:szCs w:val="20"/>
                <w:color w:val="auto"/>
              </w:rPr>
            </w:pPr>
            <w:r>
              <w:rPr>
                <w:rFonts w:ascii="Arial" w:cs="Arial" w:eastAsia="Arial" w:hAnsi="Arial"/>
                <w:sz w:val="11"/>
                <w:szCs w:val="11"/>
                <w:color w:val="auto"/>
              </w:rPr>
              <w:t>11255 and 11355 North Torrey Pines Road/Torrey Pines</w:t>
            </w:r>
          </w:p>
        </w:tc>
        <w:tc>
          <w:tcPr>
            <w:tcW w:w="680" w:type="dxa"/>
            <w:vAlign w:val="bottom"/>
          </w:tcPr>
          <w:p>
            <w:pPr>
              <w:jc w:val="right"/>
              <w:ind w:right="163"/>
              <w:spacing w:after="0"/>
              <w:rPr>
                <w:sz w:val="20"/>
                <w:szCs w:val="20"/>
                <w:color w:val="auto"/>
              </w:rPr>
            </w:pPr>
            <w:r>
              <w:rPr>
                <w:rFonts w:ascii="Arial" w:cs="Arial" w:eastAsia="Arial" w:hAnsi="Arial"/>
                <w:sz w:val="11"/>
                <w:szCs w:val="11"/>
                <w:color w:val="auto"/>
              </w:rPr>
              <w:t>100%</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146,905</w:t>
            </w:r>
          </w:p>
        </w:tc>
        <w:tc>
          <w:tcPr>
            <w:tcW w:w="20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960" w:type="dxa"/>
            <w:vAlign w:val="bottom"/>
          </w:tcPr>
          <w:p>
            <w:pPr>
              <w:jc w:val="right"/>
              <w:spacing w:after="0"/>
              <w:rPr>
                <w:sz w:val="20"/>
                <w:szCs w:val="20"/>
                <w:color w:val="auto"/>
              </w:rPr>
            </w:pPr>
            <w:r>
              <w:rPr>
                <w:rFonts w:ascii="Arial" w:cs="Arial" w:eastAsia="Arial" w:hAnsi="Arial"/>
                <w:sz w:val="11"/>
                <w:szCs w:val="11"/>
                <w:color w:val="auto"/>
              </w:rPr>
              <w:t>153,000</w:t>
            </w: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62,000</w:t>
            </w:r>
          </w:p>
        </w:tc>
        <w:tc>
          <w:tcPr>
            <w:tcW w:w="180" w:type="dxa"/>
            <w:vAlign w:val="bottom"/>
          </w:tcPr>
          <w:p>
            <w:pPr>
              <w:spacing w:after="0"/>
              <w:rPr>
                <w:sz w:val="14"/>
                <w:szCs w:val="14"/>
                <w:color w:val="auto"/>
              </w:rPr>
            </w:pPr>
          </w:p>
        </w:tc>
        <w:tc>
          <w:tcPr>
            <w:tcW w:w="940" w:type="dxa"/>
            <w:vAlign w:val="bottom"/>
          </w:tcPr>
          <w:p>
            <w:pPr>
              <w:jc w:val="right"/>
              <w:ind w:right="3"/>
              <w:spacing w:after="0"/>
              <w:rPr>
                <w:sz w:val="20"/>
                <w:szCs w:val="20"/>
                <w:color w:val="auto"/>
              </w:rPr>
            </w:pPr>
            <w:r>
              <w:rPr>
                <w:rFonts w:ascii="Arial" w:cs="Arial" w:eastAsia="Arial" w:hAnsi="Arial"/>
                <w:sz w:val="11"/>
                <w:szCs w:val="11"/>
                <w:color w:val="auto"/>
              </w:rPr>
              <w:t>215,000</w:t>
            </w:r>
          </w:p>
        </w:tc>
        <w:tc>
          <w:tcPr>
            <w:tcW w:w="0" w:type="dxa"/>
            <w:vAlign w:val="bottom"/>
          </w:tcPr>
          <w:p>
            <w:pPr>
              <w:spacing w:after="0"/>
              <w:rPr>
                <w:sz w:val="1"/>
                <w:szCs w:val="1"/>
                <w:color w:val="auto"/>
              </w:rPr>
            </w:pPr>
          </w:p>
        </w:tc>
      </w:tr>
      <w:tr>
        <w:trPr>
          <w:trHeight w:val="172"/>
        </w:trPr>
        <w:tc>
          <w:tcPr>
            <w:tcW w:w="3720" w:type="dxa"/>
            <w:vAlign w:val="bottom"/>
            <w:gridSpan w:val="2"/>
            <w:shd w:val="clear" w:color="auto" w:fill="CCEEFF"/>
          </w:tcPr>
          <w:p>
            <w:pPr>
              <w:ind w:left="160"/>
              <w:spacing w:after="0"/>
              <w:rPr>
                <w:sz w:val="20"/>
                <w:szCs w:val="20"/>
                <w:color w:val="auto"/>
              </w:rPr>
            </w:pPr>
            <w:r>
              <w:rPr>
                <w:rFonts w:ascii="Arial" w:cs="Arial" w:eastAsia="Arial" w:hAnsi="Arial"/>
                <w:sz w:val="11"/>
                <w:szCs w:val="11"/>
                <w:color w:val="auto"/>
              </w:rPr>
              <w:t>ARE Towne Centre/University Town Center</w:t>
            </w:r>
          </w:p>
        </w:tc>
        <w:tc>
          <w:tcPr>
            <w:tcW w:w="680" w:type="dxa"/>
            <w:vAlign w:val="bottom"/>
            <w:shd w:val="clear" w:color="auto" w:fill="CCEEFF"/>
          </w:tcPr>
          <w:p>
            <w:pPr>
              <w:jc w:val="right"/>
              <w:ind w:right="163"/>
              <w:spacing w:after="0"/>
              <w:rPr>
                <w:sz w:val="20"/>
                <w:szCs w:val="20"/>
                <w:color w:val="auto"/>
              </w:rPr>
            </w:pPr>
            <w:r>
              <w:rPr>
                <w:rFonts w:ascii="Arial" w:cs="Arial" w:eastAsia="Arial" w:hAnsi="Arial"/>
                <w:sz w:val="11"/>
                <w:szCs w:val="11"/>
                <w:color w:val="auto"/>
              </w:rPr>
              <w:t>100%</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19,163</w:t>
            </w:r>
          </w:p>
        </w:tc>
        <w:tc>
          <w:tcPr>
            <w:tcW w:w="2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230,000</w:t>
            </w:r>
          </w:p>
        </w:tc>
        <w:tc>
          <w:tcPr>
            <w:tcW w:w="1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9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230,000</w:t>
            </w:r>
          </w:p>
        </w:tc>
        <w:tc>
          <w:tcPr>
            <w:tcW w:w="0" w:type="dxa"/>
            <w:vAlign w:val="bottom"/>
          </w:tcPr>
          <w:p>
            <w:pPr>
              <w:spacing w:after="0"/>
              <w:rPr>
                <w:sz w:val="1"/>
                <w:szCs w:val="1"/>
                <w:color w:val="auto"/>
              </w:rPr>
            </w:pPr>
          </w:p>
        </w:tc>
      </w:tr>
      <w:tr>
        <w:trPr>
          <w:trHeight w:val="183"/>
        </w:trPr>
        <w:tc>
          <w:tcPr>
            <w:tcW w:w="3720" w:type="dxa"/>
            <w:vAlign w:val="bottom"/>
            <w:gridSpan w:val="2"/>
          </w:tcPr>
          <w:p>
            <w:pPr>
              <w:ind w:left="220"/>
              <w:spacing w:after="0"/>
              <w:rPr>
                <w:sz w:val="20"/>
                <w:szCs w:val="20"/>
                <w:color w:val="auto"/>
              </w:rPr>
            </w:pPr>
            <w:r>
              <w:rPr>
                <w:rFonts w:ascii="Arial" w:cs="Arial" w:eastAsia="Arial" w:hAnsi="Arial"/>
                <w:sz w:val="11"/>
                <w:szCs w:val="11"/>
                <w:i w:val="1"/>
                <w:iCs w:val="1"/>
                <w:color w:val="auto"/>
              </w:rPr>
              <w:t>9363, 9373, and 9393 Towne Centre Drive</w:t>
            </w: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3720" w:type="dxa"/>
            <w:vAlign w:val="bottom"/>
            <w:gridSpan w:val="2"/>
            <w:shd w:val="clear" w:color="auto" w:fill="CCEEFF"/>
          </w:tcPr>
          <w:p>
            <w:pPr>
              <w:ind w:left="160"/>
              <w:spacing w:after="0"/>
              <w:rPr>
                <w:sz w:val="20"/>
                <w:szCs w:val="20"/>
                <w:color w:val="auto"/>
              </w:rPr>
            </w:pPr>
            <w:r>
              <w:rPr>
                <w:rFonts w:ascii="Arial" w:cs="Arial" w:eastAsia="Arial" w:hAnsi="Arial"/>
                <w:sz w:val="11"/>
                <w:szCs w:val="11"/>
                <w:color w:val="auto"/>
              </w:rPr>
              <w:t>Costa Verde by Alexandria/University Town Center</w:t>
            </w:r>
          </w:p>
        </w:tc>
        <w:tc>
          <w:tcPr>
            <w:tcW w:w="680" w:type="dxa"/>
            <w:vAlign w:val="bottom"/>
            <w:shd w:val="clear" w:color="auto" w:fill="CCEEFF"/>
          </w:tcPr>
          <w:p>
            <w:pPr>
              <w:jc w:val="right"/>
              <w:ind w:right="163"/>
              <w:spacing w:after="0"/>
              <w:rPr>
                <w:sz w:val="20"/>
                <w:szCs w:val="20"/>
                <w:color w:val="auto"/>
              </w:rPr>
            </w:pPr>
            <w:r>
              <w:rPr>
                <w:rFonts w:ascii="Arial" w:cs="Arial" w:eastAsia="Arial" w:hAnsi="Arial"/>
                <w:sz w:val="11"/>
                <w:szCs w:val="11"/>
                <w:color w:val="auto"/>
              </w:rPr>
              <w:t>100%</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135,662</w:t>
            </w:r>
          </w:p>
        </w:tc>
        <w:tc>
          <w:tcPr>
            <w:tcW w:w="2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537,000</w:t>
            </w: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537,000</w:t>
            </w:r>
          </w:p>
        </w:tc>
        <w:tc>
          <w:tcPr>
            <w:tcW w:w="0" w:type="dxa"/>
            <w:vAlign w:val="bottom"/>
          </w:tcPr>
          <w:p>
            <w:pPr>
              <w:spacing w:after="0"/>
              <w:rPr>
                <w:sz w:val="1"/>
                <w:szCs w:val="1"/>
                <w:color w:val="auto"/>
              </w:rPr>
            </w:pPr>
          </w:p>
        </w:tc>
      </w:tr>
      <w:tr>
        <w:trPr>
          <w:trHeight w:val="172"/>
        </w:trPr>
        <w:tc>
          <w:tcPr>
            <w:tcW w:w="3720" w:type="dxa"/>
            <w:vAlign w:val="bottom"/>
            <w:gridSpan w:val="2"/>
          </w:tcPr>
          <w:p>
            <w:pPr>
              <w:ind w:left="220"/>
              <w:spacing w:after="0"/>
              <w:rPr>
                <w:sz w:val="20"/>
                <w:szCs w:val="20"/>
                <w:color w:val="auto"/>
              </w:rPr>
            </w:pPr>
            <w:r>
              <w:rPr>
                <w:rFonts w:ascii="Arial" w:cs="Arial" w:eastAsia="Arial" w:hAnsi="Arial"/>
                <w:sz w:val="11"/>
                <w:szCs w:val="11"/>
                <w:i w:val="1"/>
                <w:iCs w:val="1"/>
                <w:color w:val="auto"/>
              </w:rPr>
              <w:t>8410-8750 Genesee Avenue and 4282 Esplanade Court</w:t>
            </w: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720" w:type="dxa"/>
            <w:vAlign w:val="bottom"/>
            <w:gridSpan w:val="2"/>
            <w:shd w:val="clear" w:color="auto" w:fill="CCEEFF"/>
          </w:tcPr>
          <w:p>
            <w:pPr>
              <w:ind w:left="160"/>
              <w:spacing w:after="0"/>
              <w:rPr>
                <w:sz w:val="20"/>
                <w:szCs w:val="20"/>
                <w:color w:val="auto"/>
              </w:rPr>
            </w:pPr>
            <w:r>
              <w:rPr>
                <w:rFonts w:ascii="Arial" w:cs="Arial" w:eastAsia="Arial" w:hAnsi="Arial"/>
                <w:sz w:val="11"/>
                <w:szCs w:val="11"/>
                <w:b w:val="1"/>
                <w:bCs w:val="1"/>
                <w:color w:val="auto"/>
              </w:rPr>
              <w:t>Mega Campus: 5200 Illumina Way/University Town Center</w:t>
            </w:r>
          </w:p>
        </w:tc>
        <w:tc>
          <w:tcPr>
            <w:tcW w:w="680" w:type="dxa"/>
            <w:vAlign w:val="bottom"/>
            <w:shd w:val="clear" w:color="auto" w:fill="CCEEFF"/>
          </w:tcPr>
          <w:p>
            <w:pPr>
              <w:jc w:val="right"/>
              <w:ind w:right="163"/>
              <w:spacing w:after="0"/>
              <w:rPr>
                <w:sz w:val="20"/>
                <w:szCs w:val="20"/>
                <w:color w:val="auto"/>
              </w:rPr>
            </w:pPr>
            <w:r>
              <w:rPr>
                <w:rFonts w:ascii="Arial" w:cs="Arial" w:eastAsia="Arial" w:hAnsi="Arial"/>
                <w:sz w:val="11"/>
                <w:szCs w:val="11"/>
                <w:color w:val="auto"/>
              </w:rPr>
              <w:t>51.0%</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17,443</w:t>
            </w:r>
          </w:p>
        </w:tc>
        <w:tc>
          <w:tcPr>
            <w:tcW w:w="2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451,832</w:t>
            </w: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451,832</w:t>
            </w:r>
          </w:p>
        </w:tc>
        <w:tc>
          <w:tcPr>
            <w:tcW w:w="0" w:type="dxa"/>
            <w:vAlign w:val="bottom"/>
          </w:tcPr>
          <w:p>
            <w:pPr>
              <w:spacing w:after="0"/>
              <w:rPr>
                <w:sz w:val="1"/>
                <w:szCs w:val="1"/>
                <w:color w:val="auto"/>
              </w:rPr>
            </w:pPr>
          </w:p>
        </w:tc>
      </w:tr>
      <w:tr>
        <w:trPr>
          <w:trHeight w:val="172"/>
        </w:trPr>
        <w:tc>
          <w:tcPr>
            <w:tcW w:w="3720" w:type="dxa"/>
            <w:vAlign w:val="bottom"/>
            <w:gridSpan w:val="2"/>
          </w:tcPr>
          <w:p>
            <w:pPr>
              <w:ind w:left="160"/>
              <w:spacing w:after="0"/>
              <w:rPr>
                <w:sz w:val="20"/>
                <w:szCs w:val="20"/>
                <w:color w:val="auto"/>
              </w:rPr>
            </w:pPr>
            <w:r>
              <w:rPr>
                <w:rFonts w:ascii="Arial" w:cs="Arial" w:eastAsia="Arial" w:hAnsi="Arial"/>
                <w:sz w:val="11"/>
                <w:szCs w:val="11"/>
                <w:color w:val="auto"/>
              </w:rPr>
              <w:t>9625 Towne Centre Drive/University Town Center</w:t>
            </w:r>
          </w:p>
        </w:tc>
        <w:tc>
          <w:tcPr>
            <w:tcW w:w="680" w:type="dxa"/>
            <w:vAlign w:val="bottom"/>
          </w:tcPr>
          <w:p>
            <w:pPr>
              <w:jc w:val="right"/>
              <w:ind w:right="163"/>
              <w:spacing w:after="0"/>
              <w:rPr>
                <w:sz w:val="20"/>
                <w:szCs w:val="20"/>
                <w:color w:val="auto"/>
              </w:rPr>
            </w:pPr>
            <w:r>
              <w:rPr>
                <w:rFonts w:ascii="Arial" w:cs="Arial" w:eastAsia="Arial" w:hAnsi="Arial"/>
                <w:sz w:val="11"/>
                <w:szCs w:val="11"/>
                <w:color w:val="auto"/>
              </w:rPr>
              <w:t>30.0%</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837</w:t>
            </w:r>
          </w:p>
        </w:tc>
        <w:tc>
          <w:tcPr>
            <w:tcW w:w="20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940" w:type="dxa"/>
            <w:vAlign w:val="bottom"/>
          </w:tcPr>
          <w:p>
            <w:pPr>
              <w:jc w:val="right"/>
              <w:spacing w:after="0"/>
              <w:rPr>
                <w:sz w:val="20"/>
                <w:szCs w:val="20"/>
                <w:color w:val="auto"/>
              </w:rPr>
            </w:pPr>
            <w:r>
              <w:rPr>
                <w:rFonts w:ascii="Arial" w:cs="Arial" w:eastAsia="Arial" w:hAnsi="Arial"/>
                <w:sz w:val="11"/>
                <w:szCs w:val="11"/>
                <w:color w:val="auto"/>
              </w:rPr>
              <w:t>100,000</w:t>
            </w:r>
          </w:p>
        </w:tc>
        <w:tc>
          <w:tcPr>
            <w:tcW w:w="180" w:type="dxa"/>
            <w:vAlign w:val="bottom"/>
          </w:tcPr>
          <w:p>
            <w:pPr>
              <w:spacing w:after="0"/>
              <w:rPr>
                <w:sz w:val="14"/>
                <w:szCs w:val="14"/>
                <w:color w:val="auto"/>
              </w:rPr>
            </w:pPr>
          </w:p>
        </w:tc>
        <w:tc>
          <w:tcPr>
            <w:tcW w:w="940" w:type="dxa"/>
            <w:vAlign w:val="bottom"/>
          </w:tcPr>
          <w:p>
            <w:pPr>
              <w:jc w:val="right"/>
              <w:ind w:right="3"/>
              <w:spacing w:after="0"/>
              <w:rPr>
                <w:sz w:val="20"/>
                <w:szCs w:val="20"/>
                <w:color w:val="auto"/>
              </w:rPr>
            </w:pPr>
            <w:r>
              <w:rPr>
                <w:rFonts w:ascii="Arial" w:cs="Arial" w:eastAsia="Arial" w:hAnsi="Arial"/>
                <w:sz w:val="11"/>
                <w:szCs w:val="11"/>
                <w:color w:val="auto"/>
              </w:rPr>
              <w:t>100,000</w:t>
            </w:r>
          </w:p>
        </w:tc>
        <w:tc>
          <w:tcPr>
            <w:tcW w:w="0" w:type="dxa"/>
            <w:vAlign w:val="bottom"/>
          </w:tcPr>
          <w:p>
            <w:pPr>
              <w:spacing w:after="0"/>
              <w:rPr>
                <w:sz w:val="1"/>
                <w:szCs w:val="1"/>
                <w:color w:val="auto"/>
              </w:rPr>
            </w:pPr>
          </w:p>
        </w:tc>
      </w:tr>
      <w:tr>
        <w:trPr>
          <w:trHeight w:val="161"/>
        </w:trPr>
        <w:tc>
          <w:tcPr>
            <w:tcW w:w="3720" w:type="dxa"/>
            <w:vAlign w:val="bottom"/>
            <w:gridSpan w:val="2"/>
            <w:shd w:val="clear" w:color="auto" w:fill="CCEEFF"/>
          </w:tcPr>
          <w:p>
            <w:pPr>
              <w:ind w:left="160"/>
              <w:spacing w:after="0"/>
              <w:rPr>
                <w:sz w:val="20"/>
                <w:szCs w:val="20"/>
                <w:color w:val="auto"/>
              </w:rPr>
            </w:pPr>
            <w:r>
              <w:rPr>
                <w:rFonts w:ascii="Arial" w:cs="Arial" w:eastAsia="Arial" w:hAnsi="Arial"/>
                <w:sz w:val="11"/>
                <w:szCs w:val="11"/>
                <w:b w:val="1"/>
                <w:bCs w:val="1"/>
                <w:color w:val="auto"/>
              </w:rPr>
              <w:t>Mega Campus: Sequence District by Alexandria/Sorrento Mesa</w:t>
            </w:r>
          </w:p>
        </w:tc>
        <w:tc>
          <w:tcPr>
            <w:tcW w:w="680" w:type="dxa"/>
            <w:vAlign w:val="bottom"/>
            <w:shd w:val="clear" w:color="auto" w:fill="CCEEFF"/>
          </w:tcPr>
          <w:p>
            <w:pPr>
              <w:jc w:val="right"/>
              <w:ind w:right="163"/>
              <w:spacing w:after="0"/>
              <w:rPr>
                <w:sz w:val="20"/>
                <w:szCs w:val="20"/>
                <w:color w:val="auto"/>
              </w:rPr>
            </w:pPr>
            <w:r>
              <w:rPr>
                <w:rFonts w:ascii="Arial" w:cs="Arial" w:eastAsia="Arial" w:hAnsi="Arial"/>
                <w:sz w:val="11"/>
                <w:szCs w:val="11"/>
                <w:color w:val="auto"/>
              </w:rPr>
              <w:t>100%</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46,323</w:t>
            </w:r>
          </w:p>
        </w:tc>
        <w:tc>
          <w:tcPr>
            <w:tcW w:w="2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1,798,915</w:t>
            </w: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1,798,915</w:t>
            </w:r>
          </w:p>
        </w:tc>
        <w:tc>
          <w:tcPr>
            <w:tcW w:w="0" w:type="dxa"/>
            <w:vAlign w:val="bottom"/>
          </w:tcPr>
          <w:p>
            <w:pPr>
              <w:spacing w:after="0"/>
              <w:rPr>
                <w:sz w:val="1"/>
                <w:szCs w:val="1"/>
                <w:color w:val="auto"/>
              </w:rPr>
            </w:pPr>
          </w:p>
        </w:tc>
      </w:tr>
      <w:tr>
        <w:trPr>
          <w:trHeight w:val="172"/>
        </w:trPr>
        <w:tc>
          <w:tcPr>
            <w:tcW w:w="3720" w:type="dxa"/>
            <w:vAlign w:val="bottom"/>
            <w:gridSpan w:val="2"/>
          </w:tcPr>
          <w:p>
            <w:pPr>
              <w:ind w:left="220"/>
              <w:spacing w:after="0"/>
              <w:rPr>
                <w:sz w:val="20"/>
                <w:szCs w:val="20"/>
                <w:color w:val="auto"/>
              </w:rPr>
            </w:pPr>
            <w:r>
              <w:rPr>
                <w:rFonts w:ascii="Arial" w:cs="Arial" w:eastAsia="Arial" w:hAnsi="Arial"/>
                <w:sz w:val="11"/>
                <w:szCs w:val="11"/>
                <w:i w:val="1"/>
                <w:iCs w:val="1"/>
                <w:color w:val="auto"/>
              </w:rPr>
              <w:t>6260, 6290, 6310, 6340, 6350, and 6450 Sequence Drive</w:t>
            </w: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720" w:type="dxa"/>
            <w:vAlign w:val="bottom"/>
            <w:gridSpan w:val="2"/>
            <w:shd w:val="clear" w:color="auto" w:fill="CCEEFF"/>
          </w:tcPr>
          <w:p>
            <w:pPr>
              <w:ind w:left="160"/>
              <w:spacing w:after="0"/>
              <w:rPr>
                <w:sz w:val="20"/>
                <w:szCs w:val="20"/>
                <w:color w:val="auto"/>
              </w:rPr>
            </w:pPr>
            <w:r>
              <w:rPr>
                <w:rFonts w:ascii="Arial" w:cs="Arial" w:eastAsia="Arial" w:hAnsi="Arial"/>
                <w:sz w:val="11"/>
                <w:szCs w:val="11"/>
                <w:color w:val="auto"/>
              </w:rPr>
              <w:t>Scripps Science Park by Alexandria/Sorrento Mesa</w:t>
            </w:r>
          </w:p>
        </w:tc>
        <w:tc>
          <w:tcPr>
            <w:tcW w:w="680" w:type="dxa"/>
            <w:vAlign w:val="bottom"/>
            <w:shd w:val="clear" w:color="auto" w:fill="CCEEFF"/>
          </w:tcPr>
          <w:p>
            <w:pPr>
              <w:jc w:val="right"/>
              <w:ind w:right="163"/>
              <w:spacing w:after="0"/>
              <w:rPr>
                <w:sz w:val="20"/>
                <w:szCs w:val="20"/>
                <w:color w:val="auto"/>
              </w:rPr>
            </w:pPr>
            <w:r>
              <w:rPr>
                <w:rFonts w:ascii="Arial" w:cs="Arial" w:eastAsia="Arial" w:hAnsi="Arial"/>
                <w:sz w:val="11"/>
                <w:szCs w:val="11"/>
                <w:color w:val="auto"/>
              </w:rPr>
              <w:t>100%</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118,800</w:t>
            </w:r>
          </w:p>
        </w:tc>
        <w:tc>
          <w:tcPr>
            <w:tcW w:w="2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598,349</w:t>
            </w: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598,349</w:t>
            </w:r>
          </w:p>
        </w:tc>
        <w:tc>
          <w:tcPr>
            <w:tcW w:w="0" w:type="dxa"/>
            <w:vAlign w:val="bottom"/>
          </w:tcPr>
          <w:p>
            <w:pPr>
              <w:spacing w:after="0"/>
              <w:rPr>
                <w:sz w:val="1"/>
                <w:szCs w:val="1"/>
                <w:color w:val="auto"/>
              </w:rPr>
            </w:pPr>
          </w:p>
        </w:tc>
      </w:tr>
      <w:tr>
        <w:trPr>
          <w:trHeight w:val="150"/>
        </w:trPr>
        <w:tc>
          <w:tcPr>
            <w:tcW w:w="3720" w:type="dxa"/>
            <w:vAlign w:val="bottom"/>
            <w:gridSpan w:val="2"/>
          </w:tcPr>
          <w:p>
            <w:pPr>
              <w:ind w:left="220"/>
              <w:spacing w:after="0"/>
              <w:rPr>
                <w:sz w:val="20"/>
                <w:szCs w:val="20"/>
                <w:color w:val="auto"/>
              </w:rPr>
            </w:pPr>
            <w:r>
              <w:rPr>
                <w:rFonts w:ascii="Arial" w:cs="Arial" w:eastAsia="Arial" w:hAnsi="Arial"/>
                <w:sz w:val="11"/>
                <w:szCs w:val="11"/>
                <w:i w:val="1"/>
                <w:iCs w:val="1"/>
                <w:color w:val="auto"/>
              </w:rPr>
              <w:t>10048, 10219, 10256, and 10260 Meanley Drive and 10277</w:t>
            </w: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3720" w:type="dxa"/>
            <w:vAlign w:val="bottom"/>
            <w:gridSpan w:val="2"/>
          </w:tcPr>
          <w:p>
            <w:pPr>
              <w:ind w:left="360"/>
              <w:spacing w:after="0"/>
              <w:rPr>
                <w:sz w:val="20"/>
                <w:szCs w:val="20"/>
                <w:color w:val="auto"/>
              </w:rPr>
            </w:pPr>
            <w:r>
              <w:rPr>
                <w:rFonts w:ascii="Arial" w:cs="Arial" w:eastAsia="Arial" w:hAnsi="Arial"/>
                <w:sz w:val="11"/>
                <w:szCs w:val="11"/>
                <w:i w:val="1"/>
                <w:iCs w:val="1"/>
                <w:color w:val="auto"/>
              </w:rPr>
              <w:t>Scripps Ranch Boulevard</w:t>
            </w: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720" w:type="dxa"/>
            <w:vAlign w:val="bottom"/>
            <w:gridSpan w:val="2"/>
            <w:shd w:val="clear" w:color="auto" w:fill="CCEEFF"/>
          </w:tcPr>
          <w:p>
            <w:pPr>
              <w:ind w:left="160"/>
              <w:spacing w:after="0"/>
              <w:rPr>
                <w:sz w:val="20"/>
                <w:szCs w:val="20"/>
                <w:color w:val="auto"/>
              </w:rPr>
            </w:pPr>
            <w:r>
              <w:rPr>
                <w:rFonts w:ascii="Arial" w:cs="Arial" w:eastAsia="Arial" w:hAnsi="Arial"/>
                <w:sz w:val="11"/>
                <w:szCs w:val="11"/>
                <w:color w:val="auto"/>
              </w:rPr>
              <w:t>Pacific Technology Park/Sorrento Mesa</w:t>
            </w:r>
          </w:p>
        </w:tc>
        <w:tc>
          <w:tcPr>
            <w:tcW w:w="680" w:type="dxa"/>
            <w:vAlign w:val="bottom"/>
            <w:shd w:val="clear" w:color="auto" w:fill="CCEEFF"/>
          </w:tcPr>
          <w:p>
            <w:pPr>
              <w:jc w:val="right"/>
              <w:ind w:right="163"/>
              <w:spacing w:after="0"/>
              <w:rPr>
                <w:sz w:val="20"/>
                <w:szCs w:val="20"/>
                <w:color w:val="auto"/>
              </w:rPr>
            </w:pPr>
            <w:r>
              <w:rPr>
                <w:rFonts w:ascii="Arial" w:cs="Arial" w:eastAsia="Arial" w:hAnsi="Arial"/>
                <w:sz w:val="11"/>
                <w:szCs w:val="11"/>
                <w:color w:val="auto"/>
              </w:rPr>
              <w:t>50.0%</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23,845</w:t>
            </w:r>
          </w:p>
        </w:tc>
        <w:tc>
          <w:tcPr>
            <w:tcW w:w="2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149,000</w:t>
            </w: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149,000</w:t>
            </w:r>
          </w:p>
        </w:tc>
        <w:tc>
          <w:tcPr>
            <w:tcW w:w="0" w:type="dxa"/>
            <w:vAlign w:val="bottom"/>
          </w:tcPr>
          <w:p>
            <w:pPr>
              <w:spacing w:after="0"/>
              <w:rPr>
                <w:sz w:val="1"/>
                <w:szCs w:val="1"/>
                <w:color w:val="auto"/>
              </w:rPr>
            </w:pPr>
          </w:p>
        </w:tc>
      </w:tr>
      <w:tr>
        <w:trPr>
          <w:trHeight w:val="172"/>
        </w:trPr>
        <w:tc>
          <w:tcPr>
            <w:tcW w:w="3720" w:type="dxa"/>
            <w:vAlign w:val="bottom"/>
            <w:gridSpan w:val="2"/>
          </w:tcPr>
          <w:p>
            <w:pPr>
              <w:ind w:left="220"/>
              <w:spacing w:after="0"/>
              <w:rPr>
                <w:sz w:val="20"/>
                <w:szCs w:val="20"/>
                <w:color w:val="auto"/>
              </w:rPr>
            </w:pPr>
            <w:r>
              <w:rPr>
                <w:rFonts w:ascii="Arial" w:cs="Arial" w:eastAsia="Arial" w:hAnsi="Arial"/>
                <w:sz w:val="11"/>
                <w:szCs w:val="11"/>
                <w:i w:val="1"/>
                <w:iCs w:val="1"/>
                <w:color w:val="auto"/>
              </w:rPr>
              <w:t>9444 Waples Street</w:t>
            </w: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3720" w:type="dxa"/>
            <w:vAlign w:val="bottom"/>
            <w:gridSpan w:val="2"/>
            <w:shd w:val="clear" w:color="auto" w:fill="CCEEFF"/>
          </w:tcPr>
          <w:p>
            <w:pPr>
              <w:ind w:left="160"/>
              <w:spacing w:after="0"/>
              <w:rPr>
                <w:sz w:val="20"/>
                <w:szCs w:val="20"/>
                <w:color w:val="auto"/>
              </w:rPr>
            </w:pPr>
            <w:r>
              <w:rPr>
                <w:rFonts w:ascii="Arial" w:cs="Arial" w:eastAsia="Arial" w:hAnsi="Arial"/>
                <w:sz w:val="11"/>
                <w:szCs w:val="11"/>
                <w:color w:val="auto"/>
              </w:rPr>
              <w:t>4025, 4031, 4045, and 4075 Sorrento Valley Boulevard/Sorrento</w:t>
            </w:r>
          </w:p>
        </w:tc>
        <w:tc>
          <w:tcPr>
            <w:tcW w:w="680" w:type="dxa"/>
            <w:vAlign w:val="bottom"/>
            <w:vMerge w:val="restart"/>
            <w:shd w:val="clear" w:color="auto" w:fill="CCEEFF"/>
          </w:tcPr>
          <w:p>
            <w:pPr>
              <w:jc w:val="right"/>
              <w:ind w:right="163"/>
              <w:spacing w:after="0"/>
              <w:rPr>
                <w:sz w:val="20"/>
                <w:szCs w:val="20"/>
                <w:color w:val="auto"/>
              </w:rPr>
            </w:pPr>
            <w:r>
              <w:rPr>
                <w:rFonts w:ascii="Arial" w:cs="Arial" w:eastAsia="Arial" w:hAnsi="Arial"/>
                <w:sz w:val="11"/>
                <w:szCs w:val="11"/>
                <w:color w:val="auto"/>
              </w:rPr>
              <w:t>100%</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43,064</w:t>
            </w:r>
          </w:p>
        </w:tc>
        <w:tc>
          <w:tcPr>
            <w:tcW w:w="200" w:type="dxa"/>
            <w:vAlign w:val="bottom"/>
            <w:shd w:val="clear" w:color="auto" w:fill="CCEEFF"/>
          </w:tcPr>
          <w:p>
            <w:pPr>
              <w:spacing w:after="0"/>
              <w:rPr>
                <w:sz w:val="13"/>
                <w:szCs w:val="13"/>
                <w:color w:val="auto"/>
              </w:rPr>
            </w:pPr>
          </w:p>
        </w:tc>
        <w:tc>
          <w:tcPr>
            <w:tcW w:w="10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11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1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247,000</w:t>
            </w:r>
          </w:p>
        </w:tc>
        <w:tc>
          <w:tcPr>
            <w:tcW w:w="18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247,000</w:t>
            </w:r>
          </w:p>
        </w:tc>
        <w:tc>
          <w:tcPr>
            <w:tcW w:w="0" w:type="dxa"/>
            <w:vAlign w:val="bottom"/>
          </w:tcPr>
          <w:p>
            <w:pPr>
              <w:spacing w:after="0"/>
              <w:rPr>
                <w:sz w:val="1"/>
                <w:szCs w:val="1"/>
                <w:color w:val="auto"/>
              </w:rPr>
            </w:pPr>
          </w:p>
        </w:tc>
      </w:tr>
      <w:tr>
        <w:trPr>
          <w:trHeight w:val="140"/>
        </w:trPr>
        <w:tc>
          <w:tcPr>
            <w:tcW w:w="3720" w:type="dxa"/>
            <w:vAlign w:val="bottom"/>
            <w:gridSpan w:val="2"/>
            <w:shd w:val="clear" w:color="auto" w:fill="CCEEFF"/>
          </w:tcPr>
          <w:p>
            <w:pPr>
              <w:ind w:left="300"/>
              <w:spacing w:after="0"/>
              <w:rPr>
                <w:sz w:val="20"/>
                <w:szCs w:val="20"/>
                <w:color w:val="auto"/>
              </w:rPr>
            </w:pPr>
            <w:r>
              <w:rPr>
                <w:rFonts w:ascii="Arial" w:cs="Arial" w:eastAsia="Arial" w:hAnsi="Arial"/>
                <w:sz w:val="11"/>
                <w:szCs w:val="11"/>
                <w:color w:val="auto"/>
              </w:rPr>
              <w:t>Valley</w:t>
            </w:r>
          </w:p>
        </w:tc>
        <w:tc>
          <w:tcPr>
            <w:tcW w:w="68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vMerge w:val="continue"/>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60" w:type="dxa"/>
            <w:vAlign w:val="bottom"/>
            <w:gridSpan w:val="2"/>
            <w:vMerge w:val="continue"/>
            <w:shd w:val="clear" w:color="auto" w:fill="CCEEFF"/>
          </w:tcPr>
          <w:p>
            <w:pPr>
              <w:spacing w:after="0"/>
              <w:rPr>
                <w:sz w:val="12"/>
                <w:szCs w:val="12"/>
                <w:color w:val="auto"/>
              </w:rPr>
            </w:pPr>
          </w:p>
        </w:tc>
        <w:tc>
          <w:tcPr>
            <w:tcW w:w="1100" w:type="dxa"/>
            <w:vAlign w:val="bottom"/>
            <w:gridSpan w:val="2"/>
            <w:vMerge w:val="continue"/>
            <w:shd w:val="clear" w:color="auto" w:fill="CCEEFF"/>
          </w:tcPr>
          <w:p>
            <w:pPr>
              <w:spacing w:after="0"/>
              <w:rPr>
                <w:sz w:val="12"/>
                <w:szCs w:val="12"/>
                <w:color w:val="auto"/>
              </w:rPr>
            </w:pPr>
          </w:p>
        </w:tc>
        <w:tc>
          <w:tcPr>
            <w:tcW w:w="1140" w:type="dxa"/>
            <w:vAlign w:val="bottom"/>
            <w:gridSpan w:val="2"/>
            <w:vMerge w:val="continue"/>
            <w:shd w:val="clear" w:color="auto" w:fill="CCEEFF"/>
          </w:tcPr>
          <w:p>
            <w:pPr>
              <w:spacing w:after="0"/>
              <w:rPr>
                <w:sz w:val="12"/>
                <w:szCs w:val="12"/>
                <w:color w:val="auto"/>
              </w:rPr>
            </w:pPr>
          </w:p>
        </w:tc>
        <w:tc>
          <w:tcPr>
            <w:tcW w:w="940" w:type="dxa"/>
            <w:vAlign w:val="bottom"/>
            <w:vMerge w:val="continue"/>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720" w:type="dxa"/>
            <w:vAlign w:val="bottom"/>
            <w:gridSpan w:val="2"/>
          </w:tcPr>
          <w:p>
            <w:pPr>
              <w:ind w:left="160"/>
              <w:spacing w:after="0"/>
              <w:rPr>
                <w:sz w:val="20"/>
                <w:szCs w:val="20"/>
                <w:color w:val="auto"/>
              </w:rPr>
            </w:pPr>
            <w:r>
              <w:rPr>
                <w:rFonts w:ascii="Arial" w:cs="Arial" w:eastAsia="Arial" w:hAnsi="Arial"/>
                <w:sz w:val="11"/>
                <w:szCs w:val="11"/>
                <w:color w:val="auto"/>
              </w:rPr>
              <w:t>Other value-creation projects</w:t>
            </w:r>
          </w:p>
        </w:tc>
        <w:tc>
          <w:tcPr>
            <w:tcW w:w="680" w:type="dxa"/>
            <w:vAlign w:val="bottom"/>
          </w:tcPr>
          <w:p>
            <w:pPr>
              <w:jc w:val="right"/>
              <w:ind w:right="163"/>
              <w:spacing w:after="0"/>
              <w:rPr>
                <w:sz w:val="20"/>
                <w:szCs w:val="20"/>
                <w:color w:val="auto"/>
              </w:rPr>
            </w:pPr>
            <w:r>
              <w:rPr>
                <w:rFonts w:ascii="Arial" w:cs="Arial" w:eastAsia="Arial" w:hAnsi="Arial"/>
                <w:sz w:val="11"/>
                <w:szCs w:val="11"/>
                <w:color w:val="auto"/>
              </w:rPr>
              <w:t>100%</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74,588</w:t>
            </w:r>
          </w:p>
        </w:tc>
        <w:tc>
          <w:tcPr>
            <w:tcW w:w="20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940" w:type="dxa"/>
            <w:vAlign w:val="bottom"/>
          </w:tcPr>
          <w:p>
            <w:pPr>
              <w:jc w:val="right"/>
              <w:spacing w:after="0"/>
              <w:rPr>
                <w:sz w:val="20"/>
                <w:szCs w:val="20"/>
                <w:color w:val="auto"/>
              </w:rPr>
            </w:pPr>
            <w:r>
              <w:rPr>
                <w:rFonts w:ascii="Arial" w:cs="Arial" w:eastAsia="Arial" w:hAnsi="Arial"/>
                <w:sz w:val="11"/>
                <w:szCs w:val="11"/>
                <w:color w:val="auto"/>
              </w:rPr>
              <w:t>475,000</w:t>
            </w:r>
          </w:p>
        </w:tc>
        <w:tc>
          <w:tcPr>
            <w:tcW w:w="180" w:type="dxa"/>
            <w:vAlign w:val="bottom"/>
          </w:tcPr>
          <w:p>
            <w:pPr>
              <w:spacing w:after="0"/>
              <w:rPr>
                <w:sz w:val="14"/>
                <w:szCs w:val="14"/>
                <w:color w:val="auto"/>
              </w:rPr>
            </w:pPr>
          </w:p>
        </w:tc>
        <w:tc>
          <w:tcPr>
            <w:tcW w:w="940" w:type="dxa"/>
            <w:vAlign w:val="bottom"/>
          </w:tcPr>
          <w:p>
            <w:pPr>
              <w:jc w:val="right"/>
              <w:ind w:right="3"/>
              <w:spacing w:after="0"/>
              <w:rPr>
                <w:sz w:val="20"/>
                <w:szCs w:val="20"/>
                <w:color w:val="auto"/>
              </w:rPr>
            </w:pPr>
            <w:r>
              <w:rPr>
                <w:rFonts w:ascii="Arial" w:cs="Arial" w:eastAsia="Arial" w:hAnsi="Arial"/>
                <w:sz w:val="11"/>
                <w:szCs w:val="11"/>
                <w:color w:val="auto"/>
              </w:rPr>
              <w:t>475,000</w:t>
            </w:r>
          </w:p>
        </w:tc>
        <w:tc>
          <w:tcPr>
            <w:tcW w:w="0" w:type="dxa"/>
            <w:vAlign w:val="bottom"/>
          </w:tcPr>
          <w:p>
            <w:pPr>
              <w:spacing w:after="0"/>
              <w:rPr>
                <w:sz w:val="1"/>
                <w:szCs w:val="1"/>
                <w:color w:val="auto"/>
              </w:rPr>
            </w:pPr>
          </w:p>
        </w:tc>
      </w:tr>
      <w:tr>
        <w:trPr>
          <w:trHeight w:val="152"/>
        </w:trPr>
        <w:tc>
          <w:tcPr>
            <w:tcW w:w="368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1"/>
                <w:szCs w:val="11"/>
                <w:b w:val="1"/>
                <w:bCs w:val="1"/>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1,834,060</w:t>
            </w:r>
          </w:p>
        </w:tc>
        <w:tc>
          <w:tcPr>
            <w:tcW w:w="200" w:type="dxa"/>
            <w:vAlign w:val="bottom"/>
            <w:tcBorders>
              <w:top w:val="single" w:sz="8" w:color="CCEEFF"/>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1,186,104</w:t>
            </w:r>
          </w:p>
        </w:tc>
        <w:tc>
          <w:tcPr>
            <w:tcW w:w="120" w:type="dxa"/>
            <w:vAlign w:val="bottom"/>
            <w:tcBorders>
              <w:top w:val="single" w:sz="8" w:color="CCEEFF"/>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492,570</w:t>
            </w:r>
          </w:p>
        </w:tc>
        <w:tc>
          <w:tcPr>
            <w:tcW w:w="160" w:type="dxa"/>
            <w:vAlign w:val="bottom"/>
            <w:tcBorders>
              <w:top w:val="single" w:sz="8" w:color="CCEEFF"/>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633,000</w:t>
            </w:r>
          </w:p>
        </w:tc>
        <w:tc>
          <w:tcPr>
            <w:tcW w:w="180" w:type="dxa"/>
            <w:vAlign w:val="bottom"/>
            <w:tcBorders>
              <w:top w:val="single" w:sz="8" w:color="CCEEFF"/>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5,438,221</w:t>
            </w:r>
          </w:p>
        </w:tc>
        <w:tc>
          <w:tcPr>
            <w:tcW w:w="180" w:type="dxa"/>
            <w:vAlign w:val="bottom"/>
            <w:tcBorders>
              <w:top w:val="single" w:sz="8" w:color="CCEEFF"/>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7,749,895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60"/>
        <w:spacing w:after="0"/>
        <w:rPr>
          <w:sz w:val="20"/>
          <w:szCs w:val="20"/>
          <w:color w:val="auto"/>
        </w:rPr>
      </w:pPr>
      <w:r>
        <w:rPr>
          <w:rFonts w:ascii="Arial" w:cs="Arial" w:eastAsia="Arial" w:hAnsi="Arial"/>
          <w:sz w:val="10"/>
          <w:szCs w:val="10"/>
          <w:color w:val="auto"/>
        </w:rPr>
        <w:t>Refer to “Mega campus” under “Definitions and reconciliations” in Item 2 for additional information.</w:t>
      </w:r>
    </w:p>
    <w:p>
      <w:pPr>
        <w:spacing w:after="0" w:line="132" w:lineRule="exact"/>
        <w:rPr>
          <w:sz w:val="20"/>
          <w:szCs w:val="20"/>
          <w:color w:val="auto"/>
        </w:rPr>
      </w:pPr>
    </w:p>
    <w:p>
      <w:pPr>
        <w:ind w:left="320" w:right="120" w:hanging="259"/>
        <w:spacing w:after="0" w:line="253" w:lineRule="auto"/>
        <w:tabs>
          <w:tab w:leader="none" w:pos="300" w:val="left"/>
        </w:tabs>
        <w:rPr>
          <w:sz w:val="20"/>
          <w:szCs w:val="20"/>
          <w:color w:val="auto"/>
        </w:rPr>
      </w:pPr>
      <w:r>
        <w:rPr>
          <w:rFonts w:ascii="Arial" w:cs="Arial" w:eastAsia="Arial" w:hAnsi="Arial"/>
          <w:sz w:val="10"/>
          <w:szCs w:val="10"/>
          <w:color w:val="auto"/>
        </w:rPr>
        <w:t>(1)</w:t>
        <w:tab/>
        <w:t>Represents total square footage upon completion of development or redevelopment of one or more new Class A/A+ properties. Square footage presented includes the RSF of buildings currently in operation at properties that also have future development or redevelopment opportunities. Upon expiration of existing in-place leases, we have the intent to demolish or redevelop the existing property. Refer to “Investments in real estate” under “Definitions and reconciliations” in Item 2 for additional information, including value-creation square feet currently included in rental properties.</w:t>
      </w:r>
    </w:p>
    <w:p>
      <w:pPr>
        <w:spacing w:after="0" w:line="1" w:lineRule="exact"/>
        <w:rPr>
          <w:sz w:val="20"/>
          <w:szCs w:val="20"/>
          <w:color w:val="auto"/>
        </w:rPr>
      </w:pPr>
    </w:p>
    <w:p>
      <w:pPr>
        <w:ind w:left="60"/>
        <w:spacing w:after="0"/>
        <w:tabs>
          <w:tab w:leader="none" w:pos="300" w:val="left"/>
        </w:tabs>
        <w:rPr>
          <w:sz w:val="20"/>
          <w:szCs w:val="20"/>
          <w:color w:val="auto"/>
        </w:rPr>
      </w:pPr>
      <w:r>
        <w:rPr>
          <w:rFonts w:ascii="Arial" w:cs="Arial" w:eastAsia="Arial" w:hAnsi="Arial"/>
          <w:sz w:val="10"/>
          <w:szCs w:val="10"/>
          <w:color w:val="auto"/>
        </w:rPr>
        <w:t>(2)</w:t>
        <w:tab/>
        <w:t>We have a 100% interest in this property.</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188595</wp:posOffset>
            </wp:positionV>
            <wp:extent cx="7212965" cy="35966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12965" cy="3596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New Class A/A+ development and redevelopment properties: summary of pipeline (continued)</w:t>
      </w:r>
    </w:p>
    <w:p>
      <w:pPr>
        <w:spacing w:after="0" w:line="164" w:lineRule="exact"/>
        <w:rPr>
          <w:sz w:val="20"/>
          <w:szCs w:val="20"/>
          <w:color w:val="auto"/>
        </w:rPr>
      </w:pPr>
    </w:p>
    <w:tbl>
      <w:tblPr>
        <w:tblLayout w:type="fixed"/>
        <w:tblInd w:w="60" w:type="dxa"/>
        <w:tblCellMar>
          <w:top w:w="0" w:type="dxa"/>
          <w:left w:w="0" w:type="dxa"/>
          <w:bottom w:w="0" w:type="dxa"/>
          <w:right w:w="0" w:type="dxa"/>
        </w:tblCellMar>
      </w:tblPr>
      <w:tr>
        <w:trPr>
          <w:trHeight w:val="158"/>
        </w:trPr>
        <w:tc>
          <w:tcPr>
            <w:tcW w:w="3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60" w:type="dxa"/>
            <w:vAlign w:val="bottom"/>
          </w:tcPr>
          <w:p>
            <w:pPr>
              <w:jc w:val="right"/>
              <w:ind w:right="203"/>
              <w:spacing w:after="0"/>
              <w:rPr>
                <w:sz w:val="20"/>
                <w:szCs w:val="20"/>
                <w:color w:val="auto"/>
              </w:rPr>
            </w:pPr>
            <w:r>
              <w:rPr>
                <w:rFonts w:ascii="Arial" w:cs="Arial" w:eastAsia="Arial" w:hAnsi="Arial"/>
                <w:sz w:val="11"/>
                <w:szCs w:val="11"/>
                <w:b w:val="1"/>
                <w:bCs w:val="1"/>
                <w:color w:val="auto"/>
              </w:rPr>
              <w:t>Square Footage</w:t>
            </w:r>
          </w:p>
        </w:tc>
        <w:tc>
          <w:tcPr>
            <w:tcW w:w="1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3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320" w:type="dxa"/>
            <w:vAlign w:val="bottom"/>
            <w:gridSpan w:val="2"/>
          </w:tcPr>
          <w:p>
            <w:pPr>
              <w:jc w:val="right"/>
              <w:ind w:right="263"/>
              <w:spacing w:after="0"/>
              <w:rPr>
                <w:sz w:val="20"/>
                <w:szCs w:val="20"/>
                <w:color w:val="auto"/>
              </w:rPr>
            </w:pPr>
            <w:r>
              <w:rPr>
                <w:rFonts w:ascii="Arial" w:cs="Arial" w:eastAsia="Arial" w:hAnsi="Arial"/>
                <w:sz w:val="11"/>
                <w:szCs w:val="11"/>
                <w:b w:val="1"/>
                <w:bCs w:val="1"/>
                <w:color w:val="auto"/>
              </w:rPr>
              <w:t>Development and Redevelopment</w:t>
            </w:r>
          </w:p>
        </w:tc>
        <w:tc>
          <w:tcPr>
            <w:tcW w:w="1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36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160" w:type="dxa"/>
            <w:vAlign w:val="bottom"/>
            <w:gridSpan w:val="2"/>
          </w:tcPr>
          <w:p>
            <w:pPr>
              <w:jc w:val="center"/>
              <w:ind w:right="3"/>
              <w:spacing w:after="0"/>
              <w:rPr>
                <w:sz w:val="20"/>
                <w:szCs w:val="20"/>
                <w:color w:val="auto"/>
              </w:rPr>
            </w:pPr>
            <w:r>
              <w:rPr>
                <w:rFonts w:ascii="Arial" w:cs="Arial" w:eastAsia="Arial" w:hAnsi="Arial"/>
                <w:sz w:val="11"/>
                <w:szCs w:val="11"/>
                <w:b w:val="1"/>
                <w:bCs w:val="1"/>
                <w:color w:val="auto"/>
              </w:rPr>
              <w:t>Active and Near-Term</w:t>
            </w:r>
          </w:p>
        </w:tc>
        <w:tc>
          <w:tcPr>
            <w:tcW w:w="2360" w:type="dxa"/>
            <w:vAlign w:val="bottom"/>
            <w:gridSpan w:val="2"/>
          </w:tcPr>
          <w:p>
            <w:pPr>
              <w:ind w:left="240"/>
              <w:spacing w:after="0"/>
              <w:rPr>
                <w:sz w:val="20"/>
                <w:szCs w:val="20"/>
                <w:color w:val="auto"/>
              </w:rPr>
            </w:pPr>
            <w:r>
              <w:rPr>
                <w:rFonts w:ascii="Arial" w:cs="Arial" w:eastAsia="Arial" w:hAnsi="Arial"/>
                <w:sz w:val="11"/>
                <w:szCs w:val="11"/>
                <w:b w:val="1"/>
                <w:bCs w:val="1"/>
                <w:color w:val="auto"/>
              </w:rPr>
              <w:t>Future Opportunities Subject to</w:t>
            </w: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3620" w:type="dxa"/>
            <w:vAlign w:val="bottom"/>
          </w:tcPr>
          <w:p>
            <w:pPr>
              <w:spacing w:after="0"/>
              <w:rPr>
                <w:sz w:val="13"/>
                <w:szCs w:val="13"/>
                <w:color w:val="auto"/>
              </w:rPr>
            </w:pPr>
          </w:p>
        </w:tc>
        <w:tc>
          <w:tcPr>
            <w:tcW w:w="78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Our</w:t>
            </w: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160" w:type="dxa"/>
            <w:vAlign w:val="bottom"/>
            <w:gridSpan w:val="2"/>
          </w:tcPr>
          <w:p>
            <w:pPr>
              <w:jc w:val="center"/>
              <w:spacing w:after="0"/>
              <w:rPr>
                <w:sz w:val="20"/>
                <w:szCs w:val="20"/>
                <w:color w:val="auto"/>
              </w:rPr>
            </w:pPr>
            <w:r>
              <w:rPr>
                <w:rFonts w:ascii="Arial" w:cs="Arial" w:eastAsia="Arial" w:hAnsi="Arial"/>
                <w:sz w:val="11"/>
                <w:szCs w:val="11"/>
                <w:b w:val="1"/>
                <w:bCs w:val="1"/>
                <w:color w:val="auto"/>
              </w:rPr>
              <w:t>Construction</w:t>
            </w:r>
          </w:p>
        </w:tc>
        <w:tc>
          <w:tcPr>
            <w:tcW w:w="2360" w:type="dxa"/>
            <w:vAlign w:val="bottom"/>
            <w:gridSpan w:val="2"/>
          </w:tcPr>
          <w:p>
            <w:pPr>
              <w:ind w:left="260"/>
              <w:spacing w:after="0"/>
              <w:rPr>
                <w:sz w:val="20"/>
                <w:szCs w:val="20"/>
                <w:color w:val="auto"/>
              </w:rPr>
            </w:pPr>
            <w:r>
              <w:rPr>
                <w:rFonts w:ascii="Arial" w:cs="Arial" w:eastAsia="Arial" w:hAnsi="Arial"/>
                <w:sz w:val="11"/>
                <w:szCs w:val="11"/>
                <w:b w:val="1"/>
                <w:bCs w:val="1"/>
                <w:color w:val="auto"/>
              </w:rPr>
              <w:t>Market Conditions and Leasing</w:t>
            </w: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
        </w:trPr>
        <w:tc>
          <w:tcPr>
            <w:tcW w:w="3620" w:type="dxa"/>
            <w:vAlign w:val="bottom"/>
            <w:vMerge w:val="restart"/>
          </w:tcPr>
          <w:p>
            <w:pPr>
              <w:spacing w:after="0"/>
              <w:rPr>
                <w:sz w:val="20"/>
                <w:szCs w:val="20"/>
                <w:color w:val="auto"/>
              </w:rPr>
            </w:pPr>
            <w:r>
              <w:rPr>
                <w:rFonts w:ascii="Arial" w:cs="Arial" w:eastAsia="Arial" w:hAnsi="Arial"/>
                <w:sz w:val="11"/>
                <w:szCs w:val="11"/>
                <w:b w:val="1"/>
                <w:bCs w:val="1"/>
                <w:color w:val="auto"/>
              </w:rPr>
              <w:t>Market</w:t>
            </w:r>
          </w:p>
        </w:tc>
        <w:tc>
          <w:tcPr>
            <w:tcW w:w="780" w:type="dxa"/>
            <w:vAlign w:val="bottom"/>
            <w:vMerge w:val="continue"/>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00" w:type="dxa"/>
            <w:vAlign w:val="bottom"/>
            <w:vMerge w:val="restart"/>
          </w:tcPr>
          <w:p>
            <w:pPr>
              <w:jc w:val="right"/>
              <w:ind w:right="363"/>
              <w:spacing w:after="0"/>
              <w:rPr>
                <w:sz w:val="20"/>
                <w:szCs w:val="20"/>
                <w:color w:val="auto"/>
              </w:rPr>
            </w:pPr>
            <w:r>
              <w:rPr>
                <w:rFonts w:ascii="Arial" w:cs="Arial" w:eastAsia="Arial" w:hAnsi="Arial"/>
                <w:sz w:val="11"/>
                <w:szCs w:val="11"/>
                <w:b w:val="1"/>
                <w:bCs w:val="1"/>
                <w:color w:val="auto"/>
              </w:rPr>
              <w:t>Under</w:t>
            </w:r>
          </w:p>
        </w:tc>
        <w:tc>
          <w:tcPr>
            <w:tcW w:w="106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Committed</w:t>
            </w:r>
          </w:p>
        </w:tc>
        <w:tc>
          <w:tcPr>
            <w:tcW w:w="1260" w:type="dxa"/>
            <w:vAlign w:val="bottom"/>
            <w:vMerge w:val="restart"/>
          </w:tcPr>
          <w:p>
            <w:pPr>
              <w:jc w:val="right"/>
              <w:ind w:right="463"/>
              <w:spacing w:after="0"/>
              <w:rPr>
                <w:sz w:val="20"/>
                <w:szCs w:val="20"/>
                <w:color w:val="auto"/>
              </w:rPr>
            </w:pPr>
            <w:r>
              <w:rPr>
                <w:rFonts w:ascii="Arial" w:cs="Arial" w:eastAsia="Arial" w:hAnsi="Arial"/>
                <w:sz w:val="11"/>
                <w:szCs w:val="11"/>
                <w:b w:val="1"/>
                <w:bCs w:val="1"/>
                <w:color w:val="auto"/>
              </w:rPr>
              <w:t>Priority</w:t>
            </w:r>
          </w:p>
        </w:tc>
        <w:tc>
          <w:tcPr>
            <w:tcW w:w="1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0"/>
        </w:trPr>
        <w:tc>
          <w:tcPr>
            <w:tcW w:w="3620" w:type="dxa"/>
            <w:vAlign w:val="bottom"/>
            <w:vMerge w:val="continue"/>
          </w:tcPr>
          <w:p>
            <w:pPr>
              <w:spacing w:after="0"/>
              <w:rPr>
                <w:sz w:val="9"/>
                <w:szCs w:val="9"/>
                <w:color w:val="auto"/>
              </w:rPr>
            </w:pPr>
          </w:p>
        </w:tc>
        <w:tc>
          <w:tcPr>
            <w:tcW w:w="780" w:type="dxa"/>
            <w:vAlign w:val="bottom"/>
          </w:tcPr>
          <w:p>
            <w:pPr>
              <w:jc w:val="center"/>
              <w:spacing w:after="0" w:line="110" w:lineRule="exact"/>
              <w:rPr>
                <w:sz w:val="20"/>
                <w:szCs w:val="20"/>
                <w:color w:val="auto"/>
              </w:rPr>
            </w:pPr>
            <w:r>
              <w:rPr>
                <w:rFonts w:ascii="Arial" w:cs="Arial" w:eastAsia="Arial" w:hAnsi="Arial"/>
                <w:sz w:val="11"/>
                <w:szCs w:val="11"/>
                <w:b w:val="1"/>
                <w:bCs w:val="1"/>
                <w:color w:val="auto"/>
              </w:rPr>
              <w:t>Ownership</w:t>
            </w:r>
          </w:p>
        </w:tc>
        <w:tc>
          <w:tcPr>
            <w:tcW w:w="880" w:type="dxa"/>
            <w:vAlign w:val="bottom"/>
            <w:gridSpan w:val="2"/>
            <w:vMerge w:val="restart"/>
          </w:tcPr>
          <w:p>
            <w:pPr>
              <w:jc w:val="right"/>
              <w:ind w:right="143"/>
              <w:spacing w:after="0"/>
              <w:rPr>
                <w:sz w:val="20"/>
                <w:szCs w:val="20"/>
                <w:color w:val="auto"/>
              </w:rPr>
            </w:pPr>
            <w:r>
              <w:rPr>
                <w:rFonts w:ascii="Arial" w:cs="Arial" w:eastAsia="Arial" w:hAnsi="Arial"/>
                <w:sz w:val="11"/>
                <w:szCs w:val="11"/>
                <w:b w:val="1"/>
                <w:bCs w:val="1"/>
                <w:color w:val="auto"/>
              </w:rPr>
              <w:t>Book Value</w:t>
            </w:r>
          </w:p>
        </w:tc>
        <w:tc>
          <w:tcPr>
            <w:tcW w:w="110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1260" w:type="dxa"/>
            <w:vAlign w:val="bottom"/>
            <w:vMerge w:val="continue"/>
          </w:tcPr>
          <w:p>
            <w:pPr>
              <w:spacing w:after="0"/>
              <w:rPr>
                <w:sz w:val="9"/>
                <w:szCs w:val="9"/>
                <w:color w:val="auto"/>
              </w:rPr>
            </w:pPr>
          </w:p>
        </w:tc>
        <w:tc>
          <w:tcPr>
            <w:tcW w:w="1100" w:type="dxa"/>
            <w:vAlign w:val="bottom"/>
            <w:vMerge w:val="restart"/>
          </w:tcPr>
          <w:p>
            <w:pPr>
              <w:jc w:val="right"/>
              <w:ind w:right="463"/>
              <w:spacing w:after="0"/>
              <w:rPr>
                <w:sz w:val="20"/>
                <w:szCs w:val="20"/>
                <w:color w:val="auto"/>
              </w:rPr>
            </w:pPr>
            <w:r>
              <w:rPr>
                <w:rFonts w:ascii="Arial" w:cs="Arial" w:eastAsia="Arial" w:hAnsi="Arial"/>
                <w:sz w:val="11"/>
                <w:szCs w:val="11"/>
                <w:b w:val="1"/>
                <w:bCs w:val="1"/>
                <w:color w:val="auto"/>
              </w:rPr>
              <w:t>Future</w:t>
            </w:r>
          </w:p>
        </w:tc>
        <w:tc>
          <w:tcPr>
            <w:tcW w:w="840" w:type="dxa"/>
            <w:vAlign w:val="bottom"/>
            <w:vMerge w:val="restart"/>
          </w:tcPr>
          <w:p>
            <w:pPr>
              <w:jc w:val="right"/>
              <w:ind w:right="163"/>
              <w:spacing w:after="0"/>
              <w:rPr>
                <w:sz w:val="20"/>
                <w:szCs w:val="20"/>
                <w:color w:val="auto"/>
              </w:rPr>
            </w:pPr>
            <w:r>
              <w:rPr>
                <w:rFonts w:ascii="Arial" w:cs="Arial" w:eastAsia="Arial" w:hAnsi="Arial"/>
                <w:sz w:val="11"/>
                <w:szCs w:val="11"/>
                <w:b w:val="1"/>
                <w:bCs w:val="1"/>
                <w:color w:val="auto"/>
              </w:rPr>
              <w:t>Total</w:t>
            </w:r>
            <w:r>
              <w:rPr>
                <w:rFonts w:ascii="Arial" w:cs="Arial" w:eastAsia="Arial" w:hAnsi="Arial"/>
                <w:sz w:val="14"/>
                <w:szCs w:val="14"/>
                <w:b w:val="1"/>
                <w:bCs w:val="1"/>
                <w:color w:val="auto"/>
                <w:vertAlign w:val="superscript"/>
              </w:rPr>
              <w:t>(1)</w:t>
            </w:r>
          </w:p>
        </w:tc>
        <w:tc>
          <w:tcPr>
            <w:tcW w:w="0" w:type="dxa"/>
            <w:vAlign w:val="bottom"/>
          </w:tcPr>
          <w:p>
            <w:pPr>
              <w:spacing w:after="0"/>
              <w:rPr>
                <w:sz w:val="1"/>
                <w:szCs w:val="1"/>
                <w:color w:val="auto"/>
              </w:rPr>
            </w:pPr>
          </w:p>
        </w:tc>
      </w:tr>
      <w:tr>
        <w:trPr>
          <w:trHeight w:val="185"/>
        </w:trPr>
        <w:tc>
          <w:tcPr>
            <w:tcW w:w="3620" w:type="dxa"/>
            <w:vAlign w:val="bottom"/>
          </w:tcPr>
          <w:p>
            <w:pPr>
              <w:ind w:left="120"/>
              <w:spacing w:after="0"/>
              <w:rPr>
                <w:sz w:val="20"/>
                <w:szCs w:val="20"/>
                <w:color w:val="auto"/>
              </w:rPr>
            </w:pPr>
            <w:r>
              <w:rPr>
                <w:rFonts w:ascii="Arial" w:cs="Arial" w:eastAsia="Arial" w:hAnsi="Arial"/>
                <w:sz w:val="11"/>
                <w:szCs w:val="11"/>
                <w:b w:val="1"/>
                <w:bCs w:val="1"/>
                <w:color w:val="auto"/>
              </w:rPr>
              <w:t>Property/Submarket</w:t>
            </w:r>
          </w:p>
        </w:tc>
        <w:tc>
          <w:tcPr>
            <w:tcW w:w="780" w:type="dxa"/>
            <w:vAlign w:val="bottom"/>
          </w:tcPr>
          <w:p>
            <w:pPr>
              <w:jc w:val="center"/>
              <w:spacing w:after="0"/>
              <w:rPr>
                <w:sz w:val="20"/>
                <w:szCs w:val="20"/>
                <w:color w:val="auto"/>
              </w:rPr>
            </w:pPr>
            <w:r>
              <w:rPr>
                <w:rFonts w:ascii="Arial" w:cs="Arial" w:eastAsia="Arial" w:hAnsi="Arial"/>
                <w:sz w:val="11"/>
                <w:szCs w:val="11"/>
                <w:b w:val="1"/>
                <w:bCs w:val="1"/>
                <w:color w:val="auto"/>
              </w:rPr>
              <w:t>Interest</w:t>
            </w:r>
          </w:p>
        </w:tc>
        <w:tc>
          <w:tcPr>
            <w:tcW w:w="880" w:type="dxa"/>
            <w:vAlign w:val="bottom"/>
            <w:gridSpan w:val="2"/>
            <w:vMerge w:val="continue"/>
          </w:tcPr>
          <w:p>
            <w:pPr>
              <w:spacing w:after="0"/>
              <w:rPr>
                <w:sz w:val="16"/>
                <w:szCs w:val="16"/>
                <w:color w:val="auto"/>
              </w:rPr>
            </w:pPr>
          </w:p>
        </w:tc>
        <w:tc>
          <w:tcPr>
            <w:tcW w:w="1100" w:type="dxa"/>
            <w:vAlign w:val="bottom"/>
          </w:tcPr>
          <w:p>
            <w:pPr>
              <w:jc w:val="right"/>
              <w:ind w:right="163"/>
              <w:spacing w:after="0"/>
              <w:rPr>
                <w:sz w:val="20"/>
                <w:szCs w:val="20"/>
                <w:color w:val="auto"/>
              </w:rPr>
            </w:pPr>
            <w:r>
              <w:rPr>
                <w:rFonts w:ascii="Arial" w:cs="Arial" w:eastAsia="Arial" w:hAnsi="Arial"/>
                <w:sz w:val="11"/>
                <w:szCs w:val="11"/>
                <w:b w:val="1"/>
                <w:bCs w:val="1"/>
                <w:color w:val="auto"/>
              </w:rPr>
              <w:t>Construction</w:t>
            </w:r>
          </w:p>
        </w:tc>
        <w:tc>
          <w:tcPr>
            <w:tcW w:w="1060" w:type="dxa"/>
            <w:vAlign w:val="bottom"/>
          </w:tcPr>
          <w:p>
            <w:pPr>
              <w:ind w:left="200"/>
              <w:spacing w:after="0"/>
              <w:rPr>
                <w:sz w:val="20"/>
                <w:szCs w:val="20"/>
                <w:color w:val="auto"/>
              </w:rPr>
            </w:pPr>
            <w:r>
              <w:rPr>
                <w:rFonts w:ascii="Arial" w:cs="Arial" w:eastAsia="Arial" w:hAnsi="Arial"/>
                <w:sz w:val="11"/>
                <w:szCs w:val="11"/>
                <w:b w:val="1"/>
                <w:bCs w:val="1"/>
                <w:color w:val="auto"/>
              </w:rPr>
              <w:t>Near Term</w:t>
            </w:r>
          </w:p>
        </w:tc>
        <w:tc>
          <w:tcPr>
            <w:tcW w:w="1260" w:type="dxa"/>
            <w:vAlign w:val="bottom"/>
          </w:tcPr>
          <w:p>
            <w:pPr>
              <w:ind w:left="240"/>
              <w:spacing w:after="0"/>
              <w:rPr>
                <w:sz w:val="20"/>
                <w:szCs w:val="20"/>
                <w:color w:val="auto"/>
              </w:rPr>
            </w:pPr>
            <w:r>
              <w:rPr>
                <w:rFonts w:ascii="Arial" w:cs="Arial" w:eastAsia="Arial" w:hAnsi="Arial"/>
                <w:sz w:val="11"/>
                <w:szCs w:val="11"/>
                <w:b w:val="1"/>
                <w:bCs w:val="1"/>
                <w:color w:val="auto"/>
              </w:rPr>
              <w:t>Anticipated</w:t>
            </w:r>
          </w:p>
        </w:tc>
        <w:tc>
          <w:tcPr>
            <w:tcW w:w="110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3620" w:type="dxa"/>
            <w:vAlign w:val="bottom"/>
          </w:tcPr>
          <w:p>
            <w:pPr>
              <w:spacing w:after="0"/>
              <w:rPr>
                <w:sz w:val="20"/>
                <w:szCs w:val="20"/>
                <w:color w:val="auto"/>
              </w:rPr>
            </w:pPr>
            <w:r>
              <w:rPr>
                <w:rFonts w:ascii="Arial" w:cs="Arial" w:eastAsia="Arial" w:hAnsi="Arial"/>
                <w:sz w:val="11"/>
                <w:szCs w:val="11"/>
                <w:color w:val="auto"/>
              </w:rPr>
              <w:t>Seattle</w:t>
            </w: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3620" w:type="dxa"/>
            <w:vAlign w:val="bottom"/>
          </w:tcPr>
          <w:p>
            <w:pPr>
              <w:ind w:left="120"/>
              <w:spacing w:after="0" w:line="136" w:lineRule="exact"/>
              <w:rPr>
                <w:sz w:val="20"/>
                <w:szCs w:val="20"/>
                <w:color w:val="auto"/>
              </w:rPr>
            </w:pPr>
            <w:r>
              <w:rPr>
                <w:rFonts w:ascii="Arial" w:cs="Arial" w:eastAsia="Arial" w:hAnsi="Arial"/>
                <w:sz w:val="11"/>
                <w:szCs w:val="11"/>
                <w:b w:val="1"/>
                <w:bCs w:val="1"/>
                <w:color w:val="auto"/>
              </w:rPr>
              <w:t>Mega Campus: Alexandria Center</w:t>
            </w:r>
            <w:r>
              <w:rPr>
                <w:rFonts w:ascii="Arial" w:cs="Arial" w:eastAsia="Arial" w:hAnsi="Arial"/>
                <w:sz w:val="14"/>
                <w:szCs w:val="14"/>
                <w:b w:val="1"/>
                <w:bCs w:val="1"/>
                <w:color w:val="auto"/>
                <w:vertAlign w:val="superscript"/>
              </w:rPr>
              <w:t>®</w:t>
            </w:r>
            <w:r>
              <w:rPr>
                <w:rFonts w:ascii="Arial" w:cs="Arial" w:eastAsia="Arial" w:hAnsi="Arial"/>
                <w:sz w:val="11"/>
                <w:szCs w:val="11"/>
                <w:b w:val="1"/>
                <w:bCs w:val="1"/>
                <w:color w:val="auto"/>
              </w:rPr>
              <w:t xml:space="preserve"> for Life Science – Eastlake/</w:t>
            </w:r>
          </w:p>
        </w:tc>
        <w:tc>
          <w:tcPr>
            <w:tcW w:w="780" w:type="dxa"/>
            <w:vAlign w:val="bottom"/>
            <w:vMerge w:val="restart"/>
          </w:tcPr>
          <w:p>
            <w:pPr>
              <w:jc w:val="right"/>
              <w:ind w:right="205"/>
              <w:spacing w:after="0"/>
              <w:rPr>
                <w:sz w:val="20"/>
                <w:szCs w:val="20"/>
                <w:color w:val="auto"/>
              </w:rPr>
            </w:pPr>
            <w:r>
              <w:rPr>
                <w:rFonts w:ascii="Arial" w:cs="Arial" w:eastAsia="Arial" w:hAnsi="Arial"/>
                <w:sz w:val="11"/>
                <w:szCs w:val="11"/>
                <w:color w:val="auto"/>
              </w:rPr>
              <w:t>100%</w:t>
            </w:r>
          </w:p>
        </w:tc>
        <w:tc>
          <w:tcPr>
            <w:tcW w:w="200" w:type="dxa"/>
            <w:vAlign w:val="bottom"/>
            <w:vMerge w:val="restart"/>
          </w:tcPr>
          <w:p>
            <w:pPr>
              <w:jc w:val="right"/>
              <w:ind w:right="23"/>
              <w:spacing w:after="0"/>
              <w:rPr>
                <w:sz w:val="20"/>
                <w:szCs w:val="20"/>
                <w:color w:val="auto"/>
              </w:rPr>
            </w:pPr>
            <w:r>
              <w:rPr>
                <w:rFonts w:ascii="Arial" w:cs="Arial" w:eastAsia="Arial" w:hAnsi="Arial"/>
                <w:sz w:val="11"/>
                <w:szCs w:val="11"/>
                <w:color w:val="auto"/>
              </w:rPr>
              <w:t>$</w:t>
            </w:r>
          </w:p>
        </w:tc>
        <w:tc>
          <w:tcPr>
            <w:tcW w:w="680" w:type="dxa"/>
            <w:vAlign w:val="bottom"/>
            <w:vMerge w:val="restart"/>
          </w:tcPr>
          <w:p>
            <w:pPr>
              <w:jc w:val="right"/>
              <w:ind w:right="123"/>
              <w:spacing w:after="0"/>
              <w:rPr>
                <w:sz w:val="20"/>
                <w:szCs w:val="20"/>
                <w:color w:val="auto"/>
              </w:rPr>
            </w:pPr>
            <w:r>
              <w:rPr>
                <w:rFonts w:ascii="Arial" w:cs="Arial" w:eastAsia="Arial" w:hAnsi="Arial"/>
                <w:sz w:val="11"/>
                <w:szCs w:val="11"/>
                <w:color w:val="auto"/>
              </w:rPr>
              <w:t>45,984</w:t>
            </w:r>
          </w:p>
        </w:tc>
        <w:tc>
          <w:tcPr>
            <w:tcW w:w="1100" w:type="dxa"/>
            <w:vAlign w:val="bottom"/>
            <w:vMerge w:val="restart"/>
          </w:tcPr>
          <w:p>
            <w:pPr>
              <w:jc w:val="right"/>
              <w:ind w:right="103"/>
              <w:spacing w:after="0"/>
              <w:rPr>
                <w:sz w:val="20"/>
                <w:szCs w:val="20"/>
                <w:color w:val="auto"/>
              </w:rPr>
            </w:pPr>
            <w:r>
              <w:rPr>
                <w:rFonts w:ascii="Arial" w:cs="Arial" w:eastAsia="Arial" w:hAnsi="Arial"/>
                <w:sz w:val="11"/>
                <w:szCs w:val="11"/>
                <w:color w:val="auto"/>
              </w:rPr>
              <w:t>31,270</w:t>
            </w:r>
          </w:p>
        </w:tc>
        <w:tc>
          <w:tcPr>
            <w:tcW w:w="1060" w:type="dxa"/>
            <w:vAlign w:val="bottom"/>
            <w:vMerge w:val="restart"/>
          </w:tcPr>
          <w:p>
            <w:pPr>
              <w:ind w:left="800"/>
              <w:spacing w:after="0"/>
              <w:rPr>
                <w:sz w:val="20"/>
                <w:szCs w:val="20"/>
                <w:color w:val="auto"/>
              </w:rPr>
            </w:pPr>
            <w:r>
              <w:rPr>
                <w:rFonts w:ascii="Arial" w:cs="Arial" w:eastAsia="Arial" w:hAnsi="Arial"/>
                <w:sz w:val="11"/>
                <w:szCs w:val="11"/>
                <w:color w:val="auto"/>
              </w:rPr>
              <w:t>—</w:t>
            </w:r>
          </w:p>
        </w:tc>
        <w:tc>
          <w:tcPr>
            <w:tcW w:w="1260" w:type="dxa"/>
            <w:vAlign w:val="bottom"/>
            <w:vMerge w:val="restart"/>
          </w:tcPr>
          <w:p>
            <w:pPr>
              <w:jc w:val="right"/>
              <w:ind w:right="223"/>
              <w:spacing w:after="0"/>
              <w:rPr>
                <w:sz w:val="20"/>
                <w:szCs w:val="20"/>
                <w:color w:val="auto"/>
              </w:rPr>
            </w:pPr>
            <w:r>
              <w:rPr>
                <w:rFonts w:ascii="Arial" w:cs="Arial" w:eastAsia="Arial" w:hAnsi="Arial"/>
                <w:sz w:val="11"/>
                <w:szCs w:val="11"/>
                <w:color w:val="auto"/>
              </w:rPr>
              <w:t>—</w:t>
            </w:r>
          </w:p>
        </w:tc>
        <w:tc>
          <w:tcPr>
            <w:tcW w:w="1100" w:type="dxa"/>
            <w:vAlign w:val="bottom"/>
            <w:vMerge w:val="restart"/>
          </w:tcPr>
          <w:p>
            <w:pPr>
              <w:jc w:val="right"/>
              <w:ind w:right="203"/>
              <w:spacing w:after="0"/>
              <w:rPr>
                <w:sz w:val="20"/>
                <w:szCs w:val="20"/>
                <w:color w:val="auto"/>
              </w:rPr>
            </w:pPr>
            <w:r>
              <w:rPr>
                <w:rFonts w:ascii="Arial" w:cs="Arial" w:eastAsia="Arial" w:hAnsi="Arial"/>
                <w:sz w:val="11"/>
                <w:szCs w:val="11"/>
                <w:color w:val="auto"/>
              </w:rPr>
              <w:t>—</w:t>
            </w:r>
          </w:p>
        </w:tc>
        <w:tc>
          <w:tcPr>
            <w:tcW w:w="840" w:type="dxa"/>
            <w:vAlign w:val="bottom"/>
            <w:vMerge w:val="restart"/>
          </w:tcPr>
          <w:p>
            <w:pPr>
              <w:jc w:val="right"/>
              <w:spacing w:after="0"/>
              <w:rPr>
                <w:sz w:val="20"/>
                <w:szCs w:val="20"/>
                <w:color w:val="auto"/>
              </w:rPr>
            </w:pPr>
            <w:r>
              <w:rPr>
                <w:rFonts w:ascii="Arial" w:cs="Arial" w:eastAsia="Arial" w:hAnsi="Arial"/>
                <w:sz w:val="11"/>
                <w:szCs w:val="11"/>
                <w:color w:val="auto"/>
              </w:rPr>
              <w:t>31,270</w:t>
            </w:r>
          </w:p>
        </w:tc>
        <w:tc>
          <w:tcPr>
            <w:tcW w:w="0" w:type="dxa"/>
            <w:vAlign w:val="bottom"/>
          </w:tcPr>
          <w:p>
            <w:pPr>
              <w:spacing w:after="0"/>
              <w:rPr>
                <w:sz w:val="1"/>
                <w:szCs w:val="1"/>
                <w:color w:val="auto"/>
              </w:rPr>
            </w:pPr>
          </w:p>
        </w:tc>
      </w:tr>
      <w:tr>
        <w:trPr>
          <w:trHeight w:val="158"/>
        </w:trPr>
        <w:tc>
          <w:tcPr>
            <w:tcW w:w="3620" w:type="dxa"/>
            <w:vAlign w:val="bottom"/>
          </w:tcPr>
          <w:p>
            <w:pPr>
              <w:ind w:left="260"/>
              <w:spacing w:after="0"/>
              <w:rPr>
                <w:sz w:val="20"/>
                <w:szCs w:val="20"/>
                <w:color w:val="auto"/>
              </w:rPr>
            </w:pPr>
            <w:r>
              <w:rPr>
                <w:rFonts w:ascii="Arial" w:cs="Arial" w:eastAsia="Arial" w:hAnsi="Arial"/>
                <w:sz w:val="11"/>
                <w:szCs w:val="11"/>
                <w:b w:val="1"/>
                <w:bCs w:val="1"/>
                <w:color w:val="auto"/>
              </w:rPr>
              <w:t>Lake Union</w:t>
            </w:r>
          </w:p>
        </w:tc>
        <w:tc>
          <w:tcPr>
            <w:tcW w:w="780" w:type="dxa"/>
            <w:vAlign w:val="bottom"/>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1060" w:type="dxa"/>
            <w:vAlign w:val="bottom"/>
            <w:vMerge w:val="continue"/>
          </w:tcPr>
          <w:p>
            <w:pPr>
              <w:spacing w:after="0"/>
              <w:rPr>
                <w:sz w:val="13"/>
                <w:szCs w:val="13"/>
                <w:color w:val="auto"/>
              </w:rPr>
            </w:pPr>
          </w:p>
        </w:tc>
        <w:tc>
          <w:tcPr>
            <w:tcW w:w="1260" w:type="dxa"/>
            <w:vAlign w:val="bottom"/>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3620" w:type="dxa"/>
            <w:vAlign w:val="bottom"/>
          </w:tcPr>
          <w:p>
            <w:pPr>
              <w:ind w:left="180"/>
              <w:spacing w:after="0"/>
              <w:rPr>
                <w:sz w:val="20"/>
                <w:szCs w:val="20"/>
                <w:color w:val="auto"/>
              </w:rPr>
            </w:pPr>
            <w:r>
              <w:rPr>
                <w:rFonts w:ascii="Arial" w:cs="Arial" w:eastAsia="Arial" w:hAnsi="Arial"/>
                <w:sz w:val="11"/>
                <w:szCs w:val="11"/>
                <w:i w:val="1"/>
                <w:iCs w:val="1"/>
                <w:color w:val="auto"/>
              </w:rPr>
              <w:t>1150 Eastlake Avenue East</w:t>
            </w: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3620" w:type="dxa"/>
            <w:vAlign w:val="bottom"/>
          </w:tcPr>
          <w:p>
            <w:pPr>
              <w:ind w:left="120"/>
              <w:spacing w:after="0" w:line="136" w:lineRule="exact"/>
              <w:rPr>
                <w:sz w:val="20"/>
                <w:szCs w:val="20"/>
                <w:color w:val="auto"/>
              </w:rPr>
            </w:pPr>
            <w:r>
              <w:rPr>
                <w:rFonts w:ascii="Arial" w:cs="Arial" w:eastAsia="Arial" w:hAnsi="Arial"/>
                <w:sz w:val="11"/>
                <w:szCs w:val="11"/>
                <w:color w:val="auto"/>
              </w:rPr>
              <w:t>Alexandria Center</w:t>
            </w:r>
            <w:r>
              <w:rPr>
                <w:rFonts w:ascii="Arial" w:cs="Arial" w:eastAsia="Arial" w:hAnsi="Arial"/>
                <w:sz w:val="14"/>
                <w:szCs w:val="14"/>
                <w:color w:val="auto"/>
                <w:vertAlign w:val="superscript"/>
              </w:rPr>
              <w:t>®</w:t>
            </w:r>
            <w:r>
              <w:rPr>
                <w:rFonts w:ascii="Arial" w:cs="Arial" w:eastAsia="Arial" w:hAnsi="Arial"/>
                <w:sz w:val="11"/>
                <w:szCs w:val="11"/>
                <w:color w:val="auto"/>
              </w:rPr>
              <w:t xml:space="preserve"> for Advanced Technologies – Monte Villa</w:t>
            </w:r>
          </w:p>
        </w:tc>
        <w:tc>
          <w:tcPr>
            <w:tcW w:w="780" w:type="dxa"/>
            <w:vAlign w:val="bottom"/>
            <w:vMerge w:val="restart"/>
          </w:tcPr>
          <w:p>
            <w:pPr>
              <w:jc w:val="right"/>
              <w:ind w:right="205"/>
              <w:spacing w:after="0"/>
              <w:rPr>
                <w:sz w:val="20"/>
                <w:szCs w:val="20"/>
                <w:color w:val="auto"/>
              </w:rPr>
            </w:pPr>
            <w:r>
              <w:rPr>
                <w:rFonts w:ascii="Arial" w:cs="Arial" w:eastAsia="Arial" w:hAnsi="Arial"/>
                <w:sz w:val="11"/>
                <w:szCs w:val="11"/>
                <w:color w:val="auto"/>
              </w:rPr>
              <w:t>100%</w:t>
            </w:r>
          </w:p>
        </w:tc>
        <w:tc>
          <w:tcPr>
            <w:tcW w:w="200" w:type="dxa"/>
            <w:vAlign w:val="bottom"/>
          </w:tcPr>
          <w:p>
            <w:pPr>
              <w:spacing w:after="0"/>
              <w:rPr>
                <w:sz w:val="11"/>
                <w:szCs w:val="11"/>
                <w:color w:val="auto"/>
              </w:rPr>
            </w:pPr>
          </w:p>
        </w:tc>
        <w:tc>
          <w:tcPr>
            <w:tcW w:w="680" w:type="dxa"/>
            <w:vAlign w:val="bottom"/>
            <w:vMerge w:val="restart"/>
          </w:tcPr>
          <w:p>
            <w:pPr>
              <w:jc w:val="right"/>
              <w:ind w:right="143"/>
              <w:spacing w:after="0"/>
              <w:rPr>
                <w:sz w:val="20"/>
                <w:szCs w:val="20"/>
                <w:color w:val="auto"/>
              </w:rPr>
            </w:pPr>
            <w:r>
              <w:rPr>
                <w:rFonts w:ascii="Arial" w:cs="Arial" w:eastAsia="Arial" w:hAnsi="Arial"/>
                <w:sz w:val="11"/>
                <w:szCs w:val="11"/>
                <w:color w:val="auto"/>
              </w:rPr>
              <w:t>11,144</w:t>
            </w:r>
          </w:p>
        </w:tc>
        <w:tc>
          <w:tcPr>
            <w:tcW w:w="1100" w:type="dxa"/>
            <w:vAlign w:val="bottom"/>
            <w:vMerge w:val="restart"/>
          </w:tcPr>
          <w:p>
            <w:pPr>
              <w:jc w:val="right"/>
              <w:ind w:right="103"/>
              <w:spacing w:after="0"/>
              <w:rPr>
                <w:sz w:val="20"/>
                <w:szCs w:val="20"/>
                <w:color w:val="auto"/>
              </w:rPr>
            </w:pPr>
            <w:r>
              <w:rPr>
                <w:rFonts w:ascii="Arial" w:cs="Arial" w:eastAsia="Arial" w:hAnsi="Arial"/>
                <w:sz w:val="11"/>
                <w:szCs w:val="11"/>
                <w:color w:val="auto"/>
              </w:rPr>
              <w:t>34,306</w:t>
            </w:r>
          </w:p>
        </w:tc>
        <w:tc>
          <w:tcPr>
            <w:tcW w:w="1060" w:type="dxa"/>
            <w:vAlign w:val="bottom"/>
            <w:vMerge w:val="restart"/>
          </w:tcPr>
          <w:p>
            <w:pPr>
              <w:ind w:left="800"/>
              <w:spacing w:after="0"/>
              <w:rPr>
                <w:sz w:val="20"/>
                <w:szCs w:val="20"/>
                <w:color w:val="auto"/>
              </w:rPr>
            </w:pPr>
            <w:r>
              <w:rPr>
                <w:rFonts w:ascii="Arial" w:cs="Arial" w:eastAsia="Arial" w:hAnsi="Arial"/>
                <w:sz w:val="11"/>
                <w:szCs w:val="11"/>
                <w:color w:val="auto"/>
              </w:rPr>
              <w:t>—</w:t>
            </w:r>
          </w:p>
        </w:tc>
        <w:tc>
          <w:tcPr>
            <w:tcW w:w="1260" w:type="dxa"/>
            <w:vAlign w:val="bottom"/>
            <w:vMerge w:val="restart"/>
          </w:tcPr>
          <w:p>
            <w:pPr>
              <w:jc w:val="right"/>
              <w:ind w:right="223"/>
              <w:spacing w:after="0"/>
              <w:rPr>
                <w:sz w:val="20"/>
                <w:szCs w:val="20"/>
                <w:color w:val="auto"/>
              </w:rPr>
            </w:pPr>
            <w:r>
              <w:rPr>
                <w:rFonts w:ascii="Arial" w:cs="Arial" w:eastAsia="Arial" w:hAnsi="Arial"/>
                <w:sz w:val="11"/>
                <w:szCs w:val="11"/>
                <w:color w:val="auto"/>
              </w:rPr>
              <w:t>50,552</w:t>
            </w:r>
          </w:p>
        </w:tc>
        <w:tc>
          <w:tcPr>
            <w:tcW w:w="1100" w:type="dxa"/>
            <w:vAlign w:val="bottom"/>
            <w:vMerge w:val="restart"/>
          </w:tcPr>
          <w:p>
            <w:pPr>
              <w:jc w:val="right"/>
              <w:ind w:right="203"/>
              <w:spacing w:after="0"/>
              <w:rPr>
                <w:sz w:val="20"/>
                <w:szCs w:val="20"/>
                <w:color w:val="auto"/>
              </w:rPr>
            </w:pPr>
            <w:r>
              <w:rPr>
                <w:rFonts w:ascii="Arial" w:cs="Arial" w:eastAsia="Arial" w:hAnsi="Arial"/>
                <w:sz w:val="11"/>
                <w:szCs w:val="11"/>
                <w:color w:val="auto"/>
              </w:rPr>
              <w:t>—</w:t>
            </w:r>
          </w:p>
        </w:tc>
        <w:tc>
          <w:tcPr>
            <w:tcW w:w="840" w:type="dxa"/>
            <w:vAlign w:val="bottom"/>
            <w:vMerge w:val="restart"/>
          </w:tcPr>
          <w:p>
            <w:pPr>
              <w:jc w:val="right"/>
              <w:spacing w:after="0"/>
              <w:rPr>
                <w:sz w:val="20"/>
                <w:szCs w:val="20"/>
                <w:color w:val="auto"/>
              </w:rPr>
            </w:pPr>
            <w:r>
              <w:rPr>
                <w:rFonts w:ascii="Arial" w:cs="Arial" w:eastAsia="Arial" w:hAnsi="Arial"/>
                <w:sz w:val="11"/>
                <w:szCs w:val="11"/>
                <w:color w:val="auto"/>
              </w:rPr>
              <w:t>84,858</w:t>
            </w:r>
          </w:p>
        </w:tc>
        <w:tc>
          <w:tcPr>
            <w:tcW w:w="0" w:type="dxa"/>
            <w:vAlign w:val="bottom"/>
          </w:tcPr>
          <w:p>
            <w:pPr>
              <w:spacing w:after="0"/>
              <w:rPr>
                <w:sz w:val="1"/>
                <w:szCs w:val="1"/>
                <w:color w:val="auto"/>
              </w:rPr>
            </w:pPr>
          </w:p>
        </w:tc>
      </w:tr>
      <w:tr>
        <w:trPr>
          <w:trHeight w:val="150"/>
        </w:trPr>
        <w:tc>
          <w:tcPr>
            <w:tcW w:w="3620" w:type="dxa"/>
            <w:vAlign w:val="bottom"/>
          </w:tcPr>
          <w:p>
            <w:pPr>
              <w:ind w:left="260"/>
              <w:spacing w:after="0"/>
              <w:rPr>
                <w:sz w:val="20"/>
                <w:szCs w:val="20"/>
                <w:color w:val="auto"/>
              </w:rPr>
            </w:pPr>
            <w:r>
              <w:rPr>
                <w:rFonts w:ascii="Arial" w:cs="Arial" w:eastAsia="Arial" w:hAnsi="Arial"/>
                <w:sz w:val="11"/>
                <w:szCs w:val="11"/>
                <w:color w:val="auto"/>
              </w:rPr>
              <w:t>Parkway/Bothell</w:t>
            </w:r>
          </w:p>
        </w:tc>
        <w:tc>
          <w:tcPr>
            <w:tcW w:w="78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1060" w:type="dxa"/>
            <w:vAlign w:val="bottom"/>
            <w:vMerge w:val="continue"/>
          </w:tcPr>
          <w:p>
            <w:pPr>
              <w:spacing w:after="0"/>
              <w:rPr>
                <w:sz w:val="13"/>
                <w:szCs w:val="13"/>
                <w:color w:val="auto"/>
              </w:rPr>
            </w:pPr>
          </w:p>
        </w:tc>
        <w:tc>
          <w:tcPr>
            <w:tcW w:w="1260" w:type="dxa"/>
            <w:vAlign w:val="bottom"/>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620" w:type="dxa"/>
            <w:vAlign w:val="bottom"/>
          </w:tcPr>
          <w:p>
            <w:pPr>
              <w:ind w:left="180"/>
              <w:spacing w:after="0"/>
              <w:rPr>
                <w:sz w:val="20"/>
                <w:szCs w:val="20"/>
                <w:color w:val="auto"/>
              </w:rPr>
            </w:pPr>
            <w:r>
              <w:rPr>
                <w:rFonts w:ascii="Arial" w:cs="Arial" w:eastAsia="Arial" w:hAnsi="Arial"/>
                <w:sz w:val="11"/>
                <w:szCs w:val="11"/>
                <w:i w:val="1"/>
                <w:iCs w:val="1"/>
                <w:color w:val="auto"/>
              </w:rPr>
              <w:t>3301 Monte Villa Parkway</w:t>
            </w: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3620" w:type="dxa"/>
            <w:vAlign w:val="bottom"/>
          </w:tcPr>
          <w:p>
            <w:pPr>
              <w:ind w:left="120"/>
              <w:spacing w:after="0" w:line="136" w:lineRule="exact"/>
              <w:rPr>
                <w:sz w:val="20"/>
                <w:szCs w:val="20"/>
                <w:color w:val="auto"/>
              </w:rPr>
            </w:pPr>
            <w:r>
              <w:rPr>
                <w:rFonts w:ascii="Arial" w:cs="Arial" w:eastAsia="Arial" w:hAnsi="Arial"/>
                <w:sz w:val="11"/>
                <w:szCs w:val="11"/>
                <w:b w:val="1"/>
                <w:bCs w:val="1"/>
                <w:color w:val="auto"/>
              </w:rPr>
              <w:t>Mega Campus: Alexandria Center</w:t>
            </w:r>
            <w:r>
              <w:rPr>
                <w:rFonts w:ascii="Arial" w:cs="Arial" w:eastAsia="Arial" w:hAnsi="Arial"/>
                <w:sz w:val="14"/>
                <w:szCs w:val="14"/>
                <w:b w:val="1"/>
                <w:bCs w:val="1"/>
                <w:color w:val="auto"/>
                <w:vertAlign w:val="superscript"/>
              </w:rPr>
              <w:t>®</w:t>
            </w:r>
            <w:r>
              <w:rPr>
                <w:rFonts w:ascii="Arial" w:cs="Arial" w:eastAsia="Arial" w:hAnsi="Arial"/>
                <w:sz w:val="11"/>
                <w:szCs w:val="11"/>
                <w:b w:val="1"/>
                <w:bCs w:val="1"/>
                <w:color w:val="auto"/>
              </w:rPr>
              <w:t xml:space="preserve"> for Life Science – South</w:t>
            </w:r>
          </w:p>
        </w:tc>
        <w:tc>
          <w:tcPr>
            <w:tcW w:w="780" w:type="dxa"/>
            <w:vAlign w:val="bottom"/>
          </w:tcPr>
          <w:p>
            <w:pPr>
              <w:jc w:val="right"/>
              <w:ind w:right="205"/>
              <w:spacing w:after="0"/>
              <w:rPr>
                <w:sz w:val="20"/>
                <w:szCs w:val="20"/>
                <w:color w:val="auto"/>
              </w:rPr>
            </w:pPr>
            <w:r>
              <w:rPr>
                <w:rFonts w:ascii="Arial" w:cs="Arial" w:eastAsia="Arial" w:hAnsi="Arial"/>
                <w:sz w:val="7"/>
                <w:szCs w:val="7"/>
                <w:color w:val="auto"/>
              </w:rPr>
              <w:t>(2)</w:t>
            </w:r>
          </w:p>
        </w:tc>
        <w:tc>
          <w:tcPr>
            <w:tcW w:w="200" w:type="dxa"/>
            <w:vAlign w:val="bottom"/>
          </w:tcPr>
          <w:p>
            <w:pPr>
              <w:spacing w:after="0"/>
              <w:rPr>
                <w:sz w:val="11"/>
                <w:szCs w:val="11"/>
                <w:color w:val="auto"/>
              </w:rPr>
            </w:pPr>
          </w:p>
        </w:tc>
        <w:tc>
          <w:tcPr>
            <w:tcW w:w="680" w:type="dxa"/>
            <w:vAlign w:val="bottom"/>
            <w:vMerge w:val="restart"/>
          </w:tcPr>
          <w:p>
            <w:pPr>
              <w:jc w:val="right"/>
              <w:ind w:right="123"/>
              <w:spacing w:after="0"/>
              <w:rPr>
                <w:sz w:val="20"/>
                <w:szCs w:val="20"/>
                <w:color w:val="auto"/>
              </w:rPr>
            </w:pPr>
            <w:r>
              <w:rPr>
                <w:rFonts w:ascii="Arial" w:cs="Arial" w:eastAsia="Arial" w:hAnsi="Arial"/>
                <w:sz w:val="11"/>
                <w:szCs w:val="11"/>
                <w:color w:val="auto"/>
              </w:rPr>
              <w:t>452,222</w:t>
            </w:r>
          </w:p>
        </w:tc>
        <w:tc>
          <w:tcPr>
            <w:tcW w:w="1100" w:type="dxa"/>
            <w:vAlign w:val="bottom"/>
            <w:vMerge w:val="restart"/>
          </w:tcPr>
          <w:p>
            <w:pPr>
              <w:jc w:val="right"/>
              <w:ind w:right="103"/>
              <w:spacing w:after="0"/>
              <w:rPr>
                <w:sz w:val="20"/>
                <w:szCs w:val="20"/>
                <w:color w:val="auto"/>
              </w:rPr>
            </w:pPr>
            <w:r>
              <w:rPr>
                <w:rFonts w:ascii="Arial" w:cs="Arial" w:eastAsia="Arial" w:hAnsi="Arial"/>
                <w:sz w:val="11"/>
                <w:szCs w:val="11"/>
                <w:color w:val="auto"/>
              </w:rPr>
              <w:t>—</w:t>
            </w:r>
          </w:p>
        </w:tc>
        <w:tc>
          <w:tcPr>
            <w:tcW w:w="1060" w:type="dxa"/>
            <w:vAlign w:val="bottom"/>
            <w:vMerge w:val="restart"/>
          </w:tcPr>
          <w:p>
            <w:pPr>
              <w:ind w:left="800"/>
              <w:spacing w:after="0"/>
              <w:rPr>
                <w:sz w:val="20"/>
                <w:szCs w:val="20"/>
                <w:color w:val="auto"/>
              </w:rPr>
            </w:pPr>
            <w:r>
              <w:rPr>
                <w:rFonts w:ascii="Arial" w:cs="Arial" w:eastAsia="Arial" w:hAnsi="Arial"/>
                <w:sz w:val="11"/>
                <w:szCs w:val="11"/>
                <w:color w:val="auto"/>
              </w:rPr>
              <w:t>—</w:t>
            </w:r>
          </w:p>
        </w:tc>
        <w:tc>
          <w:tcPr>
            <w:tcW w:w="1260" w:type="dxa"/>
            <w:vAlign w:val="bottom"/>
            <w:vMerge w:val="restart"/>
          </w:tcPr>
          <w:p>
            <w:pPr>
              <w:jc w:val="right"/>
              <w:ind w:right="223"/>
              <w:spacing w:after="0"/>
              <w:rPr>
                <w:sz w:val="20"/>
                <w:szCs w:val="20"/>
                <w:color w:val="auto"/>
              </w:rPr>
            </w:pPr>
            <w:r>
              <w:rPr>
                <w:rFonts w:ascii="Arial" w:cs="Arial" w:eastAsia="Arial" w:hAnsi="Arial"/>
                <w:sz w:val="11"/>
                <w:szCs w:val="11"/>
                <w:color w:val="auto"/>
              </w:rPr>
              <w:t>1,095,586</w:t>
            </w:r>
          </w:p>
        </w:tc>
        <w:tc>
          <w:tcPr>
            <w:tcW w:w="1100" w:type="dxa"/>
            <w:vAlign w:val="bottom"/>
            <w:vMerge w:val="restart"/>
          </w:tcPr>
          <w:p>
            <w:pPr>
              <w:jc w:val="right"/>
              <w:ind w:right="203"/>
              <w:spacing w:after="0"/>
              <w:rPr>
                <w:sz w:val="20"/>
                <w:szCs w:val="20"/>
                <w:color w:val="auto"/>
              </w:rPr>
            </w:pPr>
            <w:r>
              <w:rPr>
                <w:rFonts w:ascii="Arial" w:cs="Arial" w:eastAsia="Arial" w:hAnsi="Arial"/>
                <w:sz w:val="11"/>
                <w:szCs w:val="11"/>
                <w:color w:val="auto"/>
              </w:rPr>
              <w:t>188,400</w:t>
            </w:r>
          </w:p>
        </w:tc>
        <w:tc>
          <w:tcPr>
            <w:tcW w:w="840" w:type="dxa"/>
            <w:vAlign w:val="bottom"/>
            <w:vMerge w:val="restart"/>
          </w:tcPr>
          <w:p>
            <w:pPr>
              <w:jc w:val="right"/>
              <w:spacing w:after="0"/>
              <w:rPr>
                <w:sz w:val="20"/>
                <w:szCs w:val="20"/>
                <w:color w:val="auto"/>
              </w:rPr>
            </w:pPr>
            <w:r>
              <w:rPr>
                <w:rFonts w:ascii="Arial" w:cs="Arial" w:eastAsia="Arial" w:hAnsi="Arial"/>
                <w:sz w:val="11"/>
                <w:szCs w:val="11"/>
                <w:color w:val="auto"/>
              </w:rPr>
              <w:t>1,283,986</w:t>
            </w:r>
          </w:p>
        </w:tc>
        <w:tc>
          <w:tcPr>
            <w:tcW w:w="0" w:type="dxa"/>
            <w:vAlign w:val="bottom"/>
          </w:tcPr>
          <w:p>
            <w:pPr>
              <w:spacing w:after="0"/>
              <w:rPr>
                <w:sz w:val="1"/>
                <w:szCs w:val="1"/>
                <w:color w:val="auto"/>
              </w:rPr>
            </w:pPr>
          </w:p>
        </w:tc>
      </w:tr>
      <w:tr>
        <w:trPr>
          <w:trHeight w:val="158"/>
        </w:trPr>
        <w:tc>
          <w:tcPr>
            <w:tcW w:w="3620" w:type="dxa"/>
            <w:vAlign w:val="bottom"/>
          </w:tcPr>
          <w:p>
            <w:pPr>
              <w:ind w:left="260"/>
              <w:spacing w:after="0"/>
              <w:rPr>
                <w:sz w:val="20"/>
                <w:szCs w:val="20"/>
                <w:color w:val="auto"/>
              </w:rPr>
            </w:pPr>
            <w:r>
              <w:rPr>
                <w:rFonts w:ascii="Arial" w:cs="Arial" w:eastAsia="Arial" w:hAnsi="Arial"/>
                <w:sz w:val="11"/>
                <w:szCs w:val="11"/>
                <w:b w:val="1"/>
                <w:bCs w:val="1"/>
                <w:color w:val="auto"/>
              </w:rPr>
              <w:t>Lake Union/Lake Union</w:t>
            </w: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1060" w:type="dxa"/>
            <w:vAlign w:val="bottom"/>
            <w:vMerge w:val="continue"/>
          </w:tcPr>
          <w:p>
            <w:pPr>
              <w:spacing w:after="0"/>
              <w:rPr>
                <w:sz w:val="13"/>
                <w:szCs w:val="13"/>
                <w:color w:val="auto"/>
              </w:rPr>
            </w:pPr>
          </w:p>
        </w:tc>
        <w:tc>
          <w:tcPr>
            <w:tcW w:w="1260" w:type="dxa"/>
            <w:vAlign w:val="bottom"/>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3620" w:type="dxa"/>
            <w:vAlign w:val="bottom"/>
          </w:tcPr>
          <w:p>
            <w:pPr>
              <w:ind w:left="180"/>
              <w:spacing w:after="0"/>
              <w:rPr>
                <w:sz w:val="20"/>
                <w:szCs w:val="20"/>
                <w:color w:val="auto"/>
              </w:rPr>
            </w:pPr>
            <w:r>
              <w:rPr>
                <w:rFonts w:ascii="Arial" w:cs="Arial" w:eastAsia="Arial" w:hAnsi="Arial"/>
                <w:sz w:val="11"/>
                <w:szCs w:val="11"/>
                <w:i w:val="1"/>
                <w:iCs w:val="1"/>
                <w:color w:val="auto"/>
              </w:rPr>
              <w:t>601 and 701 Dexter Avenue North and 800 Mercer Street</w:t>
            </w: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620" w:type="dxa"/>
            <w:vAlign w:val="bottom"/>
          </w:tcPr>
          <w:p>
            <w:pPr>
              <w:ind w:left="120"/>
              <w:spacing w:after="0"/>
              <w:rPr>
                <w:sz w:val="20"/>
                <w:szCs w:val="20"/>
                <w:color w:val="auto"/>
              </w:rPr>
            </w:pPr>
            <w:r>
              <w:rPr>
                <w:rFonts w:ascii="Arial" w:cs="Arial" w:eastAsia="Arial" w:hAnsi="Arial"/>
                <w:sz w:val="11"/>
                <w:szCs w:val="11"/>
                <w:color w:val="auto"/>
              </w:rPr>
              <w:t>830 and 1010 4th Avenue South/SoDo</w:t>
            </w:r>
          </w:p>
        </w:tc>
        <w:tc>
          <w:tcPr>
            <w:tcW w:w="780" w:type="dxa"/>
            <w:vAlign w:val="bottom"/>
          </w:tcPr>
          <w:p>
            <w:pPr>
              <w:jc w:val="right"/>
              <w:ind w:right="205"/>
              <w:spacing w:after="0"/>
              <w:rPr>
                <w:sz w:val="20"/>
                <w:szCs w:val="20"/>
                <w:color w:val="auto"/>
              </w:rPr>
            </w:pPr>
            <w:r>
              <w:rPr>
                <w:rFonts w:ascii="Arial" w:cs="Arial" w:eastAsia="Arial" w:hAnsi="Arial"/>
                <w:sz w:val="11"/>
                <w:szCs w:val="11"/>
                <w:color w:val="auto"/>
              </w:rPr>
              <w:t>100%</w:t>
            </w:r>
          </w:p>
        </w:tc>
        <w:tc>
          <w:tcPr>
            <w:tcW w:w="200" w:type="dxa"/>
            <w:vAlign w:val="bottom"/>
          </w:tcPr>
          <w:p>
            <w:pPr>
              <w:spacing w:after="0"/>
              <w:rPr>
                <w:sz w:val="14"/>
                <w:szCs w:val="14"/>
                <w:color w:val="auto"/>
              </w:rPr>
            </w:pPr>
          </w:p>
        </w:tc>
        <w:tc>
          <w:tcPr>
            <w:tcW w:w="680" w:type="dxa"/>
            <w:vAlign w:val="bottom"/>
          </w:tcPr>
          <w:p>
            <w:pPr>
              <w:jc w:val="right"/>
              <w:ind w:right="123"/>
              <w:spacing w:after="0"/>
              <w:rPr>
                <w:sz w:val="20"/>
                <w:szCs w:val="20"/>
                <w:color w:val="auto"/>
              </w:rPr>
            </w:pPr>
            <w:r>
              <w:rPr>
                <w:rFonts w:ascii="Arial" w:cs="Arial" w:eastAsia="Arial" w:hAnsi="Arial"/>
                <w:sz w:val="11"/>
                <w:szCs w:val="11"/>
                <w:color w:val="auto"/>
              </w:rPr>
              <w:t>58,530</w:t>
            </w:r>
          </w:p>
        </w:tc>
        <w:tc>
          <w:tcPr>
            <w:tcW w:w="1100" w:type="dxa"/>
            <w:vAlign w:val="bottom"/>
          </w:tcPr>
          <w:p>
            <w:pPr>
              <w:jc w:val="right"/>
              <w:ind w:right="103"/>
              <w:spacing w:after="0"/>
              <w:rPr>
                <w:sz w:val="20"/>
                <w:szCs w:val="20"/>
                <w:color w:val="auto"/>
              </w:rPr>
            </w:pPr>
            <w:r>
              <w:rPr>
                <w:rFonts w:ascii="Arial" w:cs="Arial" w:eastAsia="Arial" w:hAnsi="Arial"/>
                <w:sz w:val="11"/>
                <w:szCs w:val="11"/>
                <w:color w:val="auto"/>
              </w:rPr>
              <w:t>—</w:t>
            </w:r>
          </w:p>
        </w:tc>
        <w:tc>
          <w:tcPr>
            <w:tcW w:w="1060" w:type="dxa"/>
            <w:vAlign w:val="bottom"/>
          </w:tcPr>
          <w:p>
            <w:pPr>
              <w:ind w:left="800"/>
              <w:spacing w:after="0"/>
              <w:rPr>
                <w:sz w:val="20"/>
                <w:szCs w:val="20"/>
                <w:color w:val="auto"/>
              </w:rPr>
            </w:pPr>
            <w:r>
              <w:rPr>
                <w:rFonts w:ascii="Arial" w:cs="Arial" w:eastAsia="Arial" w:hAnsi="Arial"/>
                <w:sz w:val="11"/>
                <w:szCs w:val="11"/>
                <w:color w:val="auto"/>
              </w:rPr>
              <w:t>—</w:t>
            </w:r>
          </w:p>
        </w:tc>
        <w:tc>
          <w:tcPr>
            <w:tcW w:w="1260" w:type="dxa"/>
            <w:vAlign w:val="bottom"/>
          </w:tcPr>
          <w:p>
            <w:pPr>
              <w:jc w:val="right"/>
              <w:ind w:right="223"/>
              <w:spacing w:after="0"/>
              <w:rPr>
                <w:sz w:val="20"/>
                <w:szCs w:val="20"/>
                <w:color w:val="auto"/>
              </w:rPr>
            </w:pPr>
            <w:r>
              <w:rPr>
                <w:rFonts w:ascii="Arial" w:cs="Arial" w:eastAsia="Arial" w:hAnsi="Arial"/>
                <w:sz w:val="11"/>
                <w:szCs w:val="11"/>
                <w:color w:val="auto"/>
              </w:rPr>
              <w:t>—</w:t>
            </w:r>
          </w:p>
        </w:tc>
        <w:tc>
          <w:tcPr>
            <w:tcW w:w="1100" w:type="dxa"/>
            <w:vAlign w:val="bottom"/>
          </w:tcPr>
          <w:p>
            <w:pPr>
              <w:jc w:val="right"/>
              <w:ind w:right="203"/>
              <w:spacing w:after="0"/>
              <w:rPr>
                <w:sz w:val="20"/>
                <w:szCs w:val="20"/>
                <w:color w:val="auto"/>
              </w:rPr>
            </w:pPr>
            <w:r>
              <w:rPr>
                <w:rFonts w:ascii="Arial" w:cs="Arial" w:eastAsia="Arial" w:hAnsi="Arial"/>
                <w:sz w:val="11"/>
                <w:szCs w:val="11"/>
                <w:color w:val="auto"/>
              </w:rPr>
              <w:t>597,313</w:t>
            </w:r>
          </w:p>
        </w:tc>
        <w:tc>
          <w:tcPr>
            <w:tcW w:w="840" w:type="dxa"/>
            <w:vAlign w:val="bottom"/>
          </w:tcPr>
          <w:p>
            <w:pPr>
              <w:jc w:val="right"/>
              <w:spacing w:after="0"/>
              <w:rPr>
                <w:sz w:val="20"/>
                <w:szCs w:val="20"/>
                <w:color w:val="auto"/>
              </w:rPr>
            </w:pPr>
            <w:r>
              <w:rPr>
                <w:rFonts w:ascii="Arial" w:cs="Arial" w:eastAsia="Arial" w:hAnsi="Arial"/>
                <w:sz w:val="11"/>
                <w:szCs w:val="11"/>
                <w:color w:val="auto"/>
              </w:rPr>
              <w:t>597,313</w:t>
            </w:r>
          </w:p>
        </w:tc>
        <w:tc>
          <w:tcPr>
            <w:tcW w:w="0" w:type="dxa"/>
            <w:vAlign w:val="bottom"/>
          </w:tcPr>
          <w:p>
            <w:pPr>
              <w:spacing w:after="0"/>
              <w:rPr>
                <w:sz w:val="1"/>
                <w:szCs w:val="1"/>
                <w:color w:val="auto"/>
              </w:rPr>
            </w:pPr>
          </w:p>
        </w:tc>
      </w:tr>
      <w:tr>
        <w:trPr>
          <w:trHeight w:val="136"/>
        </w:trPr>
        <w:tc>
          <w:tcPr>
            <w:tcW w:w="3620" w:type="dxa"/>
            <w:vAlign w:val="bottom"/>
          </w:tcPr>
          <w:p>
            <w:pPr>
              <w:ind w:left="120"/>
              <w:spacing w:after="0" w:line="136" w:lineRule="exact"/>
              <w:rPr>
                <w:sz w:val="20"/>
                <w:szCs w:val="20"/>
                <w:color w:val="auto"/>
              </w:rPr>
            </w:pPr>
            <w:r>
              <w:rPr>
                <w:rFonts w:ascii="Arial" w:cs="Arial" w:eastAsia="Arial" w:hAnsi="Arial"/>
                <w:sz w:val="11"/>
                <w:szCs w:val="11"/>
                <w:b w:val="1"/>
                <w:bCs w:val="1"/>
                <w:color w:val="auto"/>
              </w:rPr>
              <w:t>Mega Campus: Alexandria Center</w:t>
            </w:r>
            <w:r>
              <w:rPr>
                <w:rFonts w:ascii="Arial" w:cs="Arial" w:eastAsia="Arial" w:hAnsi="Arial"/>
                <w:sz w:val="14"/>
                <w:szCs w:val="14"/>
                <w:b w:val="1"/>
                <w:bCs w:val="1"/>
                <w:color w:val="auto"/>
                <w:vertAlign w:val="superscript"/>
              </w:rPr>
              <w:t>®</w:t>
            </w:r>
            <w:r>
              <w:rPr>
                <w:rFonts w:ascii="Arial" w:cs="Arial" w:eastAsia="Arial" w:hAnsi="Arial"/>
                <w:sz w:val="11"/>
                <w:szCs w:val="11"/>
                <w:b w:val="1"/>
                <w:bCs w:val="1"/>
                <w:color w:val="auto"/>
              </w:rPr>
              <w:t xml:space="preserve"> for Advanced Technologies</w:t>
            </w:r>
          </w:p>
        </w:tc>
        <w:tc>
          <w:tcPr>
            <w:tcW w:w="780" w:type="dxa"/>
            <w:vAlign w:val="bottom"/>
            <w:vMerge w:val="restart"/>
          </w:tcPr>
          <w:p>
            <w:pPr>
              <w:jc w:val="right"/>
              <w:ind w:right="205"/>
              <w:spacing w:after="0"/>
              <w:rPr>
                <w:sz w:val="20"/>
                <w:szCs w:val="20"/>
                <w:color w:val="auto"/>
              </w:rPr>
            </w:pPr>
            <w:r>
              <w:rPr>
                <w:rFonts w:ascii="Arial" w:cs="Arial" w:eastAsia="Arial" w:hAnsi="Arial"/>
                <w:sz w:val="11"/>
                <w:szCs w:val="11"/>
                <w:color w:val="auto"/>
              </w:rPr>
              <w:t>100%</w:t>
            </w:r>
          </w:p>
        </w:tc>
        <w:tc>
          <w:tcPr>
            <w:tcW w:w="200" w:type="dxa"/>
            <w:vAlign w:val="bottom"/>
          </w:tcPr>
          <w:p>
            <w:pPr>
              <w:spacing w:after="0"/>
              <w:rPr>
                <w:sz w:val="11"/>
                <w:szCs w:val="11"/>
                <w:color w:val="auto"/>
              </w:rPr>
            </w:pPr>
          </w:p>
        </w:tc>
        <w:tc>
          <w:tcPr>
            <w:tcW w:w="680" w:type="dxa"/>
            <w:vAlign w:val="bottom"/>
            <w:vMerge w:val="restart"/>
          </w:tcPr>
          <w:p>
            <w:pPr>
              <w:jc w:val="right"/>
              <w:ind w:right="123"/>
              <w:spacing w:after="0"/>
              <w:rPr>
                <w:sz w:val="20"/>
                <w:szCs w:val="20"/>
                <w:color w:val="auto"/>
              </w:rPr>
            </w:pPr>
            <w:r>
              <w:rPr>
                <w:rFonts w:ascii="Arial" w:cs="Arial" w:eastAsia="Arial" w:hAnsi="Arial"/>
                <w:sz w:val="11"/>
                <w:szCs w:val="11"/>
                <w:color w:val="auto"/>
              </w:rPr>
              <w:t>16,891</w:t>
            </w:r>
          </w:p>
        </w:tc>
        <w:tc>
          <w:tcPr>
            <w:tcW w:w="1100" w:type="dxa"/>
            <w:vAlign w:val="bottom"/>
            <w:vMerge w:val="restart"/>
          </w:tcPr>
          <w:p>
            <w:pPr>
              <w:jc w:val="right"/>
              <w:ind w:right="103"/>
              <w:spacing w:after="0"/>
              <w:rPr>
                <w:sz w:val="20"/>
                <w:szCs w:val="20"/>
                <w:color w:val="auto"/>
              </w:rPr>
            </w:pPr>
            <w:r>
              <w:rPr>
                <w:rFonts w:ascii="Arial" w:cs="Arial" w:eastAsia="Arial" w:hAnsi="Arial"/>
                <w:sz w:val="11"/>
                <w:szCs w:val="11"/>
                <w:color w:val="auto"/>
              </w:rPr>
              <w:t>—</w:t>
            </w:r>
          </w:p>
        </w:tc>
        <w:tc>
          <w:tcPr>
            <w:tcW w:w="1060" w:type="dxa"/>
            <w:vAlign w:val="bottom"/>
            <w:vMerge w:val="restart"/>
          </w:tcPr>
          <w:p>
            <w:pPr>
              <w:ind w:left="800"/>
              <w:spacing w:after="0"/>
              <w:rPr>
                <w:sz w:val="20"/>
                <w:szCs w:val="20"/>
                <w:color w:val="auto"/>
              </w:rPr>
            </w:pPr>
            <w:r>
              <w:rPr>
                <w:rFonts w:ascii="Arial" w:cs="Arial" w:eastAsia="Arial" w:hAnsi="Arial"/>
                <w:sz w:val="11"/>
                <w:szCs w:val="11"/>
                <w:color w:val="auto"/>
              </w:rPr>
              <w:t>—</w:t>
            </w:r>
          </w:p>
        </w:tc>
        <w:tc>
          <w:tcPr>
            <w:tcW w:w="1260" w:type="dxa"/>
            <w:vAlign w:val="bottom"/>
            <w:vMerge w:val="restart"/>
          </w:tcPr>
          <w:p>
            <w:pPr>
              <w:jc w:val="right"/>
              <w:ind w:right="223"/>
              <w:spacing w:after="0"/>
              <w:rPr>
                <w:sz w:val="20"/>
                <w:szCs w:val="20"/>
                <w:color w:val="auto"/>
              </w:rPr>
            </w:pPr>
            <w:r>
              <w:rPr>
                <w:rFonts w:ascii="Arial" w:cs="Arial" w:eastAsia="Arial" w:hAnsi="Arial"/>
                <w:sz w:val="11"/>
                <w:szCs w:val="11"/>
                <w:color w:val="auto"/>
              </w:rPr>
              <w:t>—</w:t>
            </w:r>
          </w:p>
        </w:tc>
        <w:tc>
          <w:tcPr>
            <w:tcW w:w="1100" w:type="dxa"/>
            <w:vAlign w:val="bottom"/>
            <w:vMerge w:val="restart"/>
          </w:tcPr>
          <w:p>
            <w:pPr>
              <w:jc w:val="right"/>
              <w:ind w:right="203"/>
              <w:spacing w:after="0"/>
              <w:rPr>
                <w:sz w:val="20"/>
                <w:szCs w:val="20"/>
                <w:color w:val="auto"/>
              </w:rPr>
            </w:pPr>
            <w:r>
              <w:rPr>
                <w:rFonts w:ascii="Arial" w:cs="Arial" w:eastAsia="Arial" w:hAnsi="Arial"/>
                <w:sz w:val="11"/>
                <w:szCs w:val="11"/>
                <w:color w:val="auto"/>
              </w:rPr>
              <w:t>230,000</w:t>
            </w:r>
          </w:p>
        </w:tc>
        <w:tc>
          <w:tcPr>
            <w:tcW w:w="840" w:type="dxa"/>
            <w:vAlign w:val="bottom"/>
            <w:vMerge w:val="restart"/>
          </w:tcPr>
          <w:p>
            <w:pPr>
              <w:jc w:val="right"/>
              <w:spacing w:after="0"/>
              <w:rPr>
                <w:sz w:val="20"/>
                <w:szCs w:val="20"/>
                <w:color w:val="auto"/>
              </w:rPr>
            </w:pPr>
            <w:r>
              <w:rPr>
                <w:rFonts w:ascii="Arial" w:cs="Arial" w:eastAsia="Arial" w:hAnsi="Arial"/>
                <w:sz w:val="11"/>
                <w:szCs w:val="11"/>
                <w:color w:val="auto"/>
              </w:rPr>
              <w:t>230,000</w:t>
            </w:r>
          </w:p>
        </w:tc>
        <w:tc>
          <w:tcPr>
            <w:tcW w:w="0" w:type="dxa"/>
            <w:vAlign w:val="bottom"/>
          </w:tcPr>
          <w:p>
            <w:pPr>
              <w:spacing w:after="0"/>
              <w:rPr>
                <w:sz w:val="1"/>
                <w:szCs w:val="1"/>
                <w:color w:val="auto"/>
              </w:rPr>
            </w:pPr>
          </w:p>
        </w:tc>
      </w:tr>
      <w:tr>
        <w:trPr>
          <w:trHeight w:val="158"/>
        </w:trPr>
        <w:tc>
          <w:tcPr>
            <w:tcW w:w="3620" w:type="dxa"/>
            <w:vAlign w:val="bottom"/>
          </w:tcPr>
          <w:p>
            <w:pPr>
              <w:ind w:left="260"/>
              <w:spacing w:after="0"/>
              <w:rPr>
                <w:sz w:val="20"/>
                <w:szCs w:val="20"/>
                <w:color w:val="auto"/>
              </w:rPr>
            </w:pPr>
            <w:r>
              <w:rPr>
                <w:rFonts w:ascii="Arial" w:cs="Arial" w:eastAsia="Arial" w:hAnsi="Arial"/>
                <w:sz w:val="11"/>
                <w:szCs w:val="11"/>
                <w:b w:val="1"/>
                <w:bCs w:val="1"/>
                <w:color w:val="auto"/>
              </w:rPr>
              <w:t>– Canyon Park/Bothell</w:t>
            </w:r>
          </w:p>
        </w:tc>
        <w:tc>
          <w:tcPr>
            <w:tcW w:w="78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1060" w:type="dxa"/>
            <w:vAlign w:val="bottom"/>
            <w:vMerge w:val="continue"/>
          </w:tcPr>
          <w:p>
            <w:pPr>
              <w:spacing w:after="0"/>
              <w:rPr>
                <w:sz w:val="13"/>
                <w:szCs w:val="13"/>
                <w:color w:val="auto"/>
              </w:rPr>
            </w:pPr>
          </w:p>
        </w:tc>
        <w:tc>
          <w:tcPr>
            <w:tcW w:w="1260" w:type="dxa"/>
            <w:vAlign w:val="bottom"/>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3620" w:type="dxa"/>
            <w:vAlign w:val="bottom"/>
          </w:tcPr>
          <w:p>
            <w:pPr>
              <w:ind w:left="180"/>
              <w:spacing w:after="0"/>
              <w:rPr>
                <w:sz w:val="20"/>
                <w:szCs w:val="20"/>
                <w:color w:val="auto"/>
              </w:rPr>
            </w:pPr>
            <w:r>
              <w:rPr>
                <w:rFonts w:ascii="Arial" w:cs="Arial" w:eastAsia="Arial" w:hAnsi="Arial"/>
                <w:sz w:val="11"/>
                <w:szCs w:val="11"/>
                <w:i w:val="1"/>
                <w:iCs w:val="1"/>
                <w:color w:val="auto"/>
              </w:rPr>
              <w:t>21660 20th Avenue Southeast</w:t>
            </w: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620" w:type="dxa"/>
            <w:vAlign w:val="bottom"/>
          </w:tcPr>
          <w:p>
            <w:pPr>
              <w:ind w:left="120"/>
              <w:spacing w:after="0"/>
              <w:rPr>
                <w:sz w:val="20"/>
                <w:szCs w:val="20"/>
                <w:color w:val="auto"/>
              </w:rPr>
            </w:pPr>
            <w:r>
              <w:rPr>
                <w:rFonts w:ascii="Arial" w:cs="Arial" w:eastAsia="Arial" w:hAnsi="Arial"/>
                <w:sz w:val="11"/>
                <w:szCs w:val="11"/>
                <w:color w:val="auto"/>
              </w:rPr>
              <w:t>Other value-creation projects</w:t>
            </w:r>
          </w:p>
        </w:tc>
        <w:tc>
          <w:tcPr>
            <w:tcW w:w="780" w:type="dxa"/>
            <w:vAlign w:val="bottom"/>
          </w:tcPr>
          <w:p>
            <w:pPr>
              <w:jc w:val="right"/>
              <w:ind w:right="205"/>
              <w:spacing w:after="0"/>
              <w:rPr>
                <w:sz w:val="20"/>
                <w:szCs w:val="20"/>
                <w:color w:val="auto"/>
              </w:rPr>
            </w:pPr>
            <w:r>
              <w:rPr>
                <w:rFonts w:ascii="Arial" w:cs="Arial" w:eastAsia="Arial" w:hAnsi="Arial"/>
                <w:sz w:val="11"/>
                <w:szCs w:val="11"/>
                <w:color w:val="auto"/>
              </w:rPr>
              <w:t>100%</w:t>
            </w:r>
          </w:p>
        </w:tc>
        <w:tc>
          <w:tcPr>
            <w:tcW w:w="200" w:type="dxa"/>
            <w:vAlign w:val="bottom"/>
          </w:tcPr>
          <w:p>
            <w:pPr>
              <w:spacing w:after="0"/>
              <w:rPr>
                <w:sz w:val="14"/>
                <w:szCs w:val="14"/>
                <w:color w:val="auto"/>
              </w:rPr>
            </w:pPr>
          </w:p>
        </w:tc>
        <w:tc>
          <w:tcPr>
            <w:tcW w:w="680" w:type="dxa"/>
            <w:vAlign w:val="bottom"/>
          </w:tcPr>
          <w:p>
            <w:pPr>
              <w:jc w:val="right"/>
              <w:ind w:right="123"/>
              <w:spacing w:after="0"/>
              <w:rPr>
                <w:sz w:val="20"/>
                <w:szCs w:val="20"/>
                <w:color w:val="auto"/>
              </w:rPr>
            </w:pPr>
            <w:r>
              <w:rPr>
                <w:rFonts w:ascii="Arial" w:cs="Arial" w:eastAsia="Arial" w:hAnsi="Arial"/>
                <w:sz w:val="11"/>
                <w:szCs w:val="11"/>
                <w:color w:val="auto"/>
              </w:rPr>
              <w:t>140,480</w:t>
            </w:r>
          </w:p>
        </w:tc>
        <w:tc>
          <w:tcPr>
            <w:tcW w:w="1100" w:type="dxa"/>
            <w:vAlign w:val="bottom"/>
          </w:tcPr>
          <w:p>
            <w:pPr>
              <w:jc w:val="right"/>
              <w:ind w:right="103"/>
              <w:spacing w:after="0"/>
              <w:rPr>
                <w:sz w:val="20"/>
                <w:szCs w:val="20"/>
                <w:color w:val="auto"/>
              </w:rPr>
            </w:pPr>
            <w:r>
              <w:rPr>
                <w:rFonts w:ascii="Arial" w:cs="Arial" w:eastAsia="Arial" w:hAnsi="Arial"/>
                <w:sz w:val="11"/>
                <w:szCs w:val="11"/>
                <w:color w:val="auto"/>
              </w:rPr>
              <w:t>—</w:t>
            </w:r>
          </w:p>
        </w:tc>
        <w:tc>
          <w:tcPr>
            <w:tcW w:w="1060" w:type="dxa"/>
            <w:vAlign w:val="bottom"/>
          </w:tcPr>
          <w:p>
            <w:pPr>
              <w:ind w:left="800"/>
              <w:spacing w:after="0"/>
              <w:rPr>
                <w:sz w:val="20"/>
                <w:szCs w:val="20"/>
                <w:color w:val="auto"/>
              </w:rPr>
            </w:pPr>
            <w:r>
              <w:rPr>
                <w:rFonts w:ascii="Arial" w:cs="Arial" w:eastAsia="Arial" w:hAnsi="Arial"/>
                <w:sz w:val="11"/>
                <w:szCs w:val="11"/>
                <w:color w:val="auto"/>
              </w:rPr>
              <w:t>—</w:t>
            </w:r>
          </w:p>
        </w:tc>
        <w:tc>
          <w:tcPr>
            <w:tcW w:w="1260" w:type="dxa"/>
            <w:vAlign w:val="bottom"/>
          </w:tcPr>
          <w:p>
            <w:pPr>
              <w:jc w:val="right"/>
              <w:ind w:right="223"/>
              <w:spacing w:after="0"/>
              <w:rPr>
                <w:sz w:val="20"/>
                <w:szCs w:val="20"/>
                <w:color w:val="auto"/>
              </w:rPr>
            </w:pPr>
            <w:r>
              <w:rPr>
                <w:rFonts w:ascii="Arial" w:cs="Arial" w:eastAsia="Arial" w:hAnsi="Arial"/>
                <w:sz w:val="11"/>
                <w:szCs w:val="11"/>
                <w:color w:val="auto"/>
              </w:rPr>
              <w:t>—</w:t>
            </w:r>
          </w:p>
        </w:tc>
        <w:tc>
          <w:tcPr>
            <w:tcW w:w="1100" w:type="dxa"/>
            <w:vAlign w:val="bottom"/>
          </w:tcPr>
          <w:p>
            <w:pPr>
              <w:jc w:val="right"/>
              <w:ind w:right="203"/>
              <w:spacing w:after="0"/>
              <w:rPr>
                <w:sz w:val="20"/>
                <w:szCs w:val="20"/>
                <w:color w:val="auto"/>
              </w:rPr>
            </w:pPr>
            <w:r>
              <w:rPr>
                <w:rFonts w:ascii="Arial" w:cs="Arial" w:eastAsia="Arial" w:hAnsi="Arial"/>
                <w:sz w:val="11"/>
                <w:szCs w:val="11"/>
                <w:color w:val="auto"/>
              </w:rPr>
              <w:t>706,087</w:t>
            </w:r>
          </w:p>
        </w:tc>
        <w:tc>
          <w:tcPr>
            <w:tcW w:w="840" w:type="dxa"/>
            <w:vAlign w:val="bottom"/>
          </w:tcPr>
          <w:p>
            <w:pPr>
              <w:jc w:val="right"/>
              <w:spacing w:after="0"/>
              <w:rPr>
                <w:sz w:val="20"/>
                <w:szCs w:val="20"/>
                <w:color w:val="auto"/>
              </w:rPr>
            </w:pPr>
            <w:r>
              <w:rPr>
                <w:rFonts w:ascii="Arial" w:cs="Arial" w:eastAsia="Arial" w:hAnsi="Arial"/>
                <w:sz w:val="11"/>
                <w:szCs w:val="11"/>
                <w:color w:val="auto"/>
              </w:rPr>
              <w:t>706,087</w:t>
            </w:r>
          </w:p>
        </w:tc>
        <w:tc>
          <w:tcPr>
            <w:tcW w:w="0" w:type="dxa"/>
            <w:vAlign w:val="bottom"/>
          </w:tcPr>
          <w:p>
            <w:pPr>
              <w:spacing w:after="0"/>
              <w:rPr>
                <w:sz w:val="1"/>
                <w:szCs w:val="1"/>
                <w:color w:val="auto"/>
              </w:rPr>
            </w:pPr>
          </w:p>
        </w:tc>
      </w:tr>
      <w:tr>
        <w:trPr>
          <w:trHeight w:val="167"/>
        </w:trPr>
        <w:tc>
          <w:tcPr>
            <w:tcW w:w="3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ind w:right="123"/>
              <w:spacing w:after="0"/>
              <w:rPr>
                <w:sz w:val="20"/>
                <w:szCs w:val="20"/>
                <w:color w:val="auto"/>
              </w:rPr>
            </w:pPr>
            <w:r>
              <w:rPr>
                <w:rFonts w:ascii="Arial" w:cs="Arial" w:eastAsia="Arial" w:hAnsi="Arial"/>
                <w:sz w:val="11"/>
                <w:szCs w:val="11"/>
                <w:b w:val="1"/>
                <w:bCs w:val="1"/>
                <w:color w:val="auto"/>
              </w:rPr>
              <w:t>725,251</w:t>
            </w:r>
          </w:p>
        </w:tc>
        <w:tc>
          <w:tcPr>
            <w:tcW w:w="1100" w:type="dxa"/>
            <w:vAlign w:val="bottom"/>
          </w:tcPr>
          <w:p>
            <w:pPr>
              <w:jc w:val="right"/>
              <w:ind w:right="103"/>
              <w:spacing w:after="0"/>
              <w:rPr>
                <w:sz w:val="20"/>
                <w:szCs w:val="20"/>
                <w:color w:val="auto"/>
              </w:rPr>
            </w:pPr>
            <w:r>
              <w:rPr>
                <w:rFonts w:ascii="Arial" w:cs="Arial" w:eastAsia="Arial" w:hAnsi="Arial"/>
                <w:sz w:val="11"/>
                <w:szCs w:val="11"/>
                <w:b w:val="1"/>
                <w:bCs w:val="1"/>
                <w:color w:val="auto"/>
              </w:rPr>
              <w:t>65,576</w:t>
            </w:r>
          </w:p>
        </w:tc>
        <w:tc>
          <w:tcPr>
            <w:tcW w:w="1060" w:type="dxa"/>
            <w:vAlign w:val="bottom"/>
          </w:tcPr>
          <w:p>
            <w:pPr>
              <w:ind w:left="800"/>
              <w:spacing w:after="0"/>
              <w:rPr>
                <w:sz w:val="20"/>
                <w:szCs w:val="20"/>
                <w:color w:val="auto"/>
              </w:rPr>
            </w:pPr>
            <w:r>
              <w:rPr>
                <w:rFonts w:ascii="Arial" w:cs="Arial" w:eastAsia="Arial" w:hAnsi="Arial"/>
                <w:sz w:val="11"/>
                <w:szCs w:val="11"/>
                <w:b w:val="1"/>
                <w:bCs w:val="1"/>
                <w:color w:val="auto"/>
              </w:rPr>
              <w:t>—</w:t>
            </w:r>
          </w:p>
        </w:tc>
        <w:tc>
          <w:tcPr>
            <w:tcW w:w="1260" w:type="dxa"/>
            <w:vAlign w:val="bottom"/>
          </w:tcPr>
          <w:p>
            <w:pPr>
              <w:jc w:val="right"/>
              <w:ind w:right="223"/>
              <w:spacing w:after="0"/>
              <w:rPr>
                <w:sz w:val="20"/>
                <w:szCs w:val="20"/>
                <w:color w:val="auto"/>
              </w:rPr>
            </w:pPr>
            <w:r>
              <w:rPr>
                <w:rFonts w:ascii="Arial" w:cs="Arial" w:eastAsia="Arial" w:hAnsi="Arial"/>
                <w:sz w:val="11"/>
                <w:szCs w:val="11"/>
                <w:b w:val="1"/>
                <w:bCs w:val="1"/>
                <w:color w:val="auto"/>
              </w:rPr>
              <w:t>1,146,138</w:t>
            </w:r>
          </w:p>
        </w:tc>
        <w:tc>
          <w:tcPr>
            <w:tcW w:w="1100" w:type="dxa"/>
            <w:vAlign w:val="bottom"/>
          </w:tcPr>
          <w:p>
            <w:pPr>
              <w:jc w:val="right"/>
              <w:ind w:right="203"/>
              <w:spacing w:after="0"/>
              <w:rPr>
                <w:sz w:val="20"/>
                <w:szCs w:val="20"/>
                <w:color w:val="auto"/>
              </w:rPr>
            </w:pPr>
            <w:r>
              <w:rPr>
                <w:rFonts w:ascii="Arial" w:cs="Arial" w:eastAsia="Arial" w:hAnsi="Arial"/>
                <w:sz w:val="11"/>
                <w:szCs w:val="11"/>
                <w:b w:val="1"/>
                <w:bCs w:val="1"/>
                <w:color w:val="auto"/>
              </w:rPr>
              <w:t>1,721,800</w:t>
            </w:r>
          </w:p>
        </w:tc>
        <w:tc>
          <w:tcPr>
            <w:tcW w:w="840" w:type="dxa"/>
            <w:vAlign w:val="bottom"/>
          </w:tcPr>
          <w:p>
            <w:pPr>
              <w:jc w:val="right"/>
              <w:spacing w:after="0"/>
              <w:rPr>
                <w:sz w:val="20"/>
                <w:szCs w:val="20"/>
                <w:color w:val="auto"/>
              </w:rPr>
            </w:pPr>
            <w:r>
              <w:rPr>
                <w:rFonts w:ascii="Arial" w:cs="Arial" w:eastAsia="Arial" w:hAnsi="Arial"/>
                <w:sz w:val="11"/>
                <w:szCs w:val="11"/>
                <w:b w:val="1"/>
                <w:bCs w:val="1"/>
                <w:color w:val="auto"/>
              </w:rPr>
              <w:t>2,933,514</w:t>
            </w:r>
          </w:p>
        </w:tc>
        <w:tc>
          <w:tcPr>
            <w:tcW w:w="0" w:type="dxa"/>
            <w:vAlign w:val="bottom"/>
          </w:tcPr>
          <w:p>
            <w:pPr>
              <w:spacing w:after="0"/>
              <w:rPr>
                <w:sz w:val="1"/>
                <w:szCs w:val="1"/>
                <w:color w:val="auto"/>
              </w:rPr>
            </w:pPr>
          </w:p>
        </w:tc>
      </w:tr>
      <w:tr>
        <w:trPr>
          <w:trHeight w:val="177"/>
        </w:trPr>
        <w:tc>
          <w:tcPr>
            <w:tcW w:w="3620" w:type="dxa"/>
            <w:vAlign w:val="bottom"/>
          </w:tcPr>
          <w:p>
            <w:pPr>
              <w:spacing w:after="0"/>
              <w:rPr>
                <w:sz w:val="20"/>
                <w:szCs w:val="20"/>
                <w:color w:val="auto"/>
              </w:rPr>
            </w:pPr>
            <w:r>
              <w:rPr>
                <w:rFonts w:ascii="Arial" w:cs="Arial" w:eastAsia="Arial" w:hAnsi="Arial"/>
                <w:sz w:val="11"/>
                <w:szCs w:val="11"/>
                <w:color w:val="auto"/>
              </w:rPr>
              <w:t>Maryland</w:t>
            </w: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3620" w:type="dxa"/>
            <w:vAlign w:val="bottom"/>
          </w:tcPr>
          <w:p>
            <w:pPr>
              <w:ind w:left="120"/>
              <w:spacing w:after="0" w:line="136" w:lineRule="exact"/>
              <w:rPr>
                <w:sz w:val="20"/>
                <w:szCs w:val="20"/>
                <w:color w:val="auto"/>
              </w:rPr>
            </w:pPr>
            <w:r>
              <w:rPr>
                <w:rFonts w:ascii="Arial" w:cs="Arial" w:eastAsia="Arial" w:hAnsi="Arial"/>
                <w:sz w:val="11"/>
                <w:szCs w:val="11"/>
                <w:b w:val="1"/>
                <w:bCs w:val="1"/>
                <w:color w:val="auto"/>
              </w:rPr>
              <w:t>Mega Campus: Alexandria Center</w:t>
            </w:r>
            <w:r>
              <w:rPr>
                <w:rFonts w:ascii="Arial" w:cs="Arial" w:eastAsia="Arial" w:hAnsi="Arial"/>
                <w:sz w:val="14"/>
                <w:szCs w:val="14"/>
                <w:b w:val="1"/>
                <w:bCs w:val="1"/>
                <w:color w:val="auto"/>
                <w:vertAlign w:val="superscript"/>
              </w:rPr>
              <w:t>®</w:t>
            </w:r>
            <w:r>
              <w:rPr>
                <w:rFonts w:ascii="Arial" w:cs="Arial" w:eastAsia="Arial" w:hAnsi="Arial"/>
                <w:sz w:val="11"/>
                <w:szCs w:val="11"/>
                <w:b w:val="1"/>
                <w:bCs w:val="1"/>
                <w:color w:val="auto"/>
              </w:rPr>
              <w:t xml:space="preserve"> for Life Science – Shady</w:t>
            </w:r>
          </w:p>
        </w:tc>
        <w:tc>
          <w:tcPr>
            <w:tcW w:w="780" w:type="dxa"/>
            <w:vAlign w:val="bottom"/>
            <w:vMerge w:val="restart"/>
          </w:tcPr>
          <w:p>
            <w:pPr>
              <w:jc w:val="right"/>
              <w:ind w:right="205"/>
              <w:spacing w:after="0"/>
              <w:rPr>
                <w:sz w:val="20"/>
                <w:szCs w:val="20"/>
                <w:color w:val="auto"/>
              </w:rPr>
            </w:pPr>
            <w:r>
              <w:rPr>
                <w:rFonts w:ascii="Arial" w:cs="Arial" w:eastAsia="Arial" w:hAnsi="Arial"/>
                <w:sz w:val="11"/>
                <w:szCs w:val="11"/>
                <w:color w:val="auto"/>
              </w:rPr>
              <w:t>100%</w:t>
            </w:r>
          </w:p>
        </w:tc>
        <w:tc>
          <w:tcPr>
            <w:tcW w:w="200" w:type="dxa"/>
            <w:vAlign w:val="bottom"/>
          </w:tcPr>
          <w:p>
            <w:pPr>
              <w:spacing w:after="0"/>
              <w:rPr>
                <w:sz w:val="11"/>
                <w:szCs w:val="11"/>
                <w:color w:val="auto"/>
              </w:rPr>
            </w:pPr>
          </w:p>
        </w:tc>
        <w:tc>
          <w:tcPr>
            <w:tcW w:w="680" w:type="dxa"/>
            <w:vAlign w:val="bottom"/>
            <w:vMerge w:val="restart"/>
          </w:tcPr>
          <w:p>
            <w:pPr>
              <w:jc w:val="right"/>
              <w:ind w:right="123"/>
              <w:spacing w:after="0"/>
              <w:rPr>
                <w:sz w:val="20"/>
                <w:szCs w:val="20"/>
                <w:color w:val="auto"/>
              </w:rPr>
            </w:pPr>
            <w:r>
              <w:rPr>
                <w:rFonts w:ascii="Arial" w:cs="Arial" w:eastAsia="Arial" w:hAnsi="Arial"/>
                <w:sz w:val="11"/>
                <w:szCs w:val="11"/>
                <w:color w:val="auto"/>
              </w:rPr>
              <w:t>230,578</w:t>
            </w:r>
          </w:p>
        </w:tc>
        <w:tc>
          <w:tcPr>
            <w:tcW w:w="1100" w:type="dxa"/>
            <w:vAlign w:val="bottom"/>
            <w:vMerge w:val="restart"/>
          </w:tcPr>
          <w:p>
            <w:pPr>
              <w:jc w:val="right"/>
              <w:ind w:right="103"/>
              <w:spacing w:after="0"/>
              <w:rPr>
                <w:sz w:val="20"/>
                <w:szCs w:val="20"/>
                <w:color w:val="auto"/>
              </w:rPr>
            </w:pPr>
            <w:r>
              <w:rPr>
                <w:rFonts w:ascii="Arial" w:cs="Arial" w:eastAsia="Arial" w:hAnsi="Arial"/>
                <w:sz w:val="11"/>
                <w:szCs w:val="11"/>
                <w:color w:val="auto"/>
              </w:rPr>
              <w:t>292,946</w:t>
            </w:r>
          </w:p>
        </w:tc>
        <w:tc>
          <w:tcPr>
            <w:tcW w:w="1060" w:type="dxa"/>
            <w:vAlign w:val="bottom"/>
            <w:vMerge w:val="restart"/>
          </w:tcPr>
          <w:p>
            <w:pPr>
              <w:ind w:left="800"/>
              <w:spacing w:after="0"/>
              <w:rPr>
                <w:sz w:val="20"/>
                <w:szCs w:val="20"/>
                <w:color w:val="auto"/>
              </w:rPr>
            </w:pPr>
            <w:r>
              <w:rPr>
                <w:rFonts w:ascii="Arial" w:cs="Arial" w:eastAsia="Arial" w:hAnsi="Arial"/>
                <w:sz w:val="11"/>
                <w:szCs w:val="11"/>
                <w:color w:val="auto"/>
              </w:rPr>
              <w:t>—</w:t>
            </w:r>
          </w:p>
        </w:tc>
        <w:tc>
          <w:tcPr>
            <w:tcW w:w="1260" w:type="dxa"/>
            <w:vAlign w:val="bottom"/>
            <w:vMerge w:val="restart"/>
          </w:tcPr>
          <w:p>
            <w:pPr>
              <w:jc w:val="right"/>
              <w:ind w:right="223"/>
              <w:spacing w:after="0"/>
              <w:rPr>
                <w:sz w:val="20"/>
                <w:szCs w:val="20"/>
                <w:color w:val="auto"/>
              </w:rPr>
            </w:pPr>
            <w:r>
              <w:rPr>
                <w:rFonts w:ascii="Arial" w:cs="Arial" w:eastAsia="Arial" w:hAnsi="Arial"/>
                <w:sz w:val="11"/>
                <w:szCs w:val="11"/>
                <w:color w:val="auto"/>
              </w:rPr>
              <w:t>—</w:t>
            </w:r>
          </w:p>
        </w:tc>
        <w:tc>
          <w:tcPr>
            <w:tcW w:w="1100" w:type="dxa"/>
            <w:vAlign w:val="bottom"/>
            <w:vMerge w:val="restart"/>
          </w:tcPr>
          <w:p>
            <w:pPr>
              <w:jc w:val="right"/>
              <w:ind w:right="203"/>
              <w:spacing w:after="0"/>
              <w:rPr>
                <w:sz w:val="20"/>
                <w:szCs w:val="20"/>
                <w:color w:val="auto"/>
              </w:rPr>
            </w:pPr>
            <w:r>
              <w:rPr>
                <w:rFonts w:ascii="Arial" w:cs="Arial" w:eastAsia="Arial" w:hAnsi="Arial"/>
                <w:sz w:val="11"/>
                <w:szCs w:val="11"/>
                <w:color w:val="auto"/>
              </w:rPr>
              <w:t>296,000</w:t>
            </w:r>
          </w:p>
        </w:tc>
        <w:tc>
          <w:tcPr>
            <w:tcW w:w="840" w:type="dxa"/>
            <w:vAlign w:val="bottom"/>
            <w:vMerge w:val="restart"/>
          </w:tcPr>
          <w:p>
            <w:pPr>
              <w:jc w:val="right"/>
              <w:spacing w:after="0"/>
              <w:rPr>
                <w:sz w:val="20"/>
                <w:szCs w:val="20"/>
                <w:color w:val="auto"/>
              </w:rPr>
            </w:pPr>
            <w:r>
              <w:rPr>
                <w:rFonts w:ascii="Arial" w:cs="Arial" w:eastAsia="Arial" w:hAnsi="Arial"/>
                <w:sz w:val="11"/>
                <w:szCs w:val="11"/>
                <w:color w:val="auto"/>
              </w:rPr>
              <w:t>588,946</w:t>
            </w:r>
          </w:p>
        </w:tc>
        <w:tc>
          <w:tcPr>
            <w:tcW w:w="0" w:type="dxa"/>
            <w:vAlign w:val="bottom"/>
          </w:tcPr>
          <w:p>
            <w:pPr>
              <w:spacing w:after="0"/>
              <w:rPr>
                <w:sz w:val="1"/>
                <w:szCs w:val="1"/>
                <w:color w:val="auto"/>
              </w:rPr>
            </w:pPr>
          </w:p>
        </w:tc>
      </w:tr>
      <w:tr>
        <w:trPr>
          <w:trHeight w:val="158"/>
        </w:trPr>
        <w:tc>
          <w:tcPr>
            <w:tcW w:w="3620" w:type="dxa"/>
            <w:vAlign w:val="bottom"/>
          </w:tcPr>
          <w:p>
            <w:pPr>
              <w:ind w:left="260"/>
              <w:spacing w:after="0"/>
              <w:rPr>
                <w:sz w:val="20"/>
                <w:szCs w:val="20"/>
                <w:color w:val="auto"/>
              </w:rPr>
            </w:pPr>
            <w:r>
              <w:rPr>
                <w:rFonts w:ascii="Arial" w:cs="Arial" w:eastAsia="Arial" w:hAnsi="Arial"/>
                <w:sz w:val="11"/>
                <w:szCs w:val="11"/>
                <w:b w:val="1"/>
                <w:bCs w:val="1"/>
                <w:color w:val="auto"/>
              </w:rPr>
              <w:t>Grove/Rockville</w:t>
            </w:r>
          </w:p>
        </w:tc>
        <w:tc>
          <w:tcPr>
            <w:tcW w:w="78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1060" w:type="dxa"/>
            <w:vAlign w:val="bottom"/>
            <w:vMerge w:val="continue"/>
          </w:tcPr>
          <w:p>
            <w:pPr>
              <w:spacing w:after="0"/>
              <w:rPr>
                <w:sz w:val="13"/>
                <w:szCs w:val="13"/>
                <w:color w:val="auto"/>
              </w:rPr>
            </w:pPr>
          </w:p>
        </w:tc>
        <w:tc>
          <w:tcPr>
            <w:tcW w:w="1260" w:type="dxa"/>
            <w:vAlign w:val="bottom"/>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3620" w:type="dxa"/>
            <w:vAlign w:val="bottom"/>
          </w:tcPr>
          <w:p>
            <w:pPr>
              <w:ind w:left="180"/>
              <w:spacing w:after="0"/>
              <w:rPr>
                <w:sz w:val="20"/>
                <w:szCs w:val="20"/>
                <w:color w:val="auto"/>
              </w:rPr>
            </w:pPr>
            <w:r>
              <w:rPr>
                <w:rFonts w:ascii="Arial" w:cs="Arial" w:eastAsia="Arial" w:hAnsi="Arial"/>
                <w:sz w:val="11"/>
                <w:szCs w:val="11"/>
                <w:i w:val="1"/>
                <w:iCs w:val="1"/>
                <w:color w:val="auto"/>
              </w:rPr>
              <w:t>9808 Medical Center Drive and 9820 and 9830 Darnestown Road</w:t>
            </w: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36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ind w:right="123"/>
              <w:spacing w:after="0"/>
              <w:rPr>
                <w:sz w:val="20"/>
                <w:szCs w:val="20"/>
                <w:color w:val="auto"/>
              </w:rPr>
            </w:pPr>
            <w:r>
              <w:rPr>
                <w:rFonts w:ascii="Arial" w:cs="Arial" w:eastAsia="Arial" w:hAnsi="Arial"/>
                <w:sz w:val="11"/>
                <w:szCs w:val="11"/>
                <w:b w:val="1"/>
                <w:bCs w:val="1"/>
                <w:color w:val="auto"/>
              </w:rPr>
              <w:t>230,578</w:t>
            </w:r>
          </w:p>
        </w:tc>
        <w:tc>
          <w:tcPr>
            <w:tcW w:w="1100" w:type="dxa"/>
            <w:vAlign w:val="bottom"/>
          </w:tcPr>
          <w:p>
            <w:pPr>
              <w:jc w:val="right"/>
              <w:ind w:right="103"/>
              <w:spacing w:after="0"/>
              <w:rPr>
                <w:sz w:val="20"/>
                <w:szCs w:val="20"/>
                <w:color w:val="auto"/>
              </w:rPr>
            </w:pPr>
            <w:r>
              <w:rPr>
                <w:rFonts w:ascii="Arial" w:cs="Arial" w:eastAsia="Arial" w:hAnsi="Arial"/>
                <w:sz w:val="11"/>
                <w:szCs w:val="11"/>
                <w:b w:val="1"/>
                <w:bCs w:val="1"/>
                <w:color w:val="auto"/>
              </w:rPr>
              <w:t>292,946</w:t>
            </w:r>
          </w:p>
        </w:tc>
        <w:tc>
          <w:tcPr>
            <w:tcW w:w="1060" w:type="dxa"/>
            <w:vAlign w:val="bottom"/>
          </w:tcPr>
          <w:p>
            <w:pPr>
              <w:ind w:left="800"/>
              <w:spacing w:after="0"/>
              <w:rPr>
                <w:sz w:val="20"/>
                <w:szCs w:val="20"/>
                <w:color w:val="auto"/>
              </w:rPr>
            </w:pPr>
            <w:r>
              <w:rPr>
                <w:rFonts w:ascii="Arial" w:cs="Arial" w:eastAsia="Arial" w:hAnsi="Arial"/>
                <w:sz w:val="11"/>
                <w:szCs w:val="11"/>
                <w:b w:val="1"/>
                <w:bCs w:val="1"/>
                <w:color w:val="auto"/>
              </w:rPr>
              <w:t>—</w:t>
            </w:r>
          </w:p>
        </w:tc>
        <w:tc>
          <w:tcPr>
            <w:tcW w:w="1260" w:type="dxa"/>
            <w:vAlign w:val="bottom"/>
          </w:tcPr>
          <w:p>
            <w:pPr>
              <w:jc w:val="right"/>
              <w:ind w:right="223"/>
              <w:spacing w:after="0"/>
              <w:rPr>
                <w:sz w:val="20"/>
                <w:szCs w:val="20"/>
                <w:color w:val="auto"/>
              </w:rPr>
            </w:pPr>
            <w:r>
              <w:rPr>
                <w:rFonts w:ascii="Arial" w:cs="Arial" w:eastAsia="Arial" w:hAnsi="Arial"/>
                <w:sz w:val="11"/>
                <w:szCs w:val="11"/>
                <w:b w:val="1"/>
                <w:bCs w:val="1"/>
                <w:color w:val="auto"/>
              </w:rPr>
              <w:t>—</w:t>
            </w:r>
          </w:p>
        </w:tc>
        <w:tc>
          <w:tcPr>
            <w:tcW w:w="1100" w:type="dxa"/>
            <w:vAlign w:val="bottom"/>
          </w:tcPr>
          <w:p>
            <w:pPr>
              <w:jc w:val="right"/>
              <w:ind w:right="203"/>
              <w:spacing w:after="0"/>
              <w:rPr>
                <w:sz w:val="20"/>
                <w:szCs w:val="20"/>
                <w:color w:val="auto"/>
              </w:rPr>
            </w:pPr>
            <w:r>
              <w:rPr>
                <w:rFonts w:ascii="Arial" w:cs="Arial" w:eastAsia="Arial" w:hAnsi="Arial"/>
                <w:sz w:val="11"/>
                <w:szCs w:val="11"/>
                <w:b w:val="1"/>
                <w:bCs w:val="1"/>
                <w:color w:val="auto"/>
              </w:rPr>
              <w:t>296,000</w:t>
            </w:r>
          </w:p>
        </w:tc>
        <w:tc>
          <w:tcPr>
            <w:tcW w:w="840" w:type="dxa"/>
            <w:vAlign w:val="bottom"/>
          </w:tcPr>
          <w:p>
            <w:pPr>
              <w:jc w:val="right"/>
              <w:spacing w:after="0"/>
              <w:rPr>
                <w:sz w:val="20"/>
                <w:szCs w:val="20"/>
                <w:color w:val="auto"/>
              </w:rPr>
            </w:pPr>
            <w:r>
              <w:rPr>
                <w:rFonts w:ascii="Arial" w:cs="Arial" w:eastAsia="Arial" w:hAnsi="Arial"/>
                <w:sz w:val="11"/>
                <w:szCs w:val="11"/>
                <w:b w:val="1"/>
                <w:bCs w:val="1"/>
                <w:color w:val="auto"/>
              </w:rPr>
              <w:t>588,946</w:t>
            </w:r>
          </w:p>
        </w:tc>
        <w:tc>
          <w:tcPr>
            <w:tcW w:w="0" w:type="dxa"/>
            <w:vAlign w:val="bottom"/>
          </w:tcPr>
          <w:p>
            <w:pPr>
              <w:spacing w:after="0"/>
              <w:rPr>
                <w:sz w:val="1"/>
                <w:szCs w:val="1"/>
                <w:color w:val="auto"/>
              </w:rPr>
            </w:pPr>
          </w:p>
        </w:tc>
      </w:tr>
      <w:tr>
        <w:trPr>
          <w:trHeight w:val="177"/>
        </w:trPr>
        <w:tc>
          <w:tcPr>
            <w:tcW w:w="3620" w:type="dxa"/>
            <w:vAlign w:val="bottom"/>
          </w:tcPr>
          <w:p>
            <w:pPr>
              <w:spacing w:after="0"/>
              <w:rPr>
                <w:sz w:val="20"/>
                <w:szCs w:val="20"/>
                <w:color w:val="auto"/>
              </w:rPr>
            </w:pPr>
            <w:r>
              <w:rPr>
                <w:rFonts w:ascii="Arial" w:cs="Arial" w:eastAsia="Arial" w:hAnsi="Arial"/>
                <w:sz w:val="11"/>
                <w:szCs w:val="11"/>
                <w:color w:val="auto"/>
              </w:rPr>
              <w:t>Research Triangle</w:t>
            </w: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3620" w:type="dxa"/>
            <w:vAlign w:val="bottom"/>
          </w:tcPr>
          <w:p>
            <w:pPr>
              <w:ind w:left="120"/>
              <w:spacing w:after="0" w:line="136" w:lineRule="exact"/>
              <w:rPr>
                <w:sz w:val="20"/>
                <w:szCs w:val="20"/>
                <w:color w:val="auto"/>
              </w:rPr>
            </w:pPr>
            <w:r>
              <w:rPr>
                <w:rFonts w:ascii="Arial" w:cs="Arial" w:eastAsia="Arial" w:hAnsi="Arial"/>
                <w:sz w:val="11"/>
                <w:szCs w:val="11"/>
                <w:b w:val="1"/>
                <w:bCs w:val="1"/>
                <w:color w:val="auto"/>
              </w:rPr>
              <w:t>Mega Campus: Alexandria Center</w:t>
            </w:r>
            <w:r>
              <w:rPr>
                <w:rFonts w:ascii="Arial" w:cs="Arial" w:eastAsia="Arial" w:hAnsi="Arial"/>
                <w:sz w:val="14"/>
                <w:szCs w:val="14"/>
                <w:b w:val="1"/>
                <w:bCs w:val="1"/>
                <w:color w:val="auto"/>
                <w:vertAlign w:val="superscript"/>
              </w:rPr>
              <w:t>®</w:t>
            </w:r>
            <w:r>
              <w:rPr>
                <w:rFonts w:ascii="Arial" w:cs="Arial" w:eastAsia="Arial" w:hAnsi="Arial"/>
                <w:sz w:val="11"/>
                <w:szCs w:val="11"/>
                <w:b w:val="1"/>
                <w:bCs w:val="1"/>
                <w:color w:val="auto"/>
              </w:rPr>
              <w:t xml:space="preserve"> for Advanced Technologies</w:t>
            </w:r>
          </w:p>
        </w:tc>
        <w:tc>
          <w:tcPr>
            <w:tcW w:w="780" w:type="dxa"/>
            <w:vAlign w:val="bottom"/>
            <w:vMerge w:val="restart"/>
          </w:tcPr>
          <w:p>
            <w:pPr>
              <w:jc w:val="right"/>
              <w:ind w:right="205"/>
              <w:spacing w:after="0"/>
              <w:rPr>
                <w:sz w:val="20"/>
                <w:szCs w:val="20"/>
                <w:color w:val="auto"/>
              </w:rPr>
            </w:pPr>
            <w:r>
              <w:rPr>
                <w:rFonts w:ascii="Arial" w:cs="Arial" w:eastAsia="Arial" w:hAnsi="Arial"/>
                <w:sz w:val="11"/>
                <w:szCs w:val="11"/>
                <w:color w:val="auto"/>
              </w:rPr>
              <w:t>100%</w:t>
            </w:r>
          </w:p>
        </w:tc>
        <w:tc>
          <w:tcPr>
            <w:tcW w:w="200" w:type="dxa"/>
            <w:vAlign w:val="bottom"/>
          </w:tcPr>
          <w:p>
            <w:pPr>
              <w:spacing w:after="0"/>
              <w:rPr>
                <w:sz w:val="11"/>
                <w:szCs w:val="11"/>
                <w:color w:val="auto"/>
              </w:rPr>
            </w:pPr>
          </w:p>
        </w:tc>
        <w:tc>
          <w:tcPr>
            <w:tcW w:w="680" w:type="dxa"/>
            <w:vAlign w:val="bottom"/>
            <w:vMerge w:val="restart"/>
          </w:tcPr>
          <w:p>
            <w:pPr>
              <w:jc w:val="right"/>
              <w:ind w:right="123"/>
              <w:spacing w:after="0"/>
              <w:rPr>
                <w:sz w:val="20"/>
                <w:szCs w:val="20"/>
                <w:color w:val="auto"/>
              </w:rPr>
            </w:pPr>
            <w:r>
              <w:rPr>
                <w:rFonts w:ascii="Arial" w:cs="Arial" w:eastAsia="Arial" w:hAnsi="Arial"/>
                <w:sz w:val="11"/>
                <w:szCs w:val="11"/>
                <w:color w:val="auto"/>
              </w:rPr>
              <w:t>101,026</w:t>
            </w:r>
          </w:p>
        </w:tc>
        <w:tc>
          <w:tcPr>
            <w:tcW w:w="1100" w:type="dxa"/>
            <w:vAlign w:val="bottom"/>
            <w:vMerge w:val="restart"/>
          </w:tcPr>
          <w:p>
            <w:pPr>
              <w:jc w:val="right"/>
              <w:ind w:right="103"/>
              <w:spacing w:after="0"/>
              <w:rPr>
                <w:sz w:val="20"/>
                <w:szCs w:val="20"/>
                <w:color w:val="auto"/>
              </w:rPr>
            </w:pPr>
            <w:r>
              <w:rPr>
                <w:rFonts w:ascii="Arial" w:cs="Arial" w:eastAsia="Arial" w:hAnsi="Arial"/>
                <w:sz w:val="11"/>
                <w:szCs w:val="11"/>
                <w:color w:val="auto"/>
              </w:rPr>
              <w:t>—</w:t>
            </w:r>
          </w:p>
        </w:tc>
        <w:tc>
          <w:tcPr>
            <w:tcW w:w="1060" w:type="dxa"/>
            <w:vAlign w:val="bottom"/>
            <w:vMerge w:val="restart"/>
          </w:tcPr>
          <w:p>
            <w:pPr>
              <w:ind w:left="800"/>
              <w:spacing w:after="0"/>
              <w:rPr>
                <w:sz w:val="20"/>
                <w:szCs w:val="20"/>
                <w:color w:val="auto"/>
              </w:rPr>
            </w:pPr>
            <w:r>
              <w:rPr>
                <w:rFonts w:ascii="Arial" w:cs="Arial" w:eastAsia="Arial" w:hAnsi="Arial"/>
                <w:sz w:val="11"/>
                <w:szCs w:val="11"/>
                <w:color w:val="auto"/>
              </w:rPr>
              <w:t>—</w:t>
            </w:r>
          </w:p>
        </w:tc>
        <w:tc>
          <w:tcPr>
            <w:tcW w:w="1260" w:type="dxa"/>
            <w:vAlign w:val="bottom"/>
            <w:vMerge w:val="restart"/>
          </w:tcPr>
          <w:p>
            <w:pPr>
              <w:jc w:val="right"/>
              <w:ind w:right="223"/>
              <w:spacing w:after="0"/>
              <w:rPr>
                <w:sz w:val="20"/>
                <w:szCs w:val="20"/>
                <w:color w:val="auto"/>
              </w:rPr>
            </w:pPr>
            <w:r>
              <w:rPr>
                <w:rFonts w:ascii="Arial" w:cs="Arial" w:eastAsia="Arial" w:hAnsi="Arial"/>
                <w:sz w:val="11"/>
                <w:szCs w:val="11"/>
                <w:color w:val="auto"/>
              </w:rPr>
              <w:t>180,000</w:t>
            </w:r>
          </w:p>
        </w:tc>
        <w:tc>
          <w:tcPr>
            <w:tcW w:w="1100" w:type="dxa"/>
            <w:vAlign w:val="bottom"/>
            <w:vMerge w:val="restart"/>
          </w:tcPr>
          <w:p>
            <w:pPr>
              <w:jc w:val="right"/>
              <w:ind w:right="203"/>
              <w:spacing w:after="0"/>
              <w:rPr>
                <w:sz w:val="20"/>
                <w:szCs w:val="20"/>
                <w:color w:val="auto"/>
              </w:rPr>
            </w:pPr>
            <w:r>
              <w:rPr>
                <w:rFonts w:ascii="Arial" w:cs="Arial" w:eastAsia="Arial" w:hAnsi="Arial"/>
                <w:sz w:val="11"/>
                <w:szCs w:val="11"/>
                <w:color w:val="auto"/>
              </w:rPr>
              <w:t>990,000</w:t>
            </w:r>
          </w:p>
        </w:tc>
        <w:tc>
          <w:tcPr>
            <w:tcW w:w="840" w:type="dxa"/>
            <w:vAlign w:val="bottom"/>
            <w:vMerge w:val="restart"/>
          </w:tcPr>
          <w:p>
            <w:pPr>
              <w:jc w:val="right"/>
              <w:spacing w:after="0"/>
              <w:rPr>
                <w:sz w:val="20"/>
                <w:szCs w:val="20"/>
                <w:color w:val="auto"/>
              </w:rPr>
            </w:pPr>
            <w:r>
              <w:rPr>
                <w:rFonts w:ascii="Arial" w:cs="Arial" w:eastAsia="Arial" w:hAnsi="Arial"/>
                <w:sz w:val="11"/>
                <w:szCs w:val="11"/>
                <w:color w:val="auto"/>
              </w:rPr>
              <w:t>1,170,000</w:t>
            </w:r>
          </w:p>
        </w:tc>
        <w:tc>
          <w:tcPr>
            <w:tcW w:w="0" w:type="dxa"/>
            <w:vAlign w:val="bottom"/>
          </w:tcPr>
          <w:p>
            <w:pPr>
              <w:spacing w:after="0"/>
              <w:rPr>
                <w:sz w:val="1"/>
                <w:szCs w:val="1"/>
                <w:color w:val="auto"/>
              </w:rPr>
            </w:pPr>
          </w:p>
        </w:tc>
      </w:tr>
      <w:tr>
        <w:trPr>
          <w:trHeight w:val="158"/>
        </w:trPr>
        <w:tc>
          <w:tcPr>
            <w:tcW w:w="3620" w:type="dxa"/>
            <w:vAlign w:val="bottom"/>
          </w:tcPr>
          <w:p>
            <w:pPr>
              <w:ind w:left="260"/>
              <w:spacing w:after="0"/>
              <w:rPr>
                <w:sz w:val="20"/>
                <w:szCs w:val="20"/>
                <w:color w:val="auto"/>
              </w:rPr>
            </w:pPr>
            <w:r>
              <w:rPr>
                <w:rFonts w:ascii="Arial" w:cs="Arial" w:eastAsia="Arial" w:hAnsi="Arial"/>
                <w:sz w:val="11"/>
                <w:szCs w:val="11"/>
                <w:b w:val="1"/>
                <w:bCs w:val="1"/>
                <w:color w:val="auto"/>
              </w:rPr>
              <w:t>– Research Triangle/Research Triangle</w:t>
            </w:r>
          </w:p>
        </w:tc>
        <w:tc>
          <w:tcPr>
            <w:tcW w:w="78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1060" w:type="dxa"/>
            <w:vAlign w:val="bottom"/>
            <w:vMerge w:val="continue"/>
          </w:tcPr>
          <w:p>
            <w:pPr>
              <w:spacing w:after="0"/>
              <w:rPr>
                <w:sz w:val="13"/>
                <w:szCs w:val="13"/>
                <w:color w:val="auto"/>
              </w:rPr>
            </w:pPr>
          </w:p>
        </w:tc>
        <w:tc>
          <w:tcPr>
            <w:tcW w:w="1260" w:type="dxa"/>
            <w:vAlign w:val="bottom"/>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ectPr>
          <w:pgSz w:w="11900" w:h="16838" w:orient="portrait"/>
          <w:cols w:equalWidth="0" w:num="1">
            <w:col w:w="10760"/>
          </w:cols>
          <w:pgMar w:left="580" w:top="662" w:right="559" w:bottom="0" w:gutter="0" w:footer="0" w:header="0"/>
        </w:sectPr>
      </w:pPr>
    </w:p>
    <w:bookmarkStart w:id="46" w:name="page47"/>
    <w:bookmarkEnd w:id="46"/>
    <w:p>
      <w:pPr>
        <w:spacing w:after="0" w:line="1" w:lineRule="exact"/>
        <w:rPr>
          <w:sz w:val="20"/>
          <w:szCs w:val="20"/>
          <w:color w:val="auto"/>
        </w:rPr>
      </w:pPr>
    </w:p>
    <w:tbl>
      <w:tblPr>
        <w:tblLayout w:type="fixed"/>
        <w:tblInd w:w="186" w:type="dxa"/>
        <w:tblCellMar>
          <w:top w:w="0" w:type="dxa"/>
          <w:left w:w="0" w:type="dxa"/>
          <w:bottom w:w="0" w:type="dxa"/>
          <w:right w:w="0" w:type="dxa"/>
        </w:tblCellMar>
      </w:tblPr>
      <w:tr>
        <w:trPr>
          <w:trHeight w:val="126"/>
        </w:trPr>
        <w:tc>
          <w:tcPr>
            <w:tcW w:w="3540" w:type="dxa"/>
            <w:vAlign w:val="bottom"/>
          </w:tcPr>
          <w:p>
            <w:pPr>
              <w:ind w:left="60"/>
              <w:spacing w:after="0"/>
              <w:rPr>
                <w:sz w:val="20"/>
                <w:szCs w:val="20"/>
                <w:color w:val="auto"/>
              </w:rPr>
            </w:pPr>
            <w:r>
              <w:rPr>
                <w:rFonts w:ascii="Arial" w:cs="Arial" w:eastAsia="Arial" w:hAnsi="Arial"/>
                <w:sz w:val="11"/>
                <w:szCs w:val="11"/>
                <w:i w:val="1"/>
                <w:iCs w:val="1"/>
                <w:color w:val="auto"/>
              </w:rPr>
              <w:t>4 and 12 Davis Drive</w:t>
            </w:r>
          </w:p>
        </w:tc>
        <w:tc>
          <w:tcPr>
            <w:tcW w:w="6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3540" w:type="dxa"/>
            <w:vAlign w:val="bottom"/>
          </w:tcPr>
          <w:p>
            <w:pPr>
              <w:spacing w:after="0" w:line="66" w:lineRule="exact"/>
              <w:rPr>
                <w:sz w:val="20"/>
                <w:szCs w:val="20"/>
                <w:color w:val="auto"/>
              </w:rPr>
            </w:pPr>
            <w:r>
              <w:rPr>
                <w:rFonts w:ascii="Arial" w:cs="Arial" w:eastAsia="Arial" w:hAnsi="Arial"/>
                <w:sz w:val="6"/>
                <w:szCs w:val="6"/>
                <w:b w:val="1"/>
                <w:bCs w:val="1"/>
                <w:color w:val="auto"/>
              </w:rPr>
              <w:t>Mega Campus: Alexandria Center</w:t>
            </w:r>
            <w:r>
              <w:rPr>
                <w:rFonts w:ascii="Arial" w:cs="Arial" w:eastAsia="Arial" w:hAnsi="Arial"/>
                <w:sz w:val="7"/>
                <w:szCs w:val="7"/>
                <w:b w:val="1"/>
                <w:bCs w:val="1"/>
                <w:color w:val="auto"/>
                <w:vertAlign w:val="superscript"/>
              </w:rPr>
              <w:t>®</w:t>
            </w:r>
            <w:r>
              <w:rPr>
                <w:rFonts w:ascii="Arial" w:cs="Arial" w:eastAsia="Arial" w:hAnsi="Arial"/>
                <w:sz w:val="6"/>
                <w:szCs w:val="6"/>
                <w:b w:val="1"/>
                <w:bCs w:val="1"/>
                <w:color w:val="auto"/>
              </w:rPr>
              <w:t xml:space="preserve"> for Life Science – Durham/</w:t>
            </w:r>
          </w:p>
        </w:tc>
        <w:tc>
          <w:tcPr>
            <w:tcW w:w="640" w:type="dxa"/>
            <w:vAlign w:val="bottom"/>
            <w:vMerge w:val="restart"/>
          </w:tcPr>
          <w:p>
            <w:pPr>
              <w:jc w:val="right"/>
              <w:ind w:right="103"/>
              <w:spacing w:after="0"/>
              <w:rPr>
                <w:sz w:val="20"/>
                <w:szCs w:val="20"/>
                <w:color w:val="auto"/>
              </w:rPr>
            </w:pPr>
            <w:r>
              <w:rPr>
                <w:rFonts w:ascii="Arial" w:cs="Arial" w:eastAsia="Arial" w:hAnsi="Arial"/>
                <w:sz w:val="11"/>
                <w:szCs w:val="11"/>
                <w:color w:val="auto"/>
              </w:rPr>
              <w:t>100%</w:t>
            </w:r>
          </w:p>
        </w:tc>
        <w:tc>
          <w:tcPr>
            <w:tcW w:w="1040" w:type="dxa"/>
            <w:vAlign w:val="bottom"/>
            <w:vMerge w:val="restart"/>
          </w:tcPr>
          <w:p>
            <w:pPr>
              <w:jc w:val="right"/>
              <w:ind w:right="183"/>
              <w:spacing w:after="0"/>
              <w:rPr>
                <w:sz w:val="20"/>
                <w:szCs w:val="20"/>
                <w:color w:val="auto"/>
              </w:rPr>
            </w:pPr>
            <w:r>
              <w:rPr>
                <w:rFonts w:ascii="Arial" w:cs="Arial" w:eastAsia="Arial" w:hAnsi="Arial"/>
                <w:sz w:val="11"/>
                <w:szCs w:val="11"/>
                <w:color w:val="auto"/>
              </w:rPr>
              <w:t>174,404</w:t>
            </w:r>
          </w:p>
        </w:tc>
        <w:tc>
          <w:tcPr>
            <w:tcW w:w="136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3540" w:type="dxa"/>
            <w:vAlign w:val="bottom"/>
          </w:tcPr>
          <w:p>
            <w:pPr>
              <w:ind w:left="140"/>
              <w:spacing w:after="0"/>
              <w:rPr>
                <w:sz w:val="20"/>
                <w:szCs w:val="20"/>
                <w:color w:val="auto"/>
              </w:rPr>
            </w:pPr>
            <w:r>
              <w:rPr>
                <w:rFonts w:ascii="Arial" w:cs="Arial" w:eastAsia="Arial" w:hAnsi="Arial"/>
                <w:sz w:val="11"/>
                <w:szCs w:val="11"/>
                <w:b w:val="1"/>
                <w:bCs w:val="1"/>
                <w:color w:val="auto"/>
              </w:rPr>
              <w:t>Research Triangle</w:t>
            </w:r>
          </w:p>
        </w:tc>
        <w:tc>
          <w:tcPr>
            <w:tcW w:w="640" w:type="dxa"/>
            <w:vAlign w:val="bottom"/>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1360" w:type="dxa"/>
            <w:vAlign w:val="bottom"/>
            <w:tcBorders>
              <w:bottom w:val="single" w:sz="8" w:color="auto"/>
            </w:tcBorders>
          </w:tcPr>
          <w:p>
            <w:pPr>
              <w:ind w:left="760"/>
              <w:spacing w:after="0"/>
              <w:rPr>
                <w:sz w:val="20"/>
                <w:szCs w:val="20"/>
                <w:color w:val="auto"/>
              </w:rPr>
            </w:pPr>
            <w:r>
              <w:rPr>
                <w:rFonts w:ascii="Arial" w:cs="Arial" w:eastAsia="Arial" w:hAnsi="Arial"/>
                <w:sz w:val="11"/>
                <w:szCs w:val="11"/>
                <w:color w:val="auto"/>
              </w:rPr>
              <w:t>—</w:t>
            </w:r>
          </w:p>
        </w:tc>
        <w:tc>
          <w:tcPr>
            <w:tcW w:w="800" w:type="dxa"/>
            <w:vAlign w:val="bottom"/>
            <w:tcBorders>
              <w:bottom w:val="single" w:sz="8" w:color="auto"/>
            </w:tcBorders>
            <w:gridSpan w:val="2"/>
          </w:tcPr>
          <w:p>
            <w:pPr>
              <w:ind w:left="480"/>
              <w:spacing w:after="0"/>
              <w:rPr>
                <w:sz w:val="20"/>
                <w:szCs w:val="20"/>
                <w:color w:val="auto"/>
              </w:rPr>
            </w:pPr>
            <w:r>
              <w:rPr>
                <w:rFonts w:ascii="Arial" w:cs="Arial" w:eastAsia="Arial" w:hAnsi="Arial"/>
                <w:sz w:val="11"/>
                <w:szCs w:val="11"/>
                <w:color w:val="auto"/>
              </w:rPr>
              <w:t>—</w:t>
            </w:r>
          </w:p>
        </w:tc>
        <w:tc>
          <w:tcPr>
            <w:tcW w:w="1220" w:type="dxa"/>
            <w:vAlign w:val="bottom"/>
            <w:tcBorders>
              <w:bottom w:val="single" w:sz="8" w:color="auto"/>
            </w:tcBorders>
          </w:tcPr>
          <w:p>
            <w:pPr>
              <w:ind w:left="800"/>
              <w:spacing w:after="0"/>
              <w:rPr>
                <w:sz w:val="20"/>
                <w:szCs w:val="20"/>
                <w:color w:val="auto"/>
              </w:rPr>
            </w:pPr>
            <w:r>
              <w:rPr>
                <w:rFonts w:ascii="Arial" w:cs="Arial" w:eastAsia="Arial" w:hAnsi="Arial"/>
                <w:sz w:val="11"/>
                <w:szCs w:val="11"/>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2,210,000</w:t>
            </w:r>
          </w:p>
        </w:tc>
        <w:tc>
          <w:tcPr>
            <w:tcW w:w="1120" w:type="dxa"/>
            <w:vAlign w:val="bottom"/>
          </w:tcPr>
          <w:p>
            <w:pPr>
              <w:jc w:val="right"/>
              <w:ind w:right="3"/>
              <w:spacing w:after="0"/>
              <w:rPr>
                <w:sz w:val="20"/>
                <w:szCs w:val="20"/>
                <w:color w:val="auto"/>
              </w:rPr>
            </w:pPr>
            <w:r>
              <w:rPr>
                <w:rFonts w:ascii="Arial" w:cs="Arial" w:eastAsia="Arial" w:hAnsi="Arial"/>
                <w:sz w:val="11"/>
                <w:szCs w:val="11"/>
                <w:color w:val="auto"/>
              </w:rPr>
              <w:t>2,210,000</w:t>
            </w:r>
          </w:p>
        </w:tc>
        <w:tc>
          <w:tcPr>
            <w:tcW w:w="0" w:type="dxa"/>
            <w:vAlign w:val="bottom"/>
          </w:tcPr>
          <w:p>
            <w:pPr>
              <w:spacing w:after="0"/>
              <w:rPr>
                <w:sz w:val="1"/>
                <w:szCs w:val="1"/>
                <w:color w:val="auto"/>
              </w:rPr>
            </w:pPr>
          </w:p>
        </w:tc>
      </w:tr>
      <w:tr>
        <w:trPr>
          <w:trHeight w:val="148"/>
        </w:trPr>
        <w:tc>
          <w:tcPr>
            <w:tcW w:w="3540" w:type="dxa"/>
            <w:vAlign w:val="bottom"/>
          </w:tcPr>
          <w:p>
            <w:pPr>
              <w:ind w:left="60"/>
              <w:spacing w:after="0"/>
              <w:rPr>
                <w:sz w:val="20"/>
                <w:szCs w:val="20"/>
                <w:color w:val="auto"/>
              </w:rPr>
            </w:pPr>
            <w:r>
              <w:rPr>
                <w:rFonts w:ascii="Arial" w:cs="Arial" w:eastAsia="Arial" w:hAnsi="Arial"/>
                <w:sz w:val="11"/>
                <w:szCs w:val="11"/>
                <w:i w:val="1"/>
                <w:iCs w:val="1"/>
                <w:color w:val="auto"/>
              </w:rPr>
              <w:t>41 Moore Drive</w:t>
            </w:r>
          </w:p>
        </w:tc>
        <w:tc>
          <w:tcPr>
            <w:tcW w:w="6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3540" w:type="dxa"/>
            <w:vAlign w:val="bottom"/>
          </w:tcPr>
          <w:p>
            <w:pPr>
              <w:spacing w:after="0" w:line="116" w:lineRule="exact"/>
              <w:rPr>
                <w:sz w:val="20"/>
                <w:szCs w:val="20"/>
                <w:color w:val="auto"/>
              </w:rPr>
            </w:pPr>
            <w:r>
              <w:rPr>
                <w:rFonts w:ascii="Arial" w:cs="Arial" w:eastAsia="Arial" w:hAnsi="Arial"/>
                <w:sz w:val="11"/>
                <w:szCs w:val="11"/>
                <w:b w:val="1"/>
                <w:bCs w:val="1"/>
                <w:color w:val="auto"/>
              </w:rPr>
              <w:t>Mega Campus: Alexandria Center</w:t>
            </w:r>
            <w:r>
              <w:rPr>
                <w:rFonts w:ascii="Arial" w:cs="Arial" w:eastAsia="Arial" w:hAnsi="Arial"/>
                <w:sz w:val="13"/>
                <w:szCs w:val="13"/>
                <w:b w:val="1"/>
                <w:bCs w:val="1"/>
                <w:color w:val="auto"/>
                <w:vertAlign w:val="superscript"/>
              </w:rPr>
              <w:t>®</w:t>
            </w:r>
            <w:r>
              <w:rPr>
                <w:rFonts w:ascii="Arial" w:cs="Arial" w:eastAsia="Arial" w:hAnsi="Arial"/>
                <w:sz w:val="11"/>
                <w:szCs w:val="11"/>
                <w:b w:val="1"/>
                <w:bCs w:val="1"/>
                <w:color w:val="auto"/>
              </w:rPr>
              <w:t xml:space="preserve"> for NextGen Medicines/</w:t>
            </w:r>
          </w:p>
        </w:tc>
        <w:tc>
          <w:tcPr>
            <w:tcW w:w="640" w:type="dxa"/>
            <w:vAlign w:val="bottom"/>
            <w:vMerge w:val="restart"/>
          </w:tcPr>
          <w:p>
            <w:pPr>
              <w:jc w:val="right"/>
              <w:ind w:right="103"/>
              <w:spacing w:after="0"/>
              <w:rPr>
                <w:sz w:val="20"/>
                <w:szCs w:val="20"/>
                <w:color w:val="auto"/>
              </w:rPr>
            </w:pPr>
            <w:r>
              <w:rPr>
                <w:rFonts w:ascii="Arial" w:cs="Arial" w:eastAsia="Arial" w:hAnsi="Arial"/>
                <w:sz w:val="11"/>
                <w:szCs w:val="11"/>
                <w:color w:val="auto"/>
              </w:rPr>
              <w:t>100%</w:t>
            </w:r>
          </w:p>
        </w:tc>
        <w:tc>
          <w:tcPr>
            <w:tcW w:w="1040" w:type="dxa"/>
            <w:vAlign w:val="bottom"/>
            <w:vMerge w:val="restart"/>
          </w:tcPr>
          <w:p>
            <w:pPr>
              <w:jc w:val="right"/>
              <w:ind w:right="183"/>
              <w:spacing w:after="0"/>
              <w:rPr>
                <w:sz w:val="20"/>
                <w:szCs w:val="20"/>
                <w:color w:val="auto"/>
              </w:rPr>
            </w:pPr>
            <w:r>
              <w:rPr>
                <w:rFonts w:ascii="Arial" w:cs="Arial" w:eastAsia="Arial" w:hAnsi="Arial"/>
                <w:sz w:val="11"/>
                <w:szCs w:val="11"/>
                <w:color w:val="auto"/>
              </w:rPr>
              <w:t>$   106,777</w:t>
            </w:r>
          </w:p>
        </w:tc>
        <w:tc>
          <w:tcPr>
            <w:tcW w:w="13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1120" w:type="dxa"/>
            <w:vAlign w:val="bottom"/>
            <w:vMerge w:val="restart"/>
          </w:tcPr>
          <w:p>
            <w:pPr>
              <w:jc w:val="right"/>
              <w:ind w:right="3"/>
              <w:spacing w:after="0"/>
              <w:rPr>
                <w:sz w:val="20"/>
                <w:szCs w:val="20"/>
                <w:color w:val="auto"/>
              </w:rPr>
            </w:pPr>
            <w:r>
              <w:rPr>
                <w:rFonts w:ascii="Arial" w:cs="Arial" w:eastAsia="Arial" w:hAnsi="Arial"/>
                <w:sz w:val="11"/>
                <w:szCs w:val="11"/>
                <w:color w:val="auto"/>
              </w:rPr>
              <w:t>1,055,000</w:t>
            </w:r>
          </w:p>
        </w:tc>
        <w:tc>
          <w:tcPr>
            <w:tcW w:w="0" w:type="dxa"/>
            <w:vAlign w:val="bottom"/>
          </w:tcPr>
          <w:p>
            <w:pPr>
              <w:spacing w:after="0"/>
              <w:rPr>
                <w:sz w:val="1"/>
                <w:szCs w:val="1"/>
                <w:color w:val="auto"/>
              </w:rPr>
            </w:pPr>
          </w:p>
        </w:tc>
      </w:tr>
      <w:tr>
        <w:trPr>
          <w:trHeight w:val="148"/>
        </w:trPr>
        <w:tc>
          <w:tcPr>
            <w:tcW w:w="3540" w:type="dxa"/>
            <w:vAlign w:val="bottom"/>
          </w:tcPr>
          <w:p>
            <w:pPr>
              <w:ind w:left="140"/>
              <w:spacing w:after="0"/>
              <w:rPr>
                <w:sz w:val="20"/>
                <w:szCs w:val="20"/>
                <w:color w:val="auto"/>
              </w:rPr>
            </w:pPr>
            <w:r>
              <w:rPr>
                <w:rFonts w:ascii="Arial" w:cs="Arial" w:eastAsia="Arial" w:hAnsi="Arial"/>
                <w:sz w:val="11"/>
                <w:szCs w:val="11"/>
                <w:b w:val="1"/>
                <w:bCs w:val="1"/>
                <w:color w:val="auto"/>
              </w:rPr>
              <w:t>Research Triangle</w:t>
            </w:r>
          </w:p>
        </w:tc>
        <w:tc>
          <w:tcPr>
            <w:tcW w:w="640" w:type="dxa"/>
            <w:vAlign w:val="bottom"/>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1360" w:type="dxa"/>
            <w:vAlign w:val="bottom"/>
          </w:tcPr>
          <w:p>
            <w:pPr>
              <w:ind w:left="760"/>
              <w:spacing w:after="0"/>
              <w:rPr>
                <w:sz w:val="20"/>
                <w:szCs w:val="20"/>
                <w:color w:val="auto"/>
              </w:rPr>
            </w:pPr>
            <w:r>
              <w:rPr>
                <w:rFonts w:ascii="Arial" w:cs="Arial" w:eastAsia="Arial" w:hAnsi="Arial"/>
                <w:sz w:val="11"/>
                <w:szCs w:val="11"/>
                <w:color w:val="auto"/>
              </w:rPr>
              <w:t>—</w:t>
            </w:r>
          </w:p>
        </w:tc>
        <w:tc>
          <w:tcPr>
            <w:tcW w:w="800" w:type="dxa"/>
            <w:vAlign w:val="bottom"/>
            <w:gridSpan w:val="2"/>
          </w:tcPr>
          <w:p>
            <w:pPr>
              <w:ind w:left="480"/>
              <w:spacing w:after="0"/>
              <w:rPr>
                <w:sz w:val="20"/>
                <w:szCs w:val="20"/>
                <w:color w:val="auto"/>
              </w:rPr>
            </w:pPr>
            <w:r>
              <w:rPr>
                <w:rFonts w:ascii="Arial" w:cs="Arial" w:eastAsia="Arial" w:hAnsi="Arial"/>
                <w:sz w:val="11"/>
                <w:szCs w:val="11"/>
                <w:color w:val="auto"/>
              </w:rPr>
              <w:t>—</w:t>
            </w:r>
          </w:p>
        </w:tc>
        <w:tc>
          <w:tcPr>
            <w:tcW w:w="1220" w:type="dxa"/>
            <w:vAlign w:val="bottom"/>
          </w:tcPr>
          <w:p>
            <w:pPr>
              <w:ind w:left="800"/>
              <w:spacing w:after="0"/>
              <w:rPr>
                <w:sz w:val="20"/>
                <w:szCs w:val="20"/>
                <w:color w:val="auto"/>
              </w:rPr>
            </w:pPr>
            <w:r>
              <w:rPr>
                <w:rFonts w:ascii="Arial" w:cs="Arial" w:eastAsia="Arial" w:hAnsi="Arial"/>
                <w:sz w:val="11"/>
                <w:szCs w:val="11"/>
                <w:color w:val="auto"/>
              </w:rPr>
              <w:t>—</w:t>
            </w:r>
          </w:p>
        </w:tc>
        <w:tc>
          <w:tcPr>
            <w:tcW w:w="860" w:type="dxa"/>
            <w:vAlign w:val="bottom"/>
          </w:tcPr>
          <w:p>
            <w:pPr>
              <w:jc w:val="right"/>
              <w:spacing w:after="0"/>
              <w:rPr>
                <w:sz w:val="20"/>
                <w:szCs w:val="20"/>
                <w:color w:val="auto"/>
              </w:rPr>
            </w:pPr>
            <w:r>
              <w:rPr>
                <w:rFonts w:ascii="Arial" w:cs="Arial" w:eastAsia="Arial" w:hAnsi="Arial"/>
                <w:sz w:val="11"/>
                <w:szCs w:val="11"/>
                <w:color w:val="auto"/>
              </w:rPr>
              <w:t>1,055,000</w:t>
            </w: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-508635</wp:posOffset>
            </wp:positionV>
            <wp:extent cx="7212965" cy="198056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12965" cy="1980565"/>
                    </a:xfrm>
                    <a:prstGeom prst="rect">
                      <a:avLst/>
                    </a:prstGeom>
                    <a:noFill/>
                  </pic:spPr>
                </pic:pic>
              </a:graphicData>
            </a:graphic>
          </wp:anchor>
        </w:drawing>
      </w:r>
    </w:p>
    <w:p>
      <w:pPr>
        <w:ind w:left="246"/>
        <w:spacing w:after="0"/>
        <w:rPr>
          <w:sz w:val="20"/>
          <w:szCs w:val="20"/>
          <w:color w:val="auto"/>
        </w:rPr>
      </w:pPr>
      <w:r>
        <w:rPr>
          <w:rFonts w:ascii="Arial" w:cs="Arial" w:eastAsia="Arial" w:hAnsi="Arial"/>
          <w:sz w:val="11"/>
          <w:szCs w:val="11"/>
          <w:i w:val="1"/>
          <w:iCs w:val="1"/>
          <w:color w:val="auto"/>
        </w:rPr>
        <w:t>3029 East Cornwallis Road</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66"/>
        <w:spacing w:after="0"/>
        <w:rPr>
          <w:sz w:val="20"/>
          <w:szCs w:val="20"/>
          <w:color w:val="auto"/>
        </w:rPr>
      </w:pPr>
      <w:r>
        <w:rPr>
          <w:rFonts w:ascii="Arial" w:cs="Arial" w:eastAsia="Arial" w:hAnsi="Arial"/>
          <w:sz w:val="10"/>
          <w:szCs w:val="10"/>
          <w:color w:val="auto"/>
        </w:rPr>
        <w:t>Refer to “Mega campus” under “Definitions and reconciliations” in Item 2 for additional information.</w:t>
      </w:r>
    </w:p>
    <w:p>
      <w:pPr>
        <w:spacing w:after="0" w:line="132" w:lineRule="exact"/>
        <w:rPr>
          <w:sz w:val="20"/>
          <w:szCs w:val="20"/>
          <w:color w:val="auto"/>
        </w:rPr>
      </w:pPr>
    </w:p>
    <w:p>
      <w:pPr>
        <w:ind w:left="326" w:right="160" w:hanging="267"/>
        <w:spacing w:after="0" w:line="253" w:lineRule="auto"/>
        <w:tabs>
          <w:tab w:leader="none" w:pos="326" w:val="left"/>
        </w:tabs>
        <w:numPr>
          <w:ilvl w:val="0"/>
          <w:numId w:val="92"/>
        </w:numPr>
        <w:rPr>
          <w:rFonts w:ascii="Arial" w:cs="Arial" w:eastAsia="Arial" w:hAnsi="Arial"/>
          <w:sz w:val="10"/>
          <w:szCs w:val="10"/>
          <w:color w:val="auto"/>
        </w:rPr>
      </w:pPr>
      <w:r>
        <w:rPr>
          <w:rFonts w:ascii="Arial" w:cs="Arial" w:eastAsia="Arial" w:hAnsi="Arial"/>
          <w:sz w:val="10"/>
          <w:szCs w:val="10"/>
          <w:color w:val="auto"/>
        </w:rPr>
        <w:t>Represents total square footage upon completion of development or redevelopment of one or more new Class A/A+ properties. Square footage presented includes the RSF of buildings currently in operation at properties that also have future development or redevelopment opportunities. Upon expiration of existing in-place leases, we have the intent to demolish or redevelop the existing property. Refer to “Investments in real estate” under “Definitions and reconciliations” in Item 2 for additional information, including value-creation square feet currently included in rental properties.</w:t>
      </w:r>
    </w:p>
    <w:p>
      <w:pPr>
        <w:ind w:left="326" w:hanging="267"/>
        <w:spacing w:after="0"/>
        <w:tabs>
          <w:tab w:leader="none" w:pos="326" w:val="left"/>
        </w:tabs>
        <w:numPr>
          <w:ilvl w:val="0"/>
          <w:numId w:val="92"/>
        </w:numPr>
        <w:rPr>
          <w:rFonts w:ascii="Arial" w:cs="Arial" w:eastAsia="Arial" w:hAnsi="Arial"/>
          <w:sz w:val="10"/>
          <w:szCs w:val="10"/>
          <w:color w:val="auto"/>
        </w:rPr>
      </w:pPr>
      <w:r>
        <w:rPr>
          <w:rFonts w:ascii="Arial" w:cs="Arial" w:eastAsia="Arial" w:hAnsi="Arial"/>
          <w:sz w:val="10"/>
          <w:szCs w:val="10"/>
          <w:color w:val="auto"/>
        </w:rPr>
        <w:t>We have a 100% interest in 601 and 701 Dexter Avenue North aggregating 414,986 RSF and a 60% interest in the priority anticipated development project at 800 Mercer Street aggregating 869,000 RSF.</w:t>
      </w:r>
    </w:p>
    <w:p>
      <w:pPr>
        <w:spacing w:after="0" w:line="298" w:lineRule="exact"/>
        <w:rPr>
          <w:sz w:val="20"/>
          <w:szCs w:val="20"/>
          <w:color w:val="auto"/>
        </w:rPr>
      </w:pPr>
    </w:p>
    <w:p>
      <w:pPr>
        <w:jc w:val="center"/>
        <w:ind w:right="14"/>
        <w:spacing w:after="0"/>
        <w:rPr>
          <w:sz w:val="20"/>
          <w:szCs w:val="20"/>
          <w:color w:val="auto"/>
        </w:rPr>
      </w:pPr>
      <w:r>
        <w:rPr>
          <w:rFonts w:ascii="Arial" w:cs="Arial" w:eastAsia="Arial" w:hAnsi="Arial"/>
          <w:sz w:val="13"/>
          <w:szCs w:val="13"/>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188595</wp:posOffset>
            </wp:positionV>
            <wp:extent cx="7212965" cy="55841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12965" cy="5584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6"/>
        <w:spacing w:after="0"/>
        <w:rPr>
          <w:sz w:val="20"/>
          <w:szCs w:val="20"/>
          <w:color w:val="auto"/>
        </w:rPr>
      </w:pPr>
      <w:r>
        <w:rPr>
          <w:rFonts w:ascii="Arial" w:cs="Arial" w:eastAsia="Arial" w:hAnsi="Arial"/>
          <w:sz w:val="13"/>
          <w:szCs w:val="13"/>
          <w:u w:val="single" w:color="auto"/>
          <w:color w:val="auto"/>
        </w:rPr>
        <w:t>New Class A/A+ development and redevelopment properties: summary of pipeline (continued)</w:t>
      </w:r>
    </w:p>
    <w:p>
      <w:pPr>
        <w:spacing w:after="0" w:line="164" w:lineRule="exact"/>
        <w:rPr>
          <w:sz w:val="20"/>
          <w:szCs w:val="20"/>
          <w:color w:val="auto"/>
        </w:rPr>
      </w:pPr>
    </w:p>
    <w:tbl>
      <w:tblPr>
        <w:tblLayout w:type="fixed"/>
        <w:tblInd w:w="26" w:type="dxa"/>
        <w:tblCellMar>
          <w:top w:w="0" w:type="dxa"/>
          <w:left w:w="0" w:type="dxa"/>
          <w:bottom w:w="0" w:type="dxa"/>
          <w:right w:w="0" w:type="dxa"/>
        </w:tblCellMar>
      </w:tblPr>
      <w:tr>
        <w:trPr>
          <w:trHeight w:val="148"/>
        </w:trPr>
        <w:tc>
          <w:tcPr>
            <w:tcW w:w="3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2"/>
          </w:tcPr>
          <w:p>
            <w:pPr>
              <w:ind w:left="80"/>
              <w:spacing w:after="0"/>
              <w:rPr>
                <w:sz w:val="20"/>
                <w:szCs w:val="20"/>
                <w:color w:val="auto"/>
              </w:rPr>
            </w:pPr>
            <w:r>
              <w:rPr>
                <w:rFonts w:ascii="Arial" w:cs="Arial" w:eastAsia="Arial" w:hAnsi="Arial"/>
                <w:sz w:val="11"/>
                <w:szCs w:val="11"/>
                <w:b w:val="1"/>
                <w:bCs w:val="1"/>
                <w:color w:val="auto"/>
              </w:rPr>
              <w:t>Square Footage</w:t>
            </w:r>
          </w:p>
        </w:tc>
        <w:tc>
          <w:tcPr>
            <w:tcW w:w="9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3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240" w:type="dxa"/>
            <w:vAlign w:val="bottom"/>
            <w:tcBorders>
              <w:bottom w:val="single" w:sz="8" w:color="auto"/>
            </w:tcBorders>
            <w:gridSpan w:val="4"/>
          </w:tcPr>
          <w:p>
            <w:pPr>
              <w:ind w:left="140"/>
              <w:spacing w:after="0"/>
              <w:rPr>
                <w:sz w:val="20"/>
                <w:szCs w:val="20"/>
                <w:color w:val="auto"/>
              </w:rPr>
            </w:pPr>
            <w:r>
              <w:rPr>
                <w:rFonts w:ascii="Arial" w:cs="Arial" w:eastAsia="Arial" w:hAnsi="Arial"/>
                <w:sz w:val="11"/>
                <w:szCs w:val="11"/>
                <w:b w:val="1"/>
                <w:bCs w:val="1"/>
                <w:color w:val="auto"/>
              </w:rPr>
              <w:t>Development and Redevelopment</w:t>
            </w:r>
          </w:p>
        </w:tc>
        <w:tc>
          <w:tcPr>
            <w:tcW w:w="94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3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160" w:type="dxa"/>
            <w:vAlign w:val="bottom"/>
            <w:gridSpan w:val="4"/>
          </w:tcPr>
          <w:p>
            <w:pPr>
              <w:ind w:left="400"/>
              <w:spacing w:after="0"/>
              <w:rPr>
                <w:sz w:val="20"/>
                <w:szCs w:val="20"/>
                <w:color w:val="auto"/>
              </w:rPr>
            </w:pPr>
            <w:r>
              <w:rPr>
                <w:rFonts w:ascii="Arial" w:cs="Arial" w:eastAsia="Arial" w:hAnsi="Arial"/>
                <w:sz w:val="11"/>
                <w:szCs w:val="11"/>
                <w:b w:val="1"/>
                <w:bCs w:val="1"/>
                <w:color w:val="auto"/>
              </w:rPr>
              <w:t>Active and Near-Term</w:t>
            </w:r>
          </w:p>
        </w:tc>
        <w:tc>
          <w:tcPr>
            <w:tcW w:w="2080" w:type="dxa"/>
            <w:vAlign w:val="bottom"/>
            <w:gridSpan w:val="3"/>
          </w:tcPr>
          <w:p>
            <w:pPr>
              <w:ind w:left="180"/>
              <w:spacing w:after="0"/>
              <w:rPr>
                <w:sz w:val="20"/>
                <w:szCs w:val="20"/>
                <w:color w:val="auto"/>
              </w:rPr>
            </w:pPr>
            <w:r>
              <w:rPr>
                <w:rFonts w:ascii="Arial" w:cs="Arial" w:eastAsia="Arial" w:hAnsi="Arial"/>
                <w:sz w:val="11"/>
                <w:szCs w:val="11"/>
                <w:b w:val="1"/>
                <w:bCs w:val="1"/>
                <w:color w:val="auto"/>
              </w:rPr>
              <w:t>Future Opportunities Subject to</w:t>
            </w: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3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2"/>
            <w:vMerge w:val="restart"/>
          </w:tcPr>
          <w:p>
            <w:pPr>
              <w:jc w:val="center"/>
              <w:ind w:right="60"/>
              <w:spacing w:after="0"/>
              <w:rPr>
                <w:sz w:val="20"/>
                <w:szCs w:val="20"/>
                <w:color w:val="auto"/>
              </w:rPr>
            </w:pPr>
            <w:r>
              <w:rPr>
                <w:rFonts w:ascii="Arial" w:cs="Arial" w:eastAsia="Arial" w:hAnsi="Arial"/>
                <w:sz w:val="11"/>
                <w:szCs w:val="11"/>
                <w:b w:val="1"/>
                <w:bCs w:val="1"/>
                <w:color w:val="auto"/>
              </w:rPr>
              <w:t>Our</w:t>
            </w: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0" w:type="dxa"/>
            <w:vAlign w:val="bottom"/>
            <w:tcBorders>
              <w:bottom w:val="single" w:sz="8" w:color="auto"/>
            </w:tcBorders>
            <w:gridSpan w:val="3"/>
          </w:tcPr>
          <w:p>
            <w:pPr>
              <w:jc w:val="right"/>
              <w:ind w:right="583"/>
              <w:spacing w:after="0"/>
              <w:rPr>
                <w:sz w:val="20"/>
                <w:szCs w:val="20"/>
                <w:color w:val="auto"/>
              </w:rPr>
            </w:pPr>
            <w:r>
              <w:rPr>
                <w:rFonts w:ascii="Arial" w:cs="Arial" w:eastAsia="Arial" w:hAnsi="Arial"/>
                <w:sz w:val="11"/>
                <w:szCs w:val="11"/>
                <w:b w:val="1"/>
                <w:bCs w:val="1"/>
                <w:color w:val="auto"/>
              </w:rPr>
              <w:t>Construction</w:t>
            </w:r>
          </w:p>
        </w:tc>
        <w:tc>
          <w:tcPr>
            <w:tcW w:w="160" w:type="dxa"/>
            <w:vAlign w:val="bottom"/>
          </w:tcPr>
          <w:p>
            <w:pPr>
              <w:spacing w:after="0"/>
              <w:rPr>
                <w:sz w:val="12"/>
                <w:szCs w:val="12"/>
                <w:color w:val="auto"/>
              </w:rPr>
            </w:pPr>
          </w:p>
        </w:tc>
        <w:tc>
          <w:tcPr>
            <w:tcW w:w="2080" w:type="dxa"/>
            <w:vAlign w:val="bottom"/>
            <w:tcBorders>
              <w:bottom w:val="single" w:sz="8" w:color="auto"/>
            </w:tcBorders>
            <w:gridSpan w:val="3"/>
          </w:tcPr>
          <w:p>
            <w:pPr>
              <w:ind w:left="200"/>
              <w:spacing w:after="0"/>
              <w:rPr>
                <w:sz w:val="20"/>
                <w:szCs w:val="20"/>
                <w:color w:val="auto"/>
              </w:rPr>
            </w:pPr>
            <w:r>
              <w:rPr>
                <w:rFonts w:ascii="Arial" w:cs="Arial" w:eastAsia="Arial" w:hAnsi="Arial"/>
                <w:sz w:val="11"/>
                <w:szCs w:val="11"/>
                <w:b w:val="1"/>
                <w:bCs w:val="1"/>
                <w:color w:val="auto"/>
              </w:rPr>
              <w:t>Market Conditions and Leasing</w:t>
            </w: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372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Market</w:t>
            </w:r>
          </w:p>
        </w:tc>
        <w:tc>
          <w:tcPr>
            <w:tcW w:w="74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gridSpan w:val="2"/>
            <w:vMerge w:val="restart"/>
          </w:tcPr>
          <w:p>
            <w:pPr>
              <w:ind w:left="300"/>
              <w:spacing w:after="0"/>
              <w:rPr>
                <w:sz w:val="20"/>
                <w:szCs w:val="20"/>
                <w:color w:val="auto"/>
              </w:rPr>
            </w:pPr>
            <w:r>
              <w:rPr>
                <w:rFonts w:ascii="Arial" w:cs="Arial" w:eastAsia="Arial" w:hAnsi="Arial"/>
                <w:sz w:val="11"/>
                <w:szCs w:val="11"/>
                <w:b w:val="1"/>
                <w:bCs w:val="1"/>
                <w:color w:val="auto"/>
              </w:rPr>
              <w:t>Under</w:t>
            </w:r>
          </w:p>
        </w:tc>
        <w:tc>
          <w:tcPr>
            <w:tcW w:w="110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Committed</w:t>
            </w:r>
          </w:p>
        </w:tc>
        <w:tc>
          <w:tcPr>
            <w:tcW w:w="1140" w:type="dxa"/>
            <w:vAlign w:val="bottom"/>
            <w:gridSpan w:val="2"/>
            <w:vMerge w:val="restart"/>
          </w:tcPr>
          <w:p>
            <w:pPr>
              <w:ind w:left="280"/>
              <w:spacing w:after="0"/>
              <w:rPr>
                <w:sz w:val="20"/>
                <w:szCs w:val="20"/>
                <w:color w:val="auto"/>
              </w:rPr>
            </w:pPr>
            <w:r>
              <w:rPr>
                <w:rFonts w:ascii="Arial" w:cs="Arial" w:eastAsia="Arial" w:hAnsi="Arial"/>
                <w:sz w:val="11"/>
                <w:szCs w:val="11"/>
                <w:b w:val="1"/>
                <w:bCs w:val="1"/>
                <w:color w:val="auto"/>
              </w:rPr>
              <w:t>Priority</w:t>
            </w: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3720" w:type="dxa"/>
            <w:vAlign w:val="bottom"/>
            <w:gridSpan w:val="2"/>
            <w:vMerge w:val="continue"/>
          </w:tcPr>
          <w:p>
            <w:pPr>
              <w:spacing w:after="0"/>
              <w:rPr>
                <w:sz w:val="9"/>
                <w:szCs w:val="9"/>
                <w:color w:val="auto"/>
              </w:rPr>
            </w:pPr>
          </w:p>
        </w:tc>
        <w:tc>
          <w:tcPr>
            <w:tcW w:w="740" w:type="dxa"/>
            <w:vAlign w:val="bottom"/>
            <w:gridSpan w:val="2"/>
          </w:tcPr>
          <w:p>
            <w:pPr>
              <w:jc w:val="center"/>
              <w:ind w:right="40"/>
              <w:spacing w:after="0" w:line="110" w:lineRule="exact"/>
              <w:rPr>
                <w:sz w:val="20"/>
                <w:szCs w:val="20"/>
                <w:color w:val="auto"/>
              </w:rPr>
            </w:pPr>
            <w:r>
              <w:rPr>
                <w:rFonts w:ascii="Arial" w:cs="Arial" w:eastAsia="Arial" w:hAnsi="Arial"/>
                <w:sz w:val="11"/>
                <w:szCs w:val="11"/>
                <w:b w:val="1"/>
                <w:bCs w:val="1"/>
                <w:color w:val="auto"/>
              </w:rPr>
              <w:t>Ownership</w:t>
            </w:r>
          </w:p>
        </w:tc>
        <w:tc>
          <w:tcPr>
            <w:tcW w:w="7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Book Value</w:t>
            </w:r>
          </w:p>
        </w:tc>
        <w:tc>
          <w:tcPr>
            <w:tcW w:w="200" w:type="dxa"/>
            <w:vAlign w:val="bottom"/>
            <w:vMerge w:val="restart"/>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940" w:type="dxa"/>
            <w:vAlign w:val="bottom"/>
            <w:vMerge w:val="restart"/>
          </w:tcPr>
          <w:p>
            <w:pPr>
              <w:jc w:val="right"/>
              <w:ind w:right="243"/>
              <w:spacing w:after="0"/>
              <w:rPr>
                <w:sz w:val="20"/>
                <w:szCs w:val="20"/>
                <w:color w:val="auto"/>
              </w:rPr>
            </w:pPr>
            <w:r>
              <w:rPr>
                <w:rFonts w:ascii="Arial" w:cs="Arial" w:eastAsia="Arial" w:hAnsi="Arial"/>
                <w:sz w:val="11"/>
                <w:szCs w:val="11"/>
                <w:b w:val="1"/>
                <w:bCs w:val="1"/>
                <w:color w:val="auto"/>
              </w:rPr>
              <w:t>Future</w:t>
            </w:r>
          </w:p>
        </w:tc>
        <w:tc>
          <w:tcPr>
            <w:tcW w:w="180" w:type="dxa"/>
            <w:vAlign w:val="bottom"/>
          </w:tcPr>
          <w:p>
            <w:pPr>
              <w:spacing w:after="0"/>
              <w:rPr>
                <w:sz w:val="9"/>
                <w:szCs w:val="9"/>
                <w:color w:val="auto"/>
              </w:rPr>
            </w:pPr>
          </w:p>
        </w:tc>
        <w:tc>
          <w:tcPr>
            <w:tcW w:w="940" w:type="dxa"/>
            <w:vAlign w:val="bottom"/>
            <w:vMerge w:val="restart"/>
          </w:tcPr>
          <w:p>
            <w:pPr>
              <w:jc w:val="right"/>
              <w:ind w:right="223"/>
              <w:spacing w:after="0"/>
              <w:rPr>
                <w:sz w:val="20"/>
                <w:szCs w:val="20"/>
                <w:color w:val="auto"/>
              </w:rPr>
            </w:pPr>
            <w:r>
              <w:rPr>
                <w:rFonts w:ascii="Arial" w:cs="Arial" w:eastAsia="Arial" w:hAnsi="Arial"/>
                <w:sz w:val="11"/>
                <w:szCs w:val="11"/>
                <w:b w:val="1"/>
                <w:bCs w:val="1"/>
                <w:color w:val="auto"/>
              </w:rPr>
              <w:t>Total</w:t>
            </w:r>
            <w:r>
              <w:rPr>
                <w:rFonts w:ascii="Arial" w:cs="Arial" w:eastAsia="Arial" w:hAnsi="Arial"/>
                <w:sz w:val="14"/>
                <w:szCs w:val="14"/>
                <w:b w:val="1"/>
                <w:bCs w:val="1"/>
                <w:color w:val="auto"/>
                <w:vertAlign w:val="superscript"/>
              </w:rPr>
              <w:t>(1)</w:t>
            </w:r>
          </w:p>
        </w:tc>
        <w:tc>
          <w:tcPr>
            <w:tcW w:w="0" w:type="dxa"/>
            <w:vAlign w:val="bottom"/>
          </w:tcPr>
          <w:p>
            <w:pPr>
              <w:spacing w:after="0"/>
              <w:rPr>
                <w:sz w:val="1"/>
                <w:szCs w:val="1"/>
                <w:color w:val="auto"/>
              </w:rPr>
            </w:pPr>
          </w:p>
        </w:tc>
      </w:tr>
      <w:tr>
        <w:trPr>
          <w:trHeight w:val="148"/>
        </w:trPr>
        <w:tc>
          <w:tcPr>
            <w:tcW w:w="3680" w:type="dxa"/>
            <w:vAlign w:val="bottom"/>
            <w:tcBorders>
              <w:bottom w:val="single" w:sz="8" w:color="auto"/>
            </w:tcBorders>
          </w:tcPr>
          <w:p>
            <w:pPr>
              <w:ind w:left="160"/>
              <w:spacing w:after="0"/>
              <w:rPr>
                <w:sz w:val="20"/>
                <w:szCs w:val="20"/>
                <w:color w:val="auto"/>
              </w:rPr>
            </w:pPr>
            <w:r>
              <w:rPr>
                <w:rFonts w:ascii="Arial" w:cs="Arial" w:eastAsia="Arial" w:hAnsi="Arial"/>
                <w:sz w:val="11"/>
                <w:szCs w:val="11"/>
                <w:b w:val="1"/>
                <w:bCs w:val="1"/>
                <w:color w:val="auto"/>
              </w:rPr>
              <w:t>Property/Submarket</w:t>
            </w:r>
          </w:p>
        </w:tc>
        <w:tc>
          <w:tcPr>
            <w:tcW w:w="4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Interest</w:t>
            </w:r>
          </w:p>
        </w:tc>
        <w:tc>
          <w:tcPr>
            <w:tcW w:w="60" w:type="dxa"/>
            <w:vAlign w:val="bottom"/>
            <w:tcBorders>
              <w:bottom w:val="single" w:sz="8" w:color="CCEEFF"/>
            </w:tcBorders>
          </w:tcPr>
          <w:p>
            <w:pPr>
              <w:spacing w:after="0"/>
              <w:rPr>
                <w:sz w:val="12"/>
                <w:szCs w:val="12"/>
                <w:color w:val="auto"/>
              </w:rPr>
            </w:pPr>
          </w:p>
        </w:tc>
        <w:tc>
          <w:tcPr>
            <w:tcW w:w="720" w:type="dxa"/>
            <w:vAlign w:val="bottom"/>
            <w:tcBorders>
              <w:bottom w:val="single" w:sz="8" w:color="auto"/>
            </w:tcBorders>
            <w:gridSpan w:val="2"/>
            <w:vMerge w:val="continue"/>
          </w:tcPr>
          <w:p>
            <w:pPr>
              <w:spacing w:after="0"/>
              <w:rPr>
                <w:sz w:val="12"/>
                <w:szCs w:val="12"/>
                <w:color w:val="auto"/>
              </w:rPr>
            </w:pPr>
          </w:p>
        </w:tc>
        <w:tc>
          <w:tcPr>
            <w:tcW w:w="200" w:type="dxa"/>
            <w:vAlign w:val="bottom"/>
            <w:tcBorders>
              <w:bottom w:val="single" w:sz="8" w:color="CCEEFF"/>
            </w:tcBorders>
            <w:vMerge w:val="continue"/>
          </w:tcPr>
          <w:p>
            <w:pPr>
              <w:spacing w:after="0"/>
              <w:rPr>
                <w:sz w:val="12"/>
                <w:szCs w:val="12"/>
                <w:color w:val="auto"/>
              </w:rPr>
            </w:pPr>
          </w:p>
        </w:tc>
        <w:tc>
          <w:tcPr>
            <w:tcW w:w="94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b w:val="1"/>
                <w:bCs w:val="1"/>
                <w:color w:val="auto"/>
              </w:rPr>
              <w:t>Construction</w:t>
            </w:r>
          </w:p>
        </w:tc>
        <w:tc>
          <w:tcPr>
            <w:tcW w:w="12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tcPr>
          <w:p>
            <w:pPr>
              <w:jc w:val="right"/>
              <w:ind w:right="143"/>
              <w:spacing w:after="0"/>
              <w:rPr>
                <w:sz w:val="20"/>
                <w:szCs w:val="20"/>
                <w:color w:val="auto"/>
              </w:rPr>
            </w:pPr>
            <w:r>
              <w:rPr>
                <w:rFonts w:ascii="Arial" w:cs="Arial" w:eastAsia="Arial" w:hAnsi="Arial"/>
                <w:sz w:val="11"/>
                <w:szCs w:val="11"/>
                <w:b w:val="1"/>
                <w:bCs w:val="1"/>
                <w:color w:val="auto"/>
              </w:rPr>
              <w:t>Near Term</w:t>
            </w:r>
          </w:p>
        </w:tc>
        <w:tc>
          <w:tcPr>
            <w:tcW w:w="160" w:type="dxa"/>
            <w:vAlign w:val="bottom"/>
            <w:tcBorders>
              <w:bottom w:val="single" w:sz="8" w:color="CCEEFF"/>
            </w:tcBorders>
          </w:tcPr>
          <w:p>
            <w:pPr>
              <w:spacing w:after="0"/>
              <w:rPr>
                <w:sz w:val="12"/>
                <w:szCs w:val="12"/>
                <w:color w:val="auto"/>
              </w:rPr>
            </w:pPr>
          </w:p>
        </w:tc>
        <w:tc>
          <w:tcPr>
            <w:tcW w:w="960" w:type="dxa"/>
            <w:vAlign w:val="bottom"/>
            <w:tcBorders>
              <w:bottom w:val="single" w:sz="8" w:color="auto"/>
            </w:tcBorders>
          </w:tcPr>
          <w:p>
            <w:pPr>
              <w:ind w:left="180"/>
              <w:spacing w:after="0"/>
              <w:rPr>
                <w:sz w:val="20"/>
                <w:szCs w:val="20"/>
                <w:color w:val="auto"/>
              </w:rPr>
            </w:pPr>
            <w:r>
              <w:rPr>
                <w:rFonts w:ascii="Arial" w:cs="Arial" w:eastAsia="Arial" w:hAnsi="Arial"/>
                <w:sz w:val="11"/>
                <w:szCs w:val="11"/>
                <w:b w:val="1"/>
                <w:bCs w:val="1"/>
                <w:color w:val="auto"/>
              </w:rPr>
              <w:t>Anticipated</w:t>
            </w:r>
          </w:p>
        </w:tc>
        <w:tc>
          <w:tcPr>
            <w:tcW w:w="18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vMerge w:val="continue"/>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3720" w:type="dxa"/>
            <w:vAlign w:val="bottom"/>
            <w:gridSpan w:val="2"/>
            <w:shd w:val="clear" w:color="auto" w:fill="CCEEFF"/>
          </w:tcPr>
          <w:p>
            <w:pPr>
              <w:ind w:left="40"/>
              <w:spacing w:after="0"/>
              <w:rPr>
                <w:sz w:val="20"/>
                <w:szCs w:val="20"/>
                <w:color w:val="auto"/>
              </w:rPr>
            </w:pPr>
            <w:r>
              <w:rPr>
                <w:rFonts w:ascii="Arial" w:cs="Arial" w:eastAsia="Arial" w:hAnsi="Arial"/>
                <w:sz w:val="11"/>
                <w:szCs w:val="11"/>
                <w:color w:val="auto"/>
              </w:rPr>
              <w:t>Research Triangle (continued)</w:t>
            </w: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720" w:type="dxa"/>
            <w:vAlign w:val="bottom"/>
            <w:gridSpan w:val="2"/>
          </w:tcPr>
          <w:p>
            <w:pPr>
              <w:ind w:left="160"/>
              <w:spacing w:after="0" w:line="153" w:lineRule="exact"/>
              <w:rPr>
                <w:sz w:val="20"/>
                <w:szCs w:val="20"/>
                <w:color w:val="auto"/>
              </w:rPr>
            </w:pPr>
            <w:r>
              <w:rPr>
                <w:rFonts w:ascii="Arial" w:cs="Arial" w:eastAsia="Arial" w:hAnsi="Arial"/>
                <w:sz w:val="11"/>
                <w:szCs w:val="11"/>
                <w:b w:val="1"/>
                <w:bCs w:val="1"/>
                <w:color w:val="auto"/>
              </w:rPr>
              <w:t>Mega Campus: Alexandria Center</w:t>
            </w:r>
            <w:r>
              <w:rPr>
                <w:rFonts w:ascii="Arial" w:cs="Arial" w:eastAsia="Arial" w:hAnsi="Arial"/>
                <w:sz w:val="14"/>
                <w:szCs w:val="14"/>
                <w:b w:val="1"/>
                <w:bCs w:val="1"/>
                <w:color w:val="auto"/>
                <w:vertAlign w:val="superscript"/>
              </w:rPr>
              <w:t>®</w:t>
            </w:r>
            <w:r>
              <w:rPr>
                <w:rFonts w:ascii="Arial" w:cs="Arial" w:eastAsia="Arial" w:hAnsi="Arial"/>
                <w:sz w:val="11"/>
                <w:szCs w:val="11"/>
                <w:b w:val="1"/>
                <w:bCs w:val="1"/>
                <w:color w:val="auto"/>
              </w:rPr>
              <w:t xml:space="preserve"> for Sustainable</w:t>
            </w:r>
          </w:p>
        </w:tc>
        <w:tc>
          <w:tcPr>
            <w:tcW w:w="680" w:type="dxa"/>
            <w:vAlign w:val="bottom"/>
            <w:vMerge w:val="restart"/>
          </w:tcPr>
          <w:p>
            <w:pPr>
              <w:jc w:val="right"/>
              <w:ind w:right="163"/>
              <w:spacing w:after="0"/>
              <w:rPr>
                <w:sz w:val="20"/>
                <w:szCs w:val="20"/>
                <w:color w:val="auto"/>
              </w:rPr>
            </w:pPr>
            <w:r>
              <w:rPr>
                <w:rFonts w:ascii="Arial" w:cs="Arial" w:eastAsia="Arial" w:hAnsi="Arial"/>
                <w:sz w:val="11"/>
                <w:szCs w:val="11"/>
                <w:color w:val="auto"/>
              </w:rPr>
              <w:t>100%</w:t>
            </w:r>
          </w:p>
        </w:tc>
        <w:tc>
          <w:tcPr>
            <w:tcW w:w="60" w:type="dxa"/>
            <w:vAlign w:val="bottom"/>
          </w:tcPr>
          <w:p>
            <w:pPr>
              <w:spacing w:after="0"/>
              <w:rPr>
                <w:sz w:val="13"/>
                <w:szCs w:val="13"/>
                <w:color w:val="auto"/>
              </w:rPr>
            </w:pPr>
          </w:p>
        </w:tc>
        <w:tc>
          <w:tcPr>
            <w:tcW w:w="140" w:type="dxa"/>
            <w:vAlign w:val="bottom"/>
            <w:vMerge w:val="restart"/>
          </w:tcPr>
          <w:p>
            <w:pPr>
              <w:ind w:left="40"/>
              <w:spacing w:after="0"/>
              <w:rPr>
                <w:sz w:val="20"/>
                <w:szCs w:val="20"/>
                <w:color w:val="auto"/>
              </w:rPr>
            </w:pPr>
            <w:r>
              <w:rPr>
                <w:rFonts w:ascii="Arial" w:cs="Arial" w:eastAsia="Arial" w:hAnsi="Arial"/>
                <w:sz w:val="11"/>
                <w:szCs w:val="11"/>
                <w:color w:val="auto"/>
              </w:rPr>
              <w:t>$</w:t>
            </w:r>
          </w:p>
        </w:tc>
        <w:tc>
          <w:tcPr>
            <w:tcW w:w="580" w:type="dxa"/>
            <w:vAlign w:val="bottom"/>
            <w:vMerge w:val="restart"/>
          </w:tcPr>
          <w:p>
            <w:pPr>
              <w:jc w:val="right"/>
              <w:spacing w:after="0"/>
              <w:rPr>
                <w:sz w:val="20"/>
                <w:szCs w:val="20"/>
                <w:color w:val="auto"/>
              </w:rPr>
            </w:pPr>
            <w:r>
              <w:rPr>
                <w:rFonts w:ascii="Arial" w:cs="Arial" w:eastAsia="Arial" w:hAnsi="Arial"/>
                <w:sz w:val="11"/>
                <w:szCs w:val="11"/>
                <w:color w:val="auto"/>
              </w:rPr>
              <w:t>52,777</w:t>
            </w:r>
          </w:p>
        </w:tc>
        <w:tc>
          <w:tcPr>
            <w:tcW w:w="200" w:type="dxa"/>
            <w:vAlign w:val="bottom"/>
          </w:tcPr>
          <w:p>
            <w:pPr>
              <w:spacing w:after="0"/>
              <w:rPr>
                <w:sz w:val="13"/>
                <w:szCs w:val="13"/>
                <w:color w:val="auto"/>
              </w:rPr>
            </w:pPr>
          </w:p>
        </w:tc>
        <w:tc>
          <w:tcPr>
            <w:tcW w:w="1060" w:type="dxa"/>
            <w:vAlign w:val="bottom"/>
            <w:gridSpan w:val="2"/>
            <w:vMerge w:val="restart"/>
          </w:tcPr>
          <w:p>
            <w:pPr>
              <w:jc w:val="right"/>
              <w:ind w:right="180"/>
              <w:spacing w:after="0"/>
              <w:rPr>
                <w:sz w:val="20"/>
                <w:szCs w:val="20"/>
                <w:color w:val="auto"/>
              </w:rPr>
            </w:pPr>
            <w:r>
              <w:rPr>
                <w:rFonts w:ascii="Arial" w:cs="Arial" w:eastAsia="Arial" w:hAnsi="Arial"/>
                <w:sz w:val="11"/>
                <w:szCs w:val="11"/>
                <w:color w:val="auto"/>
              </w:rPr>
              <w:t>—</w:t>
            </w: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1"/>
                <w:szCs w:val="11"/>
                <w:color w:val="auto"/>
              </w:rPr>
              <w:t>—</w:t>
            </w:r>
          </w:p>
        </w:tc>
        <w:tc>
          <w:tcPr>
            <w:tcW w:w="1140" w:type="dxa"/>
            <w:vAlign w:val="bottom"/>
            <w:gridSpan w:val="2"/>
            <w:vMerge w:val="restart"/>
          </w:tcPr>
          <w:p>
            <w:pPr>
              <w:jc w:val="right"/>
              <w:ind w:right="220"/>
              <w:spacing w:after="0"/>
              <w:rPr>
                <w:sz w:val="20"/>
                <w:szCs w:val="20"/>
                <w:color w:val="auto"/>
              </w:rPr>
            </w:pPr>
            <w:r>
              <w:rPr>
                <w:rFonts w:ascii="Arial" w:cs="Arial" w:eastAsia="Arial" w:hAnsi="Arial"/>
                <w:sz w:val="11"/>
                <w:szCs w:val="11"/>
                <w:color w:val="auto"/>
              </w:rPr>
              <w:t>—</w:t>
            </w:r>
          </w:p>
        </w:tc>
        <w:tc>
          <w:tcPr>
            <w:tcW w:w="940" w:type="dxa"/>
            <w:vAlign w:val="bottom"/>
            <w:vMerge w:val="restart"/>
          </w:tcPr>
          <w:p>
            <w:pPr>
              <w:jc w:val="right"/>
              <w:spacing w:after="0"/>
              <w:rPr>
                <w:sz w:val="20"/>
                <w:szCs w:val="20"/>
                <w:color w:val="auto"/>
              </w:rPr>
            </w:pPr>
            <w:r>
              <w:rPr>
                <w:rFonts w:ascii="Arial" w:cs="Arial" w:eastAsia="Arial" w:hAnsi="Arial"/>
                <w:sz w:val="11"/>
                <w:szCs w:val="11"/>
                <w:color w:val="auto"/>
              </w:rPr>
              <w:t>750,000</w:t>
            </w:r>
          </w:p>
        </w:tc>
        <w:tc>
          <w:tcPr>
            <w:tcW w:w="1120" w:type="dxa"/>
            <w:vAlign w:val="bottom"/>
            <w:gridSpan w:val="2"/>
            <w:vMerge w:val="restart"/>
          </w:tcPr>
          <w:p>
            <w:pPr>
              <w:jc w:val="right"/>
              <w:ind w:right="3"/>
              <w:spacing w:after="0"/>
              <w:rPr>
                <w:sz w:val="20"/>
                <w:szCs w:val="20"/>
                <w:color w:val="auto"/>
              </w:rPr>
            </w:pPr>
            <w:r>
              <w:rPr>
                <w:rFonts w:ascii="Arial" w:cs="Arial" w:eastAsia="Arial" w:hAnsi="Arial"/>
                <w:sz w:val="11"/>
                <w:szCs w:val="11"/>
                <w:color w:val="auto"/>
              </w:rPr>
              <w:t>750,000</w:t>
            </w:r>
          </w:p>
        </w:tc>
        <w:tc>
          <w:tcPr>
            <w:tcW w:w="0" w:type="dxa"/>
            <w:vAlign w:val="bottom"/>
          </w:tcPr>
          <w:p>
            <w:pPr>
              <w:spacing w:after="0"/>
              <w:rPr>
                <w:sz w:val="1"/>
                <w:szCs w:val="1"/>
                <w:color w:val="auto"/>
              </w:rPr>
            </w:pPr>
          </w:p>
        </w:tc>
      </w:tr>
      <w:tr>
        <w:trPr>
          <w:trHeight w:val="148"/>
        </w:trPr>
        <w:tc>
          <w:tcPr>
            <w:tcW w:w="3720" w:type="dxa"/>
            <w:vAlign w:val="bottom"/>
            <w:gridSpan w:val="2"/>
          </w:tcPr>
          <w:p>
            <w:pPr>
              <w:ind w:left="160"/>
              <w:spacing w:after="0"/>
              <w:rPr>
                <w:sz w:val="20"/>
                <w:szCs w:val="20"/>
                <w:color w:val="auto"/>
              </w:rPr>
            </w:pPr>
            <w:r>
              <w:rPr>
                <w:rFonts w:ascii="Arial" w:cs="Arial" w:eastAsia="Arial" w:hAnsi="Arial"/>
                <w:sz w:val="11"/>
                <w:szCs w:val="11"/>
                <w:b w:val="1"/>
                <w:bCs w:val="1"/>
                <w:color w:val="auto"/>
              </w:rPr>
              <w:t>Technologies/Research Triangle</w:t>
            </w:r>
          </w:p>
        </w:tc>
        <w:tc>
          <w:tcPr>
            <w:tcW w:w="6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720" w:type="dxa"/>
            <w:vAlign w:val="bottom"/>
            <w:gridSpan w:val="2"/>
            <w:shd w:val="clear" w:color="auto" w:fill="CCEEFF"/>
          </w:tcPr>
          <w:p>
            <w:pPr>
              <w:ind w:left="220"/>
              <w:spacing w:after="0"/>
              <w:rPr>
                <w:sz w:val="20"/>
                <w:szCs w:val="20"/>
                <w:color w:val="auto"/>
              </w:rPr>
            </w:pPr>
            <w:r>
              <w:rPr>
                <w:rFonts w:ascii="Arial" w:cs="Arial" w:eastAsia="Arial" w:hAnsi="Arial"/>
                <w:sz w:val="11"/>
                <w:szCs w:val="11"/>
                <w:i w:val="1"/>
                <w:iCs w:val="1"/>
                <w:color w:val="auto"/>
              </w:rPr>
              <w:t>120 TW Alexander Drive, 2752 East NC Highway 54, and 10 South</w:t>
            </w: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3720" w:type="dxa"/>
            <w:vAlign w:val="bottom"/>
            <w:gridSpan w:val="2"/>
            <w:shd w:val="clear" w:color="auto" w:fill="CCEEFF"/>
          </w:tcPr>
          <w:p>
            <w:pPr>
              <w:ind w:left="360"/>
              <w:spacing w:after="0"/>
              <w:rPr>
                <w:sz w:val="20"/>
                <w:szCs w:val="20"/>
                <w:color w:val="auto"/>
              </w:rPr>
            </w:pPr>
            <w:r>
              <w:rPr>
                <w:rFonts w:ascii="Arial" w:cs="Arial" w:eastAsia="Arial" w:hAnsi="Arial"/>
                <w:sz w:val="11"/>
                <w:szCs w:val="11"/>
                <w:i w:val="1"/>
                <w:iCs w:val="1"/>
                <w:color w:val="auto"/>
              </w:rPr>
              <w:t>Triangle Drive</w:t>
            </w: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720" w:type="dxa"/>
            <w:vAlign w:val="bottom"/>
            <w:gridSpan w:val="2"/>
          </w:tcPr>
          <w:p>
            <w:pPr>
              <w:ind w:left="160"/>
              <w:spacing w:after="0"/>
              <w:rPr>
                <w:sz w:val="20"/>
                <w:szCs w:val="20"/>
                <w:color w:val="auto"/>
              </w:rPr>
            </w:pPr>
            <w:r>
              <w:rPr>
                <w:rFonts w:ascii="Arial" w:cs="Arial" w:eastAsia="Arial" w:hAnsi="Arial"/>
                <w:sz w:val="11"/>
                <w:szCs w:val="11"/>
                <w:color w:val="auto"/>
              </w:rPr>
              <w:t>100 Capitola Drive/Research Triangle</w:t>
            </w:r>
          </w:p>
        </w:tc>
        <w:tc>
          <w:tcPr>
            <w:tcW w:w="680" w:type="dxa"/>
            <w:vAlign w:val="bottom"/>
          </w:tcPr>
          <w:p>
            <w:pPr>
              <w:jc w:val="right"/>
              <w:ind w:right="163"/>
              <w:spacing w:after="0"/>
              <w:rPr>
                <w:sz w:val="20"/>
                <w:szCs w:val="20"/>
                <w:color w:val="auto"/>
              </w:rPr>
            </w:pPr>
            <w:r>
              <w:rPr>
                <w:rFonts w:ascii="Arial" w:cs="Arial" w:eastAsia="Arial" w:hAnsi="Arial"/>
                <w:sz w:val="11"/>
                <w:szCs w:val="11"/>
                <w:color w:val="auto"/>
              </w:rPr>
              <w:t>100%</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203"/>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940" w:type="dxa"/>
            <w:vAlign w:val="bottom"/>
          </w:tcPr>
          <w:p>
            <w:pPr>
              <w:jc w:val="right"/>
              <w:spacing w:after="0"/>
              <w:rPr>
                <w:sz w:val="20"/>
                <w:szCs w:val="20"/>
                <w:color w:val="auto"/>
              </w:rPr>
            </w:pPr>
            <w:r>
              <w:rPr>
                <w:rFonts w:ascii="Arial" w:cs="Arial" w:eastAsia="Arial" w:hAnsi="Arial"/>
                <w:sz w:val="11"/>
                <w:szCs w:val="11"/>
                <w:color w:val="auto"/>
              </w:rPr>
              <w:t>65,965</w:t>
            </w:r>
          </w:p>
        </w:tc>
        <w:tc>
          <w:tcPr>
            <w:tcW w:w="1120" w:type="dxa"/>
            <w:vAlign w:val="bottom"/>
            <w:gridSpan w:val="2"/>
          </w:tcPr>
          <w:p>
            <w:pPr>
              <w:jc w:val="right"/>
              <w:ind w:right="3"/>
              <w:spacing w:after="0"/>
              <w:rPr>
                <w:sz w:val="20"/>
                <w:szCs w:val="20"/>
                <w:color w:val="auto"/>
              </w:rPr>
            </w:pPr>
            <w:r>
              <w:rPr>
                <w:rFonts w:ascii="Arial" w:cs="Arial" w:eastAsia="Arial" w:hAnsi="Arial"/>
                <w:sz w:val="11"/>
                <w:szCs w:val="11"/>
                <w:color w:val="auto"/>
              </w:rPr>
              <w:t>65,965</w:t>
            </w:r>
          </w:p>
        </w:tc>
        <w:tc>
          <w:tcPr>
            <w:tcW w:w="0" w:type="dxa"/>
            <w:vAlign w:val="bottom"/>
          </w:tcPr>
          <w:p>
            <w:pPr>
              <w:spacing w:after="0"/>
              <w:rPr>
                <w:sz w:val="1"/>
                <w:szCs w:val="1"/>
                <w:color w:val="auto"/>
              </w:rPr>
            </w:pPr>
          </w:p>
        </w:tc>
      </w:tr>
      <w:tr>
        <w:trPr>
          <w:trHeight w:val="172"/>
        </w:trPr>
        <w:tc>
          <w:tcPr>
            <w:tcW w:w="3720" w:type="dxa"/>
            <w:vAlign w:val="bottom"/>
            <w:gridSpan w:val="2"/>
            <w:shd w:val="clear" w:color="auto" w:fill="CCEEFF"/>
          </w:tcPr>
          <w:p>
            <w:pPr>
              <w:ind w:left="160"/>
              <w:spacing w:after="0"/>
              <w:rPr>
                <w:sz w:val="20"/>
                <w:szCs w:val="20"/>
                <w:color w:val="auto"/>
              </w:rPr>
            </w:pPr>
            <w:r>
              <w:rPr>
                <w:rFonts w:ascii="Arial" w:cs="Arial" w:eastAsia="Arial" w:hAnsi="Arial"/>
                <w:sz w:val="11"/>
                <w:szCs w:val="11"/>
                <w:color w:val="auto"/>
              </w:rPr>
              <w:t>Other value-creation projects</w:t>
            </w:r>
          </w:p>
        </w:tc>
        <w:tc>
          <w:tcPr>
            <w:tcW w:w="680" w:type="dxa"/>
            <w:vAlign w:val="bottom"/>
            <w:shd w:val="clear" w:color="auto" w:fill="CCEEFF"/>
          </w:tcPr>
          <w:p>
            <w:pPr>
              <w:jc w:val="right"/>
              <w:ind w:right="163"/>
              <w:spacing w:after="0"/>
              <w:rPr>
                <w:sz w:val="20"/>
                <w:szCs w:val="20"/>
                <w:color w:val="auto"/>
              </w:rPr>
            </w:pPr>
            <w:r>
              <w:rPr>
                <w:rFonts w:ascii="Arial" w:cs="Arial" w:eastAsia="Arial" w:hAnsi="Arial"/>
                <w:sz w:val="11"/>
                <w:szCs w:val="11"/>
                <w:color w:val="auto"/>
              </w:rPr>
              <w:t>100%</w:t>
            </w:r>
          </w:p>
        </w:tc>
        <w:tc>
          <w:tcPr>
            <w:tcW w:w="6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4,185</w:t>
            </w:r>
          </w:p>
        </w:tc>
        <w:tc>
          <w:tcPr>
            <w:tcW w:w="200" w:type="dxa"/>
            <w:vAlign w:val="bottom"/>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76,262</w:t>
            </w:r>
          </w:p>
        </w:tc>
        <w:tc>
          <w:tcPr>
            <w:tcW w:w="180" w:type="dxa"/>
            <w:vAlign w:val="bottom"/>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76,262</w:t>
            </w:r>
          </w:p>
        </w:tc>
        <w:tc>
          <w:tcPr>
            <w:tcW w:w="0" w:type="dxa"/>
            <w:vAlign w:val="bottom"/>
          </w:tcPr>
          <w:p>
            <w:pPr>
              <w:spacing w:after="0"/>
              <w:rPr>
                <w:sz w:val="1"/>
                <w:szCs w:val="1"/>
                <w:color w:val="auto"/>
              </w:rPr>
            </w:pPr>
          </w:p>
        </w:tc>
      </w:tr>
      <w:tr>
        <w:trPr>
          <w:trHeight w:val="152"/>
        </w:trPr>
        <w:tc>
          <w:tcPr>
            <w:tcW w:w="3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b w:val="1"/>
                <w:bCs w:val="1"/>
                <w:color w:val="auto"/>
              </w:rPr>
              <w:t>439,169</w:t>
            </w:r>
          </w:p>
        </w:tc>
        <w:tc>
          <w:tcPr>
            <w:tcW w:w="200" w:type="dxa"/>
            <w:vAlign w:val="bottom"/>
          </w:tcPr>
          <w:p>
            <w:pPr>
              <w:spacing w:after="0"/>
              <w:rPr>
                <w:sz w:val="13"/>
                <w:szCs w:val="13"/>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1"/>
                <w:szCs w:val="11"/>
                <w:b w:val="1"/>
                <w:bCs w:val="1"/>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1"/>
                <w:szCs w:val="11"/>
                <w:b w:val="1"/>
                <w:bCs w:val="1"/>
                <w:color w:val="auto"/>
              </w:rPr>
              <w:t>—</w:t>
            </w:r>
          </w:p>
        </w:tc>
        <w:tc>
          <w:tcPr>
            <w:tcW w:w="960" w:type="dxa"/>
            <w:vAlign w:val="bottom"/>
          </w:tcPr>
          <w:p>
            <w:pPr>
              <w:jc w:val="right"/>
              <w:spacing w:after="0"/>
              <w:rPr>
                <w:sz w:val="20"/>
                <w:szCs w:val="20"/>
                <w:color w:val="auto"/>
              </w:rPr>
            </w:pPr>
            <w:r>
              <w:rPr>
                <w:rFonts w:ascii="Arial" w:cs="Arial" w:eastAsia="Arial" w:hAnsi="Arial"/>
                <w:sz w:val="11"/>
                <w:szCs w:val="11"/>
                <w:b w:val="1"/>
                <w:bCs w:val="1"/>
                <w:color w:val="auto"/>
              </w:rPr>
              <w:t>180,000</w:t>
            </w:r>
          </w:p>
        </w:tc>
        <w:tc>
          <w:tcPr>
            <w:tcW w:w="1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1"/>
                <w:szCs w:val="11"/>
                <w:b w:val="1"/>
                <w:bCs w:val="1"/>
                <w:color w:val="auto"/>
              </w:rPr>
              <w:t>5,147,227</w:t>
            </w:r>
          </w:p>
        </w:tc>
        <w:tc>
          <w:tcPr>
            <w:tcW w:w="1120" w:type="dxa"/>
            <w:vAlign w:val="bottom"/>
            <w:gridSpan w:val="2"/>
          </w:tcPr>
          <w:p>
            <w:pPr>
              <w:jc w:val="right"/>
              <w:ind w:right="3"/>
              <w:spacing w:after="0"/>
              <w:rPr>
                <w:sz w:val="20"/>
                <w:szCs w:val="20"/>
                <w:color w:val="auto"/>
              </w:rPr>
            </w:pPr>
            <w:r>
              <w:rPr>
                <w:rFonts w:ascii="Arial" w:cs="Arial" w:eastAsia="Arial" w:hAnsi="Arial"/>
                <w:sz w:val="11"/>
                <w:szCs w:val="11"/>
                <w:b w:val="1"/>
                <w:bCs w:val="1"/>
                <w:color w:val="auto"/>
              </w:rPr>
              <w:t>5,327,227</w:t>
            </w:r>
          </w:p>
        </w:tc>
        <w:tc>
          <w:tcPr>
            <w:tcW w:w="0" w:type="dxa"/>
            <w:vAlign w:val="bottom"/>
          </w:tcPr>
          <w:p>
            <w:pPr>
              <w:spacing w:after="0"/>
              <w:rPr>
                <w:sz w:val="1"/>
                <w:szCs w:val="1"/>
                <w:color w:val="auto"/>
              </w:rPr>
            </w:pPr>
          </w:p>
        </w:tc>
      </w:tr>
      <w:tr>
        <w:trPr>
          <w:trHeight w:val="172"/>
        </w:trPr>
        <w:tc>
          <w:tcPr>
            <w:tcW w:w="3720" w:type="dxa"/>
            <w:vAlign w:val="bottom"/>
            <w:gridSpan w:val="2"/>
            <w:shd w:val="clear" w:color="auto" w:fill="CCEEFF"/>
          </w:tcPr>
          <w:p>
            <w:pPr>
              <w:ind w:left="40"/>
              <w:spacing w:after="0"/>
              <w:rPr>
                <w:sz w:val="20"/>
                <w:szCs w:val="20"/>
                <w:color w:val="auto"/>
              </w:rPr>
            </w:pPr>
            <w:r>
              <w:rPr>
                <w:rFonts w:ascii="Arial" w:cs="Arial" w:eastAsia="Arial" w:hAnsi="Arial"/>
                <w:sz w:val="11"/>
                <w:szCs w:val="11"/>
                <w:color w:val="auto"/>
              </w:rPr>
              <w:t>New York City</w:t>
            </w:r>
          </w:p>
        </w:tc>
        <w:tc>
          <w:tcPr>
            <w:tcW w:w="6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3720" w:type="dxa"/>
            <w:vAlign w:val="bottom"/>
            <w:gridSpan w:val="2"/>
          </w:tcPr>
          <w:p>
            <w:pPr>
              <w:ind w:left="160"/>
              <w:spacing w:after="0" w:line="151" w:lineRule="exact"/>
              <w:rPr>
                <w:sz w:val="20"/>
                <w:szCs w:val="20"/>
                <w:color w:val="auto"/>
              </w:rPr>
            </w:pPr>
            <w:r>
              <w:rPr>
                <w:rFonts w:ascii="Arial" w:cs="Arial" w:eastAsia="Arial" w:hAnsi="Arial"/>
                <w:sz w:val="11"/>
                <w:szCs w:val="11"/>
                <w:b w:val="1"/>
                <w:bCs w:val="1"/>
                <w:color w:val="auto"/>
              </w:rPr>
              <w:t>Mega Campus: Alexandria Center</w:t>
            </w:r>
            <w:r>
              <w:rPr>
                <w:rFonts w:ascii="Arial" w:cs="Arial" w:eastAsia="Arial" w:hAnsi="Arial"/>
                <w:sz w:val="14"/>
                <w:szCs w:val="14"/>
                <w:b w:val="1"/>
                <w:bCs w:val="1"/>
                <w:color w:val="auto"/>
                <w:vertAlign w:val="superscript"/>
              </w:rPr>
              <w:t>®</w:t>
            </w:r>
            <w:r>
              <w:rPr>
                <w:rFonts w:ascii="Arial" w:cs="Arial" w:eastAsia="Arial" w:hAnsi="Arial"/>
                <w:sz w:val="11"/>
                <w:szCs w:val="11"/>
                <w:b w:val="1"/>
                <w:bCs w:val="1"/>
                <w:color w:val="auto"/>
              </w:rPr>
              <w:t xml:space="preserve"> for Life Science – New York</w:t>
            </w:r>
          </w:p>
        </w:tc>
        <w:tc>
          <w:tcPr>
            <w:tcW w:w="680" w:type="dxa"/>
            <w:vAlign w:val="bottom"/>
            <w:vMerge w:val="restart"/>
          </w:tcPr>
          <w:p>
            <w:pPr>
              <w:jc w:val="right"/>
              <w:ind w:right="163"/>
              <w:spacing w:after="0"/>
              <w:rPr>
                <w:sz w:val="20"/>
                <w:szCs w:val="20"/>
                <w:color w:val="auto"/>
              </w:rPr>
            </w:pPr>
            <w:r>
              <w:rPr>
                <w:rFonts w:ascii="Arial" w:cs="Arial" w:eastAsia="Arial" w:hAnsi="Arial"/>
                <w:sz w:val="11"/>
                <w:szCs w:val="11"/>
                <w:color w:val="auto"/>
              </w:rPr>
              <w:t>100%</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vMerge w:val="restart"/>
          </w:tcPr>
          <w:p>
            <w:pPr>
              <w:jc w:val="right"/>
              <w:spacing w:after="0"/>
              <w:rPr>
                <w:sz w:val="20"/>
                <w:szCs w:val="20"/>
                <w:color w:val="auto"/>
              </w:rPr>
            </w:pPr>
            <w:r>
              <w:rPr>
                <w:rFonts w:ascii="Arial" w:cs="Arial" w:eastAsia="Arial" w:hAnsi="Arial"/>
                <w:sz w:val="11"/>
                <w:szCs w:val="11"/>
                <w:color w:val="auto"/>
              </w:rPr>
              <w:t>161,482</w:t>
            </w:r>
          </w:p>
        </w:tc>
        <w:tc>
          <w:tcPr>
            <w:tcW w:w="200" w:type="dxa"/>
            <w:vAlign w:val="bottom"/>
          </w:tcPr>
          <w:p>
            <w:pPr>
              <w:spacing w:after="0"/>
              <w:rPr>
                <w:sz w:val="13"/>
                <w:szCs w:val="13"/>
                <w:color w:val="auto"/>
              </w:rPr>
            </w:pPr>
          </w:p>
        </w:tc>
        <w:tc>
          <w:tcPr>
            <w:tcW w:w="940" w:type="dxa"/>
            <w:vAlign w:val="bottom"/>
            <w:vMerge w:val="restart"/>
          </w:tcPr>
          <w:p>
            <w:pPr>
              <w:jc w:val="right"/>
              <w:ind w:right="3"/>
              <w:spacing w:after="0"/>
              <w:rPr>
                <w:sz w:val="20"/>
                <w:szCs w:val="20"/>
                <w:color w:val="auto"/>
              </w:rPr>
            </w:pPr>
            <w:r>
              <w:rPr>
                <w:rFonts w:ascii="Arial" w:cs="Arial" w:eastAsia="Arial" w:hAnsi="Arial"/>
                <w:sz w:val="11"/>
                <w:szCs w:val="11"/>
                <w:color w:val="auto"/>
              </w:rPr>
              <w:t>—</w:t>
            </w:r>
          </w:p>
        </w:tc>
        <w:tc>
          <w:tcPr>
            <w:tcW w:w="120" w:type="dxa"/>
            <w:vAlign w:val="bottom"/>
            <w:vMerge w:val="restart"/>
          </w:tcPr>
          <w:p>
            <w:pPr>
              <w:spacing w:after="0"/>
              <w:rPr>
                <w:sz w:val="13"/>
                <w:szCs w:val="13"/>
                <w:color w:val="auto"/>
              </w:rPr>
            </w:pPr>
          </w:p>
        </w:tc>
        <w:tc>
          <w:tcPr>
            <w:tcW w:w="940" w:type="dxa"/>
            <w:vAlign w:val="bottom"/>
            <w:vMerge w:val="restart"/>
          </w:tcPr>
          <w:p>
            <w:pPr>
              <w:jc w:val="right"/>
              <w:ind w:right="3"/>
              <w:spacing w:after="0"/>
              <w:rPr>
                <w:sz w:val="20"/>
                <w:szCs w:val="20"/>
                <w:color w:val="auto"/>
              </w:rPr>
            </w:pPr>
            <w:r>
              <w:rPr>
                <w:rFonts w:ascii="Arial" w:cs="Arial" w:eastAsia="Arial" w:hAnsi="Arial"/>
                <w:sz w:val="11"/>
                <w:szCs w:val="11"/>
                <w:color w:val="auto"/>
              </w:rPr>
              <w:t>—</w:t>
            </w:r>
          </w:p>
        </w:tc>
        <w:tc>
          <w:tcPr>
            <w:tcW w:w="160" w:type="dxa"/>
            <w:vAlign w:val="bottom"/>
            <w:vMerge w:val="restart"/>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80" w:type="dxa"/>
            <w:vAlign w:val="bottom"/>
            <w:vMerge w:val="restart"/>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1"/>
                <w:szCs w:val="11"/>
                <w:color w:val="auto"/>
              </w:rPr>
              <w:t>550,000</w:t>
            </w:r>
          </w:p>
        </w:tc>
        <w:tc>
          <w:tcPr>
            <w:tcW w:w="180" w:type="dxa"/>
            <w:vAlign w:val="bottom"/>
          </w:tcPr>
          <w:p>
            <w:pPr>
              <w:jc w:val="right"/>
              <w:spacing w:after="0"/>
              <w:rPr>
                <w:sz w:val="20"/>
                <w:szCs w:val="20"/>
                <w:color w:val="auto"/>
              </w:rPr>
            </w:pPr>
            <w:r>
              <w:rPr>
                <w:rFonts w:ascii="Arial" w:cs="Arial" w:eastAsia="Arial" w:hAnsi="Arial"/>
                <w:sz w:val="7"/>
                <w:szCs w:val="7"/>
                <w:color w:val="auto"/>
              </w:rPr>
              <w:t>(2)</w:t>
            </w: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3720" w:type="dxa"/>
            <w:vAlign w:val="bottom"/>
            <w:tcBorders>
              <w:bottom w:val="single" w:sz="8" w:color="CCEEFF"/>
            </w:tcBorders>
            <w:gridSpan w:val="2"/>
          </w:tcPr>
          <w:p>
            <w:pPr>
              <w:ind w:left="300"/>
              <w:spacing w:after="0"/>
              <w:rPr>
                <w:sz w:val="20"/>
                <w:szCs w:val="20"/>
                <w:color w:val="auto"/>
              </w:rPr>
            </w:pPr>
            <w:r>
              <w:rPr>
                <w:rFonts w:ascii="Arial" w:cs="Arial" w:eastAsia="Arial" w:hAnsi="Arial"/>
                <w:sz w:val="11"/>
                <w:szCs w:val="11"/>
                <w:b w:val="1"/>
                <w:bCs w:val="1"/>
                <w:color w:val="auto"/>
              </w:rPr>
              <w:t>City/New York City</w:t>
            </w:r>
          </w:p>
        </w:tc>
        <w:tc>
          <w:tcPr>
            <w:tcW w:w="680" w:type="dxa"/>
            <w:vAlign w:val="bottom"/>
            <w:tcBorders>
              <w:bottom w:val="single" w:sz="8" w:color="CCEEFF"/>
            </w:tcBorders>
            <w:vMerge w:val="continue"/>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vMerge w:val="continue"/>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vMerge w:val="continue"/>
          </w:tcPr>
          <w:p>
            <w:pPr>
              <w:spacing w:after="0"/>
              <w:rPr>
                <w:sz w:val="12"/>
                <w:szCs w:val="12"/>
                <w:color w:val="auto"/>
              </w:rPr>
            </w:pPr>
          </w:p>
        </w:tc>
        <w:tc>
          <w:tcPr>
            <w:tcW w:w="120" w:type="dxa"/>
            <w:vAlign w:val="bottom"/>
            <w:tcBorders>
              <w:bottom w:val="single" w:sz="8" w:color="CCEEFF"/>
            </w:tcBorders>
            <w:vMerge w:val="continue"/>
          </w:tcPr>
          <w:p>
            <w:pPr>
              <w:spacing w:after="0"/>
              <w:rPr>
                <w:sz w:val="12"/>
                <w:szCs w:val="12"/>
                <w:color w:val="auto"/>
              </w:rPr>
            </w:pPr>
          </w:p>
        </w:tc>
        <w:tc>
          <w:tcPr>
            <w:tcW w:w="94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CCEEFF"/>
            </w:tcBorders>
            <w:vMerge w:val="continue"/>
          </w:tcPr>
          <w:p>
            <w:pPr>
              <w:spacing w:after="0"/>
              <w:rPr>
                <w:sz w:val="12"/>
                <w:szCs w:val="12"/>
                <w:color w:val="auto"/>
              </w:rPr>
            </w:pPr>
          </w:p>
        </w:tc>
        <w:tc>
          <w:tcPr>
            <w:tcW w:w="960" w:type="dxa"/>
            <w:vAlign w:val="bottom"/>
            <w:tcBorders>
              <w:bottom w:val="single" w:sz="8" w:color="auto"/>
            </w:tcBorders>
            <w:vMerge w:val="continue"/>
          </w:tcPr>
          <w:p>
            <w:pPr>
              <w:spacing w:after="0"/>
              <w:rPr>
                <w:sz w:val="12"/>
                <w:szCs w:val="12"/>
                <w:color w:val="auto"/>
              </w:rPr>
            </w:pPr>
          </w:p>
        </w:tc>
        <w:tc>
          <w:tcPr>
            <w:tcW w:w="180" w:type="dxa"/>
            <w:vAlign w:val="bottom"/>
            <w:tcBorders>
              <w:bottom w:val="single" w:sz="8" w:color="CCEEFF"/>
            </w:tcBorders>
            <w:vMerge w:val="continue"/>
          </w:tcPr>
          <w:p>
            <w:pPr>
              <w:spacing w:after="0"/>
              <w:rPr>
                <w:sz w:val="12"/>
                <w:szCs w:val="12"/>
                <w:color w:val="auto"/>
              </w:rPr>
            </w:pPr>
          </w:p>
        </w:tc>
        <w:tc>
          <w:tcPr>
            <w:tcW w:w="940" w:type="dxa"/>
            <w:vAlign w:val="bottom"/>
            <w:tcBorders>
              <w:bottom w:val="single" w:sz="8" w:color="auto"/>
            </w:tcBorders>
            <w:vMerge w:val="continue"/>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550,000</w:t>
            </w:r>
          </w:p>
        </w:tc>
        <w:tc>
          <w:tcPr>
            <w:tcW w:w="0" w:type="dxa"/>
            <w:vAlign w:val="bottom"/>
          </w:tcPr>
          <w:p>
            <w:pPr>
              <w:spacing w:after="0"/>
              <w:rPr>
                <w:sz w:val="1"/>
                <w:szCs w:val="1"/>
                <w:color w:val="auto"/>
              </w:rPr>
            </w:pPr>
          </w:p>
        </w:tc>
      </w:tr>
      <w:tr>
        <w:trPr>
          <w:trHeight w:val="152"/>
        </w:trPr>
        <w:tc>
          <w:tcPr>
            <w:tcW w:w="36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161,482</w:t>
            </w:r>
          </w:p>
        </w:tc>
        <w:tc>
          <w:tcPr>
            <w:tcW w:w="20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b w:val="1"/>
                <w:bCs w:val="1"/>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b w:val="1"/>
                <w:bCs w:val="1"/>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550,000</w:t>
            </w:r>
          </w:p>
        </w:tc>
        <w:tc>
          <w:tcPr>
            <w:tcW w:w="1120" w:type="dxa"/>
            <w:vAlign w:val="bottom"/>
            <w:gridSpan w:val="2"/>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550,000</w:t>
            </w:r>
          </w:p>
        </w:tc>
        <w:tc>
          <w:tcPr>
            <w:tcW w:w="0" w:type="dxa"/>
            <w:vAlign w:val="bottom"/>
          </w:tcPr>
          <w:p>
            <w:pPr>
              <w:spacing w:after="0"/>
              <w:rPr>
                <w:sz w:val="1"/>
                <w:szCs w:val="1"/>
                <w:color w:val="auto"/>
              </w:rPr>
            </w:pPr>
          </w:p>
        </w:tc>
      </w:tr>
      <w:tr>
        <w:trPr>
          <w:trHeight w:val="172"/>
        </w:trPr>
        <w:tc>
          <w:tcPr>
            <w:tcW w:w="3720" w:type="dxa"/>
            <w:vAlign w:val="bottom"/>
            <w:gridSpan w:val="2"/>
          </w:tcPr>
          <w:p>
            <w:pPr>
              <w:ind w:left="40"/>
              <w:spacing w:after="0"/>
              <w:rPr>
                <w:sz w:val="20"/>
                <w:szCs w:val="20"/>
                <w:color w:val="auto"/>
              </w:rPr>
            </w:pPr>
            <w:r>
              <w:rPr>
                <w:rFonts w:ascii="Arial" w:cs="Arial" w:eastAsia="Arial" w:hAnsi="Arial"/>
                <w:sz w:val="11"/>
                <w:szCs w:val="11"/>
                <w:color w:val="auto"/>
              </w:rPr>
              <w:t>Texas</w:t>
            </w: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3720" w:type="dxa"/>
            <w:vAlign w:val="bottom"/>
            <w:gridSpan w:val="2"/>
            <w:shd w:val="clear" w:color="auto" w:fill="CCEEFF"/>
          </w:tcPr>
          <w:p>
            <w:pPr>
              <w:ind w:left="160"/>
              <w:spacing w:after="0" w:line="151" w:lineRule="exact"/>
              <w:rPr>
                <w:sz w:val="20"/>
                <w:szCs w:val="20"/>
                <w:color w:val="auto"/>
              </w:rPr>
            </w:pPr>
            <w:r>
              <w:rPr>
                <w:rFonts w:ascii="Arial" w:cs="Arial" w:eastAsia="Arial" w:hAnsi="Arial"/>
                <w:sz w:val="11"/>
                <w:szCs w:val="11"/>
                <w:color w:val="auto"/>
              </w:rPr>
              <w:t>Alexandria Center</w:t>
            </w:r>
            <w:r>
              <w:rPr>
                <w:rFonts w:ascii="Arial" w:cs="Arial" w:eastAsia="Arial" w:hAnsi="Arial"/>
                <w:sz w:val="14"/>
                <w:szCs w:val="14"/>
                <w:color w:val="auto"/>
                <w:vertAlign w:val="superscript"/>
              </w:rPr>
              <w:t>®</w:t>
            </w:r>
            <w:r>
              <w:rPr>
                <w:rFonts w:ascii="Arial" w:cs="Arial" w:eastAsia="Arial" w:hAnsi="Arial"/>
                <w:sz w:val="11"/>
                <w:szCs w:val="11"/>
                <w:color w:val="auto"/>
              </w:rPr>
              <w:t xml:space="preserve"> for Advanced Technologies at The Woodlands/</w:t>
            </w:r>
          </w:p>
        </w:tc>
        <w:tc>
          <w:tcPr>
            <w:tcW w:w="680" w:type="dxa"/>
            <w:vAlign w:val="bottom"/>
            <w:vMerge w:val="restart"/>
            <w:shd w:val="clear" w:color="auto" w:fill="CCEEFF"/>
          </w:tcPr>
          <w:p>
            <w:pPr>
              <w:jc w:val="right"/>
              <w:ind w:right="163"/>
              <w:spacing w:after="0"/>
              <w:rPr>
                <w:sz w:val="20"/>
                <w:szCs w:val="20"/>
                <w:color w:val="auto"/>
              </w:rPr>
            </w:pPr>
            <w:r>
              <w:rPr>
                <w:rFonts w:ascii="Arial" w:cs="Arial" w:eastAsia="Arial" w:hAnsi="Arial"/>
                <w:sz w:val="11"/>
                <w:szCs w:val="11"/>
                <w:color w:val="auto"/>
              </w:rPr>
              <w:t>100%</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48,250</w:t>
            </w:r>
          </w:p>
        </w:tc>
        <w:tc>
          <w:tcPr>
            <w:tcW w:w="20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73,298</w:t>
            </w:r>
          </w:p>
        </w:tc>
        <w:tc>
          <w:tcPr>
            <w:tcW w:w="120" w:type="dxa"/>
            <w:vAlign w:val="bottom"/>
            <w:shd w:val="clear" w:color="auto" w:fill="CCEEFF"/>
          </w:tcPr>
          <w:p>
            <w:pPr>
              <w:spacing w:after="0"/>
              <w:rPr>
                <w:sz w:val="13"/>
                <w:szCs w:val="13"/>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1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116,405</w:t>
            </w:r>
          </w:p>
        </w:tc>
        <w:tc>
          <w:tcPr>
            <w:tcW w:w="1120" w:type="dxa"/>
            <w:vAlign w:val="bottom"/>
            <w:gridSpan w:val="2"/>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189,703</w:t>
            </w:r>
          </w:p>
        </w:tc>
        <w:tc>
          <w:tcPr>
            <w:tcW w:w="0" w:type="dxa"/>
            <w:vAlign w:val="bottom"/>
          </w:tcPr>
          <w:p>
            <w:pPr>
              <w:spacing w:after="0"/>
              <w:rPr>
                <w:sz w:val="1"/>
                <w:szCs w:val="1"/>
                <w:color w:val="auto"/>
              </w:rPr>
            </w:pPr>
          </w:p>
        </w:tc>
      </w:tr>
      <w:tr>
        <w:trPr>
          <w:trHeight w:val="140"/>
        </w:trPr>
        <w:tc>
          <w:tcPr>
            <w:tcW w:w="3720" w:type="dxa"/>
            <w:vAlign w:val="bottom"/>
            <w:gridSpan w:val="2"/>
            <w:shd w:val="clear" w:color="auto" w:fill="CCEEFF"/>
          </w:tcPr>
          <w:p>
            <w:pPr>
              <w:ind w:left="300"/>
              <w:spacing w:after="0"/>
              <w:rPr>
                <w:sz w:val="20"/>
                <w:szCs w:val="20"/>
                <w:color w:val="auto"/>
              </w:rPr>
            </w:pPr>
            <w:r>
              <w:rPr>
                <w:rFonts w:ascii="Arial" w:cs="Arial" w:eastAsia="Arial" w:hAnsi="Arial"/>
                <w:sz w:val="11"/>
                <w:szCs w:val="11"/>
                <w:color w:val="auto"/>
              </w:rPr>
              <w:t>Greater Houston</w:t>
            </w:r>
          </w:p>
        </w:tc>
        <w:tc>
          <w:tcPr>
            <w:tcW w:w="68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vMerge w:val="continue"/>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gridSpan w:val="2"/>
            <w:vMerge w:val="continue"/>
            <w:shd w:val="clear" w:color="auto" w:fill="CCEEFF"/>
          </w:tcPr>
          <w:p>
            <w:pPr>
              <w:spacing w:after="0"/>
              <w:rPr>
                <w:sz w:val="12"/>
                <w:szCs w:val="12"/>
                <w:color w:val="auto"/>
              </w:rPr>
            </w:pPr>
          </w:p>
        </w:tc>
        <w:tc>
          <w:tcPr>
            <w:tcW w:w="1140" w:type="dxa"/>
            <w:vAlign w:val="bottom"/>
            <w:gridSpan w:val="2"/>
            <w:vMerge w:val="continue"/>
            <w:shd w:val="clear" w:color="auto" w:fill="CCEEFF"/>
          </w:tcPr>
          <w:p>
            <w:pPr>
              <w:spacing w:after="0"/>
              <w:rPr>
                <w:sz w:val="12"/>
                <w:szCs w:val="12"/>
                <w:color w:val="auto"/>
              </w:rPr>
            </w:pPr>
          </w:p>
        </w:tc>
        <w:tc>
          <w:tcPr>
            <w:tcW w:w="940" w:type="dxa"/>
            <w:vAlign w:val="bottom"/>
            <w:vMerge w:val="continue"/>
            <w:shd w:val="clear" w:color="auto" w:fill="CCEEFF"/>
          </w:tcPr>
          <w:p>
            <w:pPr>
              <w:spacing w:after="0"/>
              <w:rPr>
                <w:sz w:val="12"/>
                <w:szCs w:val="12"/>
                <w:color w:val="auto"/>
              </w:rPr>
            </w:pPr>
          </w:p>
        </w:tc>
        <w:tc>
          <w:tcPr>
            <w:tcW w:w="1120" w:type="dxa"/>
            <w:vAlign w:val="bottom"/>
            <w:gridSpan w:val="2"/>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720" w:type="dxa"/>
            <w:vAlign w:val="bottom"/>
            <w:gridSpan w:val="2"/>
          </w:tcPr>
          <w:p>
            <w:pPr>
              <w:ind w:left="220"/>
              <w:spacing w:after="0"/>
              <w:rPr>
                <w:sz w:val="20"/>
                <w:szCs w:val="20"/>
                <w:color w:val="auto"/>
              </w:rPr>
            </w:pPr>
            <w:r>
              <w:rPr>
                <w:rFonts w:ascii="Arial" w:cs="Arial" w:eastAsia="Arial" w:hAnsi="Arial"/>
                <w:sz w:val="11"/>
                <w:szCs w:val="11"/>
                <w:i w:val="1"/>
                <w:iCs w:val="1"/>
                <w:color w:val="auto"/>
              </w:rPr>
              <w:t>8800 Technology Forest Place</w:t>
            </w: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720" w:type="dxa"/>
            <w:vAlign w:val="bottom"/>
            <w:gridSpan w:val="2"/>
            <w:shd w:val="clear" w:color="auto" w:fill="CCEEFF"/>
          </w:tcPr>
          <w:p>
            <w:pPr>
              <w:ind w:left="160"/>
              <w:spacing w:after="0"/>
              <w:rPr>
                <w:sz w:val="20"/>
                <w:szCs w:val="20"/>
                <w:color w:val="auto"/>
              </w:rPr>
            </w:pPr>
            <w:r>
              <w:rPr>
                <w:rFonts w:ascii="Arial" w:cs="Arial" w:eastAsia="Arial" w:hAnsi="Arial"/>
                <w:sz w:val="11"/>
                <w:szCs w:val="11"/>
                <w:color w:val="auto"/>
              </w:rPr>
              <w:t>1001 Trinity Street and 1020 Red River Street/Austin</w:t>
            </w:r>
          </w:p>
        </w:tc>
        <w:tc>
          <w:tcPr>
            <w:tcW w:w="680" w:type="dxa"/>
            <w:vAlign w:val="bottom"/>
            <w:shd w:val="clear" w:color="auto" w:fill="CCEEFF"/>
          </w:tcPr>
          <w:p>
            <w:pPr>
              <w:jc w:val="right"/>
              <w:ind w:right="163"/>
              <w:spacing w:after="0"/>
              <w:rPr>
                <w:sz w:val="20"/>
                <w:szCs w:val="20"/>
                <w:color w:val="auto"/>
              </w:rPr>
            </w:pPr>
            <w:r>
              <w:rPr>
                <w:rFonts w:ascii="Arial" w:cs="Arial" w:eastAsia="Arial" w:hAnsi="Arial"/>
                <w:sz w:val="11"/>
                <w:szCs w:val="11"/>
                <w:color w:val="auto"/>
              </w:rPr>
              <w:t>100%</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9,929</w:t>
            </w:r>
          </w:p>
        </w:tc>
        <w:tc>
          <w:tcPr>
            <w:tcW w:w="2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126,034</w:t>
            </w: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123,976</w:t>
            </w:r>
          </w:p>
        </w:tc>
        <w:tc>
          <w:tcPr>
            <w:tcW w:w="1120" w:type="dxa"/>
            <w:vAlign w:val="bottom"/>
            <w:gridSpan w:val="2"/>
            <w:shd w:val="clear" w:color="auto" w:fill="CCEEFF"/>
          </w:tcPr>
          <w:p>
            <w:pPr>
              <w:jc w:val="right"/>
              <w:ind w:right="3"/>
              <w:spacing w:after="0"/>
              <w:rPr>
                <w:sz w:val="20"/>
                <w:szCs w:val="20"/>
                <w:color w:val="auto"/>
              </w:rPr>
            </w:pPr>
            <w:r>
              <w:rPr>
                <w:rFonts w:ascii="Arial" w:cs="Arial" w:eastAsia="Arial" w:hAnsi="Arial"/>
                <w:sz w:val="11"/>
                <w:szCs w:val="11"/>
                <w:color w:val="auto"/>
              </w:rPr>
              <w:t>250,010</w:t>
            </w:r>
          </w:p>
        </w:tc>
        <w:tc>
          <w:tcPr>
            <w:tcW w:w="0" w:type="dxa"/>
            <w:vAlign w:val="bottom"/>
          </w:tcPr>
          <w:p>
            <w:pPr>
              <w:spacing w:after="0"/>
              <w:rPr>
                <w:sz w:val="1"/>
                <w:szCs w:val="1"/>
                <w:color w:val="auto"/>
              </w:rPr>
            </w:pPr>
          </w:p>
        </w:tc>
      </w:tr>
      <w:tr>
        <w:trPr>
          <w:trHeight w:val="172"/>
        </w:trPr>
        <w:tc>
          <w:tcPr>
            <w:tcW w:w="3720" w:type="dxa"/>
            <w:vAlign w:val="bottom"/>
            <w:tcBorders>
              <w:bottom w:val="single" w:sz="8" w:color="CCEEFF"/>
            </w:tcBorders>
            <w:gridSpan w:val="2"/>
          </w:tcPr>
          <w:p>
            <w:pPr>
              <w:ind w:left="160"/>
              <w:spacing w:after="0"/>
              <w:rPr>
                <w:sz w:val="20"/>
                <w:szCs w:val="20"/>
                <w:color w:val="auto"/>
              </w:rPr>
            </w:pPr>
            <w:r>
              <w:rPr>
                <w:rFonts w:ascii="Arial" w:cs="Arial" w:eastAsia="Arial" w:hAnsi="Arial"/>
                <w:sz w:val="11"/>
                <w:szCs w:val="11"/>
                <w:color w:val="auto"/>
              </w:rPr>
              <w:t>Other value-creation projects</w:t>
            </w:r>
          </w:p>
        </w:tc>
        <w:tc>
          <w:tcPr>
            <w:tcW w:w="680" w:type="dxa"/>
            <w:vAlign w:val="bottom"/>
            <w:tcBorders>
              <w:bottom w:val="single" w:sz="8" w:color="CCEEFF"/>
            </w:tcBorders>
          </w:tcPr>
          <w:p>
            <w:pPr>
              <w:jc w:val="right"/>
              <w:ind w:right="163"/>
              <w:spacing w:after="0"/>
              <w:rPr>
                <w:sz w:val="20"/>
                <w:szCs w:val="20"/>
                <w:color w:val="auto"/>
              </w:rPr>
            </w:pPr>
            <w:r>
              <w:rPr>
                <w:rFonts w:ascii="Arial" w:cs="Arial" w:eastAsia="Arial" w:hAnsi="Arial"/>
                <w:sz w:val="11"/>
                <w:szCs w:val="11"/>
                <w:color w:val="auto"/>
              </w:rPr>
              <w:t>100%</w:t>
            </w:r>
          </w:p>
        </w:tc>
        <w:tc>
          <w:tcPr>
            <w:tcW w:w="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135,323</w:t>
            </w:r>
          </w:p>
        </w:tc>
        <w:tc>
          <w:tcPr>
            <w:tcW w:w="20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1,694,000</w:t>
            </w:r>
          </w:p>
        </w:tc>
        <w:tc>
          <w:tcPr>
            <w:tcW w:w="18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1,694,000</w:t>
            </w:r>
          </w:p>
        </w:tc>
        <w:tc>
          <w:tcPr>
            <w:tcW w:w="0" w:type="dxa"/>
            <w:vAlign w:val="bottom"/>
          </w:tcPr>
          <w:p>
            <w:pPr>
              <w:spacing w:after="0"/>
              <w:rPr>
                <w:sz w:val="1"/>
                <w:szCs w:val="1"/>
                <w:color w:val="auto"/>
              </w:rPr>
            </w:pPr>
          </w:p>
        </w:tc>
      </w:tr>
      <w:tr>
        <w:trPr>
          <w:trHeight w:val="152"/>
        </w:trPr>
        <w:tc>
          <w:tcPr>
            <w:tcW w:w="36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193,502</w:t>
            </w: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73,298</w:t>
            </w:r>
          </w:p>
        </w:tc>
        <w:tc>
          <w:tcPr>
            <w:tcW w:w="12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b w:val="1"/>
                <w:bCs w:val="1"/>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126,034</w:t>
            </w: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1,934,381</w:t>
            </w:r>
          </w:p>
        </w:tc>
        <w:tc>
          <w:tcPr>
            <w:tcW w:w="1120" w:type="dxa"/>
            <w:vAlign w:val="bottom"/>
            <w:gridSpan w:val="2"/>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2,133,713</w:t>
            </w:r>
          </w:p>
        </w:tc>
        <w:tc>
          <w:tcPr>
            <w:tcW w:w="0" w:type="dxa"/>
            <w:vAlign w:val="bottom"/>
          </w:tcPr>
          <w:p>
            <w:pPr>
              <w:spacing w:after="0"/>
              <w:rPr>
                <w:sz w:val="1"/>
                <w:szCs w:val="1"/>
                <w:color w:val="auto"/>
              </w:rPr>
            </w:pPr>
          </w:p>
        </w:tc>
      </w:tr>
      <w:tr>
        <w:trPr>
          <w:trHeight w:val="172"/>
        </w:trPr>
        <w:tc>
          <w:tcPr>
            <w:tcW w:w="3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720" w:type="dxa"/>
            <w:vAlign w:val="bottom"/>
            <w:gridSpan w:val="2"/>
            <w:shd w:val="clear" w:color="auto" w:fill="CCEEFF"/>
          </w:tcPr>
          <w:p>
            <w:pPr>
              <w:ind w:left="40"/>
              <w:spacing w:after="0"/>
              <w:rPr>
                <w:sz w:val="20"/>
                <w:szCs w:val="20"/>
                <w:color w:val="auto"/>
              </w:rPr>
            </w:pPr>
            <w:r>
              <w:rPr>
                <w:rFonts w:ascii="Arial" w:cs="Arial" w:eastAsia="Arial" w:hAnsi="Arial"/>
                <w:sz w:val="11"/>
                <w:szCs w:val="11"/>
                <w:color w:val="auto"/>
              </w:rPr>
              <w:t>Canada</w:t>
            </w:r>
          </w:p>
        </w:tc>
        <w:tc>
          <w:tcPr>
            <w:tcW w:w="680" w:type="dxa"/>
            <w:vAlign w:val="bottom"/>
            <w:shd w:val="clear" w:color="auto" w:fill="CCEEFF"/>
          </w:tcPr>
          <w:p>
            <w:pPr>
              <w:jc w:val="right"/>
              <w:ind w:right="163"/>
              <w:spacing w:after="0"/>
              <w:rPr>
                <w:sz w:val="20"/>
                <w:szCs w:val="20"/>
                <w:color w:val="auto"/>
              </w:rPr>
            </w:pPr>
            <w:r>
              <w:rPr>
                <w:rFonts w:ascii="Arial" w:cs="Arial" w:eastAsia="Arial" w:hAnsi="Arial"/>
                <w:sz w:val="11"/>
                <w:szCs w:val="11"/>
                <w:color w:val="auto"/>
              </w:rPr>
              <w:t>100%</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44,036</w:t>
            </w: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139,311</w:t>
            </w: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371,743</w:t>
            </w:r>
          </w:p>
        </w:tc>
        <w:tc>
          <w:tcPr>
            <w:tcW w:w="1120" w:type="dxa"/>
            <w:vAlign w:val="bottom"/>
            <w:gridSpan w:val="2"/>
            <w:shd w:val="clear" w:color="auto" w:fill="CCEEFF"/>
          </w:tcPr>
          <w:p>
            <w:pPr>
              <w:jc w:val="right"/>
              <w:ind w:right="3"/>
              <w:spacing w:after="0"/>
              <w:rPr>
                <w:sz w:val="20"/>
                <w:szCs w:val="20"/>
                <w:color w:val="auto"/>
              </w:rPr>
            </w:pPr>
            <w:r>
              <w:rPr>
                <w:rFonts w:ascii="Arial" w:cs="Arial" w:eastAsia="Arial" w:hAnsi="Arial"/>
                <w:sz w:val="11"/>
                <w:szCs w:val="11"/>
                <w:color w:val="auto"/>
              </w:rPr>
              <w:t>511,054</w:t>
            </w:r>
          </w:p>
        </w:tc>
        <w:tc>
          <w:tcPr>
            <w:tcW w:w="0" w:type="dxa"/>
            <w:vAlign w:val="bottom"/>
          </w:tcPr>
          <w:p>
            <w:pPr>
              <w:spacing w:after="0"/>
              <w:rPr>
                <w:sz w:val="1"/>
                <w:szCs w:val="1"/>
                <w:color w:val="auto"/>
              </w:rPr>
            </w:pPr>
          </w:p>
        </w:tc>
      </w:tr>
      <w:tr>
        <w:trPr>
          <w:trHeight w:val="172"/>
        </w:trPr>
        <w:tc>
          <w:tcPr>
            <w:tcW w:w="3720" w:type="dxa"/>
            <w:vAlign w:val="bottom"/>
            <w:tcBorders>
              <w:bottom w:val="single" w:sz="8" w:color="CCEEFF"/>
            </w:tcBorders>
            <w:gridSpan w:val="2"/>
          </w:tcPr>
          <w:p>
            <w:pPr>
              <w:ind w:left="40"/>
              <w:spacing w:after="0"/>
              <w:rPr>
                <w:sz w:val="20"/>
                <w:szCs w:val="20"/>
                <w:color w:val="auto"/>
              </w:rPr>
            </w:pPr>
            <w:r>
              <w:rPr>
                <w:rFonts w:ascii="Arial" w:cs="Arial" w:eastAsia="Arial" w:hAnsi="Arial"/>
                <w:sz w:val="11"/>
                <w:szCs w:val="11"/>
                <w:color w:val="auto"/>
              </w:rPr>
              <w:t>Other value-creation projects</w:t>
            </w:r>
          </w:p>
        </w:tc>
        <w:tc>
          <w:tcPr>
            <w:tcW w:w="680" w:type="dxa"/>
            <w:vAlign w:val="bottom"/>
            <w:tcBorders>
              <w:bottom w:val="single" w:sz="8" w:color="CCEEFF"/>
            </w:tcBorders>
          </w:tcPr>
          <w:p>
            <w:pPr>
              <w:jc w:val="right"/>
              <w:ind w:right="163"/>
              <w:spacing w:after="0"/>
              <w:rPr>
                <w:sz w:val="20"/>
                <w:szCs w:val="20"/>
                <w:color w:val="auto"/>
              </w:rPr>
            </w:pPr>
            <w:r>
              <w:rPr>
                <w:rFonts w:ascii="Arial" w:cs="Arial" w:eastAsia="Arial" w:hAnsi="Arial"/>
                <w:sz w:val="11"/>
                <w:szCs w:val="11"/>
                <w:color w:val="auto"/>
              </w:rPr>
              <w:t>100%</w:t>
            </w:r>
          </w:p>
        </w:tc>
        <w:tc>
          <w:tcPr>
            <w:tcW w:w="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118,755</w:t>
            </w:r>
          </w:p>
        </w:tc>
        <w:tc>
          <w:tcPr>
            <w:tcW w:w="20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724,349</w:t>
            </w:r>
          </w:p>
        </w:tc>
        <w:tc>
          <w:tcPr>
            <w:tcW w:w="18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724,349</w:t>
            </w:r>
          </w:p>
        </w:tc>
        <w:tc>
          <w:tcPr>
            <w:tcW w:w="0" w:type="dxa"/>
            <w:vAlign w:val="bottom"/>
          </w:tcPr>
          <w:p>
            <w:pPr>
              <w:spacing w:after="0"/>
              <w:rPr>
                <w:sz w:val="1"/>
                <w:szCs w:val="1"/>
                <w:color w:val="auto"/>
              </w:rPr>
            </w:pPr>
          </w:p>
        </w:tc>
      </w:tr>
      <w:tr>
        <w:trPr>
          <w:trHeight w:val="140"/>
        </w:trPr>
        <w:tc>
          <w:tcPr>
            <w:tcW w:w="3720" w:type="dxa"/>
            <w:vAlign w:val="bottom"/>
            <w:gridSpan w:val="2"/>
            <w:shd w:val="clear" w:color="auto" w:fill="CCEEFF"/>
          </w:tcPr>
          <w:p>
            <w:pPr>
              <w:ind w:left="40"/>
              <w:spacing w:after="0" w:line="109" w:lineRule="exact"/>
              <w:rPr>
                <w:sz w:val="20"/>
                <w:szCs w:val="20"/>
                <w:color w:val="auto"/>
              </w:rPr>
            </w:pPr>
            <w:r>
              <w:rPr>
                <w:rFonts w:ascii="Arial" w:cs="Arial" w:eastAsia="Arial" w:hAnsi="Arial"/>
                <w:sz w:val="11"/>
                <w:szCs w:val="11"/>
                <w:color w:val="auto"/>
              </w:rPr>
              <w:t>Total pipeline as of June 30, 2024</w:t>
            </w: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ind w:left="40"/>
              <w:spacing w:after="0" w:line="109" w:lineRule="exact"/>
              <w:rPr>
                <w:sz w:val="20"/>
                <w:szCs w:val="20"/>
                <w:color w:val="auto"/>
              </w:rPr>
            </w:pPr>
            <w:r>
              <w:rPr>
                <w:rFonts w:ascii="Arial" w:cs="Arial" w:eastAsia="Arial" w:hAnsi="Arial"/>
                <w:sz w:val="11"/>
                <w:szCs w:val="11"/>
                <w:b w:val="1"/>
                <w:bCs w:val="1"/>
                <w:color w:val="auto"/>
              </w:rPr>
              <w:t>$</w:t>
            </w:r>
          </w:p>
        </w:tc>
        <w:tc>
          <w:tcPr>
            <w:tcW w:w="580" w:type="dxa"/>
            <w:vAlign w:val="bottom"/>
            <w:shd w:val="clear" w:color="auto" w:fill="CCEEFF"/>
          </w:tcPr>
          <w:p>
            <w:pPr>
              <w:jc w:val="right"/>
              <w:spacing w:after="0" w:line="109" w:lineRule="exact"/>
              <w:rPr>
                <w:sz w:val="20"/>
                <w:szCs w:val="20"/>
                <w:color w:val="auto"/>
              </w:rPr>
            </w:pPr>
            <w:r>
              <w:rPr>
                <w:rFonts w:ascii="Arial" w:cs="Arial" w:eastAsia="Arial" w:hAnsi="Arial"/>
                <w:sz w:val="11"/>
                <w:szCs w:val="11"/>
                <w:b w:val="1"/>
                <w:bCs w:val="1"/>
                <w:color w:val="auto"/>
              </w:rPr>
              <w:t>8,952,574</w:t>
            </w:r>
          </w:p>
        </w:tc>
        <w:tc>
          <w:tcPr>
            <w:tcW w:w="200" w:type="dxa"/>
            <w:vAlign w:val="bottom"/>
            <w:shd w:val="clear" w:color="auto" w:fill="CCEEFF"/>
          </w:tcPr>
          <w:p>
            <w:pPr>
              <w:jc w:val="right"/>
              <w:ind w:right="23"/>
              <w:spacing w:after="0" w:line="80" w:lineRule="exact"/>
              <w:rPr>
                <w:sz w:val="20"/>
                <w:szCs w:val="20"/>
                <w:color w:val="auto"/>
              </w:rPr>
            </w:pPr>
            <w:r>
              <w:rPr>
                <w:rFonts w:ascii="Arial" w:cs="Arial" w:eastAsia="Arial" w:hAnsi="Arial"/>
                <w:sz w:val="7"/>
                <w:szCs w:val="7"/>
                <w:color w:val="auto"/>
              </w:rPr>
              <w:t>(3)</w:t>
            </w:r>
          </w:p>
        </w:tc>
        <w:tc>
          <w:tcPr>
            <w:tcW w:w="940" w:type="dxa"/>
            <w:vAlign w:val="bottom"/>
            <w:shd w:val="clear" w:color="auto" w:fill="CCEEFF"/>
          </w:tcPr>
          <w:p>
            <w:pPr>
              <w:jc w:val="right"/>
              <w:ind w:right="3"/>
              <w:spacing w:after="0" w:line="109" w:lineRule="exact"/>
              <w:rPr>
                <w:sz w:val="20"/>
                <w:szCs w:val="20"/>
                <w:color w:val="auto"/>
              </w:rPr>
            </w:pPr>
            <w:r>
              <w:rPr>
                <w:rFonts w:ascii="Arial" w:cs="Arial" w:eastAsia="Arial" w:hAnsi="Arial"/>
                <w:sz w:val="11"/>
                <w:szCs w:val="11"/>
                <w:b w:val="1"/>
                <w:bCs w:val="1"/>
                <w:color w:val="auto"/>
              </w:rPr>
              <w:t>4,940,345</w:t>
            </w: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3"/>
              <w:spacing w:after="0" w:line="109" w:lineRule="exact"/>
              <w:rPr>
                <w:sz w:val="20"/>
                <w:szCs w:val="20"/>
                <w:color w:val="auto"/>
              </w:rPr>
            </w:pPr>
            <w:r>
              <w:rPr>
                <w:rFonts w:ascii="Arial" w:cs="Arial" w:eastAsia="Arial" w:hAnsi="Arial"/>
                <w:sz w:val="11"/>
                <w:szCs w:val="11"/>
                <w:b w:val="1"/>
                <w:bCs w:val="1"/>
                <w:color w:val="auto"/>
              </w:rPr>
              <w:t>492,570</w:t>
            </w: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09" w:lineRule="exact"/>
              <w:rPr>
                <w:sz w:val="20"/>
                <w:szCs w:val="20"/>
                <w:color w:val="auto"/>
              </w:rPr>
            </w:pPr>
            <w:r>
              <w:rPr>
                <w:rFonts w:ascii="Arial" w:cs="Arial" w:eastAsia="Arial" w:hAnsi="Arial"/>
                <w:sz w:val="11"/>
                <w:szCs w:val="11"/>
                <w:b w:val="1"/>
                <w:bCs w:val="1"/>
                <w:color w:val="auto"/>
              </w:rPr>
              <w:t>2,670,922</w:t>
            </w: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09" w:lineRule="exact"/>
              <w:rPr>
                <w:sz w:val="20"/>
                <w:szCs w:val="20"/>
                <w:color w:val="auto"/>
              </w:rPr>
            </w:pPr>
            <w:r>
              <w:rPr>
                <w:rFonts w:ascii="Arial" w:cs="Arial" w:eastAsia="Arial" w:hAnsi="Arial"/>
                <w:sz w:val="11"/>
                <w:szCs w:val="11"/>
                <w:b w:val="1"/>
                <w:bCs w:val="1"/>
                <w:color w:val="auto"/>
              </w:rPr>
              <w:t>27,261,766</w:t>
            </w:r>
          </w:p>
        </w:tc>
        <w:tc>
          <w:tcPr>
            <w:tcW w:w="1120" w:type="dxa"/>
            <w:vAlign w:val="bottom"/>
            <w:gridSpan w:val="2"/>
            <w:shd w:val="clear" w:color="auto" w:fill="CCEEFF"/>
          </w:tcPr>
          <w:p>
            <w:pPr>
              <w:jc w:val="right"/>
              <w:ind w:right="3"/>
              <w:spacing w:after="0" w:line="109" w:lineRule="exact"/>
              <w:rPr>
                <w:sz w:val="20"/>
                <w:szCs w:val="20"/>
                <w:color w:val="auto"/>
              </w:rPr>
            </w:pPr>
            <w:r>
              <w:rPr>
                <w:rFonts w:ascii="Arial" w:cs="Arial" w:eastAsia="Arial" w:hAnsi="Arial"/>
                <w:sz w:val="11"/>
                <w:szCs w:val="11"/>
                <w:b w:val="1"/>
                <w:bCs w:val="1"/>
                <w:color w:val="auto"/>
              </w:rPr>
              <w:t>35,365,603</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6" w:lineRule="exact"/>
        <w:rPr>
          <w:sz w:val="20"/>
          <w:szCs w:val="20"/>
          <w:color w:val="auto"/>
        </w:rPr>
      </w:pPr>
    </w:p>
    <w:p>
      <w:pPr>
        <w:ind w:left="6"/>
        <w:spacing w:after="0"/>
        <w:rPr>
          <w:sz w:val="20"/>
          <w:szCs w:val="20"/>
          <w:color w:val="auto"/>
        </w:rPr>
      </w:pPr>
      <w:r>
        <w:rPr>
          <w:rFonts w:ascii="Arial" w:cs="Arial" w:eastAsia="Arial" w:hAnsi="Arial"/>
          <w:sz w:val="10"/>
          <w:szCs w:val="10"/>
          <w:color w:val="auto"/>
        </w:rPr>
        <w:t>Refer to “Mega campus” under “Definitions and reconciliations” in Item 2 for additional information.</w:t>
      </w:r>
    </w:p>
    <w:p>
      <w:pPr>
        <w:spacing w:after="0" w:line="121" w:lineRule="exact"/>
        <w:rPr>
          <w:sz w:val="20"/>
          <w:szCs w:val="20"/>
          <w:color w:val="auto"/>
        </w:rPr>
      </w:pPr>
    </w:p>
    <w:p>
      <w:pPr>
        <w:ind w:left="266" w:hanging="266"/>
        <w:spacing w:after="0" w:line="261" w:lineRule="auto"/>
        <w:tabs>
          <w:tab w:leader="none" w:pos="266" w:val="left"/>
        </w:tabs>
        <w:numPr>
          <w:ilvl w:val="0"/>
          <w:numId w:val="93"/>
        </w:numPr>
        <w:rPr>
          <w:rFonts w:ascii="Arial" w:cs="Arial" w:eastAsia="Arial" w:hAnsi="Arial"/>
          <w:sz w:val="10"/>
          <w:szCs w:val="10"/>
          <w:color w:val="auto"/>
        </w:rPr>
      </w:pPr>
      <w:r>
        <w:rPr>
          <w:rFonts w:ascii="Arial" w:cs="Arial" w:eastAsia="Arial" w:hAnsi="Arial"/>
          <w:sz w:val="10"/>
          <w:szCs w:val="10"/>
          <w:color w:val="auto"/>
        </w:rPr>
        <w:t>Total square footage includes 3,407,847 RSF of buildings currently in operation that we expect to demolish or redevelop and commence future construction. Refer to “Investments in real estate” under “Definitions and reconciliations” in Item 2 for additional information, including value-creation square feet currently included in rental properties.</w:t>
      </w:r>
    </w:p>
    <w:p>
      <w:pPr>
        <w:ind w:left="266" w:hanging="266"/>
        <w:spacing w:after="0"/>
        <w:tabs>
          <w:tab w:leader="none" w:pos="266" w:val="left"/>
        </w:tabs>
        <w:numPr>
          <w:ilvl w:val="0"/>
          <w:numId w:val="93"/>
        </w:numPr>
        <w:rPr>
          <w:rFonts w:ascii="Arial" w:cs="Arial" w:eastAsia="Arial" w:hAnsi="Arial"/>
          <w:sz w:val="10"/>
          <w:szCs w:val="10"/>
          <w:color w:val="auto"/>
        </w:rPr>
      </w:pPr>
      <w:r>
        <w:rPr>
          <w:rFonts w:ascii="Arial" w:cs="Arial" w:eastAsia="Arial" w:hAnsi="Arial"/>
          <w:sz w:val="10"/>
          <w:szCs w:val="10"/>
          <w:color w:val="auto"/>
        </w:rPr>
        <w:t>Pursuant to an option agreement, we are currently negotiating a long-term ground lease with the City of New York for the future site of a new life science building aggregating approximately 550,000 SF.</w:t>
      </w:r>
    </w:p>
    <w:p>
      <w:pPr>
        <w:spacing w:after="0" w:line="9" w:lineRule="exact"/>
        <w:rPr>
          <w:rFonts w:ascii="Arial" w:cs="Arial" w:eastAsia="Arial" w:hAnsi="Arial"/>
          <w:sz w:val="10"/>
          <w:szCs w:val="10"/>
          <w:color w:val="auto"/>
        </w:rPr>
      </w:pPr>
    </w:p>
    <w:p>
      <w:pPr>
        <w:ind w:left="266" w:right="460" w:hanging="266"/>
        <w:spacing w:after="0" w:line="262" w:lineRule="auto"/>
        <w:tabs>
          <w:tab w:leader="none" w:pos="266" w:val="left"/>
        </w:tabs>
        <w:numPr>
          <w:ilvl w:val="0"/>
          <w:numId w:val="93"/>
        </w:numPr>
        <w:rPr>
          <w:rFonts w:ascii="Arial" w:cs="Arial" w:eastAsia="Arial" w:hAnsi="Arial"/>
          <w:sz w:val="10"/>
          <w:szCs w:val="10"/>
          <w:color w:val="auto"/>
        </w:rPr>
      </w:pPr>
      <w:r>
        <w:rPr>
          <w:rFonts w:ascii="Arial" w:cs="Arial" w:eastAsia="Arial" w:hAnsi="Arial"/>
          <w:sz w:val="10"/>
          <w:szCs w:val="10"/>
          <w:color w:val="auto"/>
        </w:rPr>
        <w:t>Includes $3.9 billion of projects that are currently under construction and are 61% leased/negotiating. We also expect to commence construction of one committed near-term project aggregating $58.8 million, which is 51% leased/ negotiating, in the next two years after June 30,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25"/>
        <w:spacing w:after="0"/>
        <w:rPr>
          <w:sz w:val="20"/>
          <w:szCs w:val="20"/>
          <w:color w:val="auto"/>
        </w:rPr>
      </w:pPr>
      <w:r>
        <w:rPr>
          <w:rFonts w:ascii="Arial" w:cs="Arial" w:eastAsia="Arial" w:hAnsi="Arial"/>
          <w:sz w:val="13"/>
          <w:szCs w:val="13"/>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617855</wp:posOffset>
            </wp:positionH>
            <wp:positionV relativeFrom="paragraph">
              <wp:posOffset>188595</wp:posOffset>
            </wp:positionV>
            <wp:extent cx="5584190" cy="282638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584190" cy="2826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506"/>
        <w:spacing w:after="0"/>
        <w:rPr>
          <w:sz w:val="20"/>
          <w:szCs w:val="20"/>
          <w:color w:val="auto"/>
        </w:rPr>
      </w:pPr>
      <w:r>
        <w:rPr>
          <w:rFonts w:ascii="Arial" w:cs="Arial" w:eastAsia="Arial" w:hAnsi="Arial"/>
          <w:sz w:val="13"/>
          <w:szCs w:val="13"/>
          <w:b w:val="1"/>
          <w:bCs w:val="1"/>
          <w:color w:val="auto"/>
        </w:rPr>
        <w:t>Results of operations</w:t>
      </w:r>
    </w:p>
    <w:p>
      <w:pPr>
        <w:spacing w:after="0" w:line="162" w:lineRule="exact"/>
        <w:rPr>
          <w:sz w:val="20"/>
          <w:szCs w:val="20"/>
          <w:color w:val="auto"/>
        </w:rPr>
      </w:pPr>
    </w:p>
    <w:p>
      <w:pPr>
        <w:ind w:left="1506" w:right="1600" w:firstLine="516"/>
        <w:spacing w:after="0" w:line="250" w:lineRule="auto"/>
        <w:rPr>
          <w:sz w:val="20"/>
          <w:szCs w:val="20"/>
          <w:color w:val="auto"/>
        </w:rPr>
      </w:pPr>
      <w:r>
        <w:rPr>
          <w:rFonts w:ascii="Arial" w:cs="Arial" w:eastAsia="Arial" w:hAnsi="Arial"/>
          <w:sz w:val="13"/>
          <w:szCs w:val="13"/>
          <w:color w:val="auto"/>
        </w:rPr>
        <w:t>We present a tabular comparison of items, whether gain or loss, that may facilitate a high-level understanding of our results and provide context for the disclosures included in our annual report on Form 10-K for the year ended December 31, 2023 and our subsequent quarterly reports on Form 10-Q. We believe that such tabular presentation promotes a better understanding for investors of the corporate-level decisions made and activities performed that significantly affect comparison of our operating results from period to period. We also believe that this tabular presentation will supplement for investors an understanding of our disclosures and real estate operating results. Gains or losses on sales of real estate and impairments of assets classified as held for sale are related to corporate-level decisions to dispose of real estate. Gains or losses on early extinguishment of debt are related to corporate-level financing decisions focused on our capital structure strategy. Significant realized and unrealized gains or losses on non-real estate investments, impairments of real estate and non-real estate investments, and acceleration of stock compensation expense due to the resignations of executive officers are not related to the operating performance of our real estate assets as they result from strategic, corporate-level non-real estate investment decisions and external market conditions. Impairments of non-real estate investments are not related to the operating performance of our real estate as they represent the write-down of non-real estate investments when their fair values decrease below their respective carrying values due to changes in general market or other conditions outside of our control. Significant items, whether a gain or loss, included in the tabular disclosure for current periods are described in further detail in Item 2. Key items included in net income attributable to Alexandria’s common stockholders for the three and six months ended June 30, 2024 and 2023 and the related per share amounts were as follows (in millions, except per share amounts):</w:t>
      </w:r>
    </w:p>
    <w:p>
      <w:pPr>
        <w:sectPr>
          <w:pgSz w:w="11900" w:h="16838" w:orient="portrait"/>
          <w:cols w:equalWidth="0" w:num="1">
            <w:col w:w="10806"/>
          </w:cols>
          <w:pgMar w:left="574" w:top="110" w:right="519" w:bottom="0" w:gutter="0" w:footer="0" w:header="0"/>
        </w:sectPr>
      </w:pPr>
    </w:p>
    <w:p>
      <w:pPr>
        <w:spacing w:after="0" w:line="200" w:lineRule="exact"/>
        <w:rPr>
          <w:sz w:val="20"/>
          <w:szCs w:val="20"/>
          <w:color w:val="auto"/>
        </w:rPr>
      </w:pPr>
    </w:p>
    <w:p>
      <w:pPr>
        <w:ind w:left="4626"/>
        <w:spacing w:after="0"/>
        <w:rPr>
          <w:sz w:val="20"/>
          <w:szCs w:val="20"/>
          <w:color w:val="auto"/>
        </w:rPr>
      </w:pPr>
      <w:r>
        <w:rPr>
          <w:rFonts w:ascii="Arial" w:cs="Arial" w:eastAsia="Arial" w:hAnsi="Arial"/>
          <w:sz w:val="12"/>
          <w:szCs w:val="12"/>
          <w:color w:val="auto"/>
        </w:rPr>
        <w:t>Three Months Ended June 30,</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Arial" w:cs="Arial" w:eastAsia="Arial" w:hAnsi="Arial"/>
          <w:sz w:val="12"/>
          <w:szCs w:val="12"/>
          <w:color w:val="auto"/>
        </w:rPr>
        <w:t>Six Months Ended June 30,</w:t>
      </w:r>
    </w:p>
    <w:p>
      <w:pPr>
        <w:spacing w:after="0" w:line="66" w:lineRule="exact"/>
        <w:rPr>
          <w:sz w:val="20"/>
          <w:szCs w:val="20"/>
          <w:color w:val="auto"/>
        </w:rPr>
      </w:pPr>
    </w:p>
    <w:p>
      <w:pPr>
        <w:sectPr>
          <w:pgSz w:w="11900" w:h="16838" w:orient="portrait"/>
          <w:cols w:equalWidth="0" w:num="2">
            <w:col w:w="6586" w:space="720"/>
            <w:col w:w="3500"/>
          </w:cols>
          <w:pgMar w:left="574" w:top="110" w:right="519" w:bottom="0" w:gutter="0" w:footer="0" w:header="0"/>
          <w:type w:val="continuous"/>
        </w:sectPr>
      </w:pPr>
    </w:p>
    <w:p>
      <w:pPr>
        <w:ind w:left="4326"/>
        <w:spacing w:after="0"/>
        <w:rPr>
          <w:sz w:val="20"/>
          <w:szCs w:val="20"/>
          <w:color w:val="auto"/>
        </w:rPr>
      </w:pPr>
      <w:r>
        <w:rPr>
          <w:rFonts w:ascii="Arial" w:cs="Arial" w:eastAsia="Arial" w:hAnsi="Arial"/>
          <w:sz w:val="11"/>
          <w:szCs w:val="11"/>
          <w:color w:val="auto"/>
        </w:rPr>
        <w:t>2024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2023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2024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2023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2024</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1"/>
          <w:szCs w:val="11"/>
          <w:color w:val="auto"/>
        </w:rPr>
        <w:t>2023</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2"/>
          <w:szCs w:val="12"/>
          <w:color w:val="auto"/>
        </w:rPr>
        <w:t>2024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2023</w:t>
      </w:r>
    </w:p>
    <w:p>
      <w:pPr>
        <w:spacing w:after="0" w:line="66" w:lineRule="exact"/>
        <w:rPr>
          <w:sz w:val="20"/>
          <w:szCs w:val="20"/>
          <w:color w:val="auto"/>
        </w:rPr>
      </w:pPr>
    </w:p>
    <w:p>
      <w:pPr>
        <w:sectPr>
          <w:pgSz w:w="11900" w:h="16838" w:orient="portrait"/>
          <w:cols w:equalWidth="0" w:num="8">
            <w:col w:w="4586" w:space="360"/>
            <w:col w:w="260" w:space="440"/>
            <w:col w:w="260" w:space="380"/>
            <w:col w:w="260" w:space="440"/>
            <w:col w:w="260" w:space="360"/>
            <w:col w:w="260" w:space="360"/>
            <w:col w:w="280" w:space="320"/>
            <w:col w:w="1980"/>
          </w:cols>
          <w:pgMar w:left="574" w:top="110" w:right="519" w:bottom="0" w:gutter="0" w:footer="0" w:header="0"/>
          <w:type w:val="continuous"/>
        </w:sectPr>
      </w:pPr>
    </w:p>
    <w:p>
      <w:pPr>
        <w:ind w:left="4546"/>
        <w:spacing w:after="0"/>
        <w:rPr>
          <w:sz w:val="20"/>
          <w:szCs w:val="20"/>
          <w:color w:val="auto"/>
        </w:rPr>
      </w:pPr>
      <w:r>
        <w:rPr>
          <w:rFonts w:ascii="Arial" w:cs="Arial" w:eastAsia="Arial" w:hAnsi="Arial"/>
          <w:sz w:val="12"/>
          <w:szCs w:val="12"/>
          <w:color w:val="auto"/>
        </w:rPr>
        <w:t>Amount</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2"/>
          <w:szCs w:val="12"/>
          <w:color w:val="auto"/>
        </w:rPr>
        <w:t>Per Share – Diluted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Amount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Per Share – Diluted</w:t>
      </w:r>
    </w:p>
    <w:p>
      <w:pPr>
        <w:sectPr>
          <w:pgSz w:w="11900" w:h="16838" w:orient="portrait"/>
          <w:cols w:equalWidth="0" w:num="4">
            <w:col w:w="4966" w:space="600"/>
            <w:col w:w="1060" w:space="600"/>
            <w:col w:w="420" w:space="480"/>
            <w:col w:w="2680"/>
          </w:cols>
          <w:pgMar w:left="574" w:top="110" w:right="519" w:bottom="0" w:gutter="0" w:footer="0" w:header="0"/>
          <w:type w:val="continuous"/>
        </w:sectPr>
      </w:pPr>
    </w:p>
    <w:bookmarkStart w:id="47" w:name="page48"/>
    <w:bookmarkEnd w:id="47"/>
    <w:p>
      <w:pPr>
        <w:spacing w:after="0" w:line="1" w:lineRule="exact"/>
        <w:rPr>
          <w:sz w:val="20"/>
          <w:szCs w:val="20"/>
          <w:color w:val="auto"/>
        </w:rPr>
      </w:pPr>
    </w:p>
    <w:tbl>
      <w:tblPr>
        <w:tblLayout w:type="fixed"/>
        <w:tblInd w:w="640" w:type="dxa"/>
        <w:tblCellMar>
          <w:top w:w="0" w:type="dxa"/>
          <w:left w:w="0" w:type="dxa"/>
          <w:bottom w:w="0" w:type="dxa"/>
          <w:right w:w="0" w:type="dxa"/>
        </w:tblCellMar>
      </w:tblPr>
      <w:tr>
        <w:trPr>
          <w:trHeight w:val="138"/>
        </w:trPr>
        <w:tc>
          <w:tcPr>
            <w:tcW w:w="2660" w:type="dxa"/>
            <w:vAlign w:val="bottom"/>
          </w:tcPr>
          <w:p>
            <w:pPr>
              <w:ind w:left="40"/>
              <w:spacing w:after="0"/>
              <w:rPr>
                <w:sz w:val="20"/>
                <w:szCs w:val="20"/>
                <w:color w:val="auto"/>
              </w:rPr>
            </w:pPr>
            <w:r>
              <w:rPr>
                <w:rFonts w:ascii="Arial" w:cs="Arial" w:eastAsia="Arial" w:hAnsi="Arial"/>
                <w:sz w:val="12"/>
                <w:szCs w:val="12"/>
                <w:color w:val="auto"/>
              </w:rPr>
              <w:t>Unrealized losses on non-real estate</w:t>
            </w:r>
          </w:p>
        </w:tc>
        <w:tc>
          <w:tcPr>
            <w:tcW w:w="14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480" w:type="dxa"/>
            <w:vAlign w:val="bottom"/>
            <w:vMerge w:val="restart"/>
          </w:tcPr>
          <w:p>
            <w:pPr>
              <w:jc w:val="right"/>
              <w:spacing w:after="0"/>
              <w:rPr>
                <w:sz w:val="20"/>
                <w:szCs w:val="20"/>
                <w:color w:val="auto"/>
              </w:rPr>
            </w:pPr>
            <w:r>
              <w:rPr>
                <w:rFonts w:ascii="Arial" w:cs="Arial" w:eastAsia="Arial" w:hAnsi="Arial"/>
                <w:sz w:val="12"/>
                <w:szCs w:val="12"/>
                <w:color w:val="auto"/>
              </w:rPr>
              <w:t>(64.2)</w:t>
            </w:r>
          </w:p>
        </w:tc>
        <w:tc>
          <w:tcPr>
            <w:tcW w:w="14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440" w:type="dxa"/>
            <w:vAlign w:val="bottom"/>
            <w:vMerge w:val="restart"/>
          </w:tcPr>
          <w:p>
            <w:pPr>
              <w:jc w:val="right"/>
              <w:spacing w:after="0"/>
              <w:rPr>
                <w:sz w:val="20"/>
                <w:szCs w:val="20"/>
                <w:color w:val="auto"/>
              </w:rPr>
            </w:pPr>
            <w:r>
              <w:rPr>
                <w:rFonts w:ascii="Arial" w:cs="Arial" w:eastAsia="Arial" w:hAnsi="Arial"/>
                <w:sz w:val="12"/>
                <w:szCs w:val="12"/>
                <w:color w:val="auto"/>
              </w:rPr>
              <w:t>(77.9)</w:t>
            </w:r>
          </w:p>
        </w:tc>
        <w:tc>
          <w:tcPr>
            <w:tcW w:w="120" w:type="dxa"/>
            <w:vAlign w:val="bottom"/>
          </w:tcPr>
          <w:p>
            <w:pPr>
              <w:spacing w:after="0"/>
              <w:rPr>
                <w:sz w:val="12"/>
                <w:szCs w:val="12"/>
                <w:color w:val="auto"/>
              </w:rPr>
            </w:pPr>
          </w:p>
        </w:tc>
        <w:tc>
          <w:tcPr>
            <w:tcW w:w="180" w:type="dxa"/>
            <w:vAlign w:val="bottom"/>
            <w:vMerge w:val="restart"/>
          </w:tcPr>
          <w:p>
            <w:pPr>
              <w:jc w:val="right"/>
              <w:ind w:right="19"/>
              <w:spacing w:after="0"/>
              <w:rPr>
                <w:sz w:val="20"/>
                <w:szCs w:val="20"/>
                <w:color w:val="auto"/>
              </w:rPr>
            </w:pPr>
            <w:r>
              <w:rPr>
                <w:rFonts w:ascii="Arial" w:cs="Arial" w:eastAsia="Arial" w:hAnsi="Arial"/>
                <w:sz w:val="12"/>
                <w:szCs w:val="12"/>
                <w:color w:val="auto"/>
              </w:rPr>
              <w:t>$</w:t>
            </w:r>
          </w:p>
        </w:tc>
        <w:tc>
          <w:tcPr>
            <w:tcW w:w="440" w:type="dxa"/>
            <w:vAlign w:val="bottom"/>
            <w:vMerge w:val="restart"/>
          </w:tcPr>
          <w:p>
            <w:pPr>
              <w:jc w:val="right"/>
              <w:spacing w:after="0"/>
              <w:rPr>
                <w:sz w:val="20"/>
                <w:szCs w:val="20"/>
                <w:color w:val="auto"/>
              </w:rPr>
            </w:pPr>
            <w:r>
              <w:rPr>
                <w:rFonts w:ascii="Arial" w:cs="Arial" w:eastAsia="Arial" w:hAnsi="Arial"/>
                <w:sz w:val="12"/>
                <w:szCs w:val="12"/>
                <w:color w:val="auto"/>
              </w:rPr>
              <w:t>(0.37)</w:t>
            </w:r>
          </w:p>
        </w:tc>
        <w:tc>
          <w:tcPr>
            <w:tcW w:w="200" w:type="dxa"/>
            <w:vAlign w:val="bottom"/>
            <w:vMerge w:val="restart"/>
          </w:tcPr>
          <w:p>
            <w:pPr>
              <w:jc w:val="right"/>
              <w:ind w:right="19"/>
              <w:spacing w:after="0"/>
              <w:rPr>
                <w:sz w:val="20"/>
                <w:szCs w:val="20"/>
                <w:color w:val="auto"/>
              </w:rPr>
            </w:pPr>
            <w:r>
              <w:rPr>
                <w:rFonts w:ascii="Arial" w:cs="Arial" w:eastAsia="Arial" w:hAnsi="Arial"/>
                <w:sz w:val="12"/>
                <w:szCs w:val="12"/>
                <w:color w:val="auto"/>
              </w:rPr>
              <w:t>$</w:t>
            </w:r>
          </w:p>
        </w:tc>
        <w:tc>
          <w:tcPr>
            <w:tcW w:w="400" w:type="dxa"/>
            <w:vAlign w:val="bottom"/>
            <w:vMerge w:val="restart"/>
          </w:tcPr>
          <w:p>
            <w:pPr>
              <w:jc w:val="right"/>
              <w:spacing w:after="0"/>
              <w:rPr>
                <w:sz w:val="20"/>
                <w:szCs w:val="20"/>
                <w:color w:val="auto"/>
              </w:rPr>
            </w:pPr>
            <w:r>
              <w:rPr>
                <w:rFonts w:ascii="Arial" w:cs="Arial" w:eastAsia="Arial" w:hAnsi="Arial"/>
                <w:sz w:val="12"/>
                <w:szCs w:val="12"/>
                <w:color w:val="auto"/>
              </w:rPr>
              <w:t>(0.46)</w:t>
            </w:r>
          </w:p>
        </w:tc>
        <w:tc>
          <w:tcPr>
            <w:tcW w:w="14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440" w:type="dxa"/>
            <w:vAlign w:val="bottom"/>
            <w:vMerge w:val="restart"/>
          </w:tcPr>
          <w:p>
            <w:pPr>
              <w:jc w:val="right"/>
              <w:spacing w:after="0"/>
              <w:rPr>
                <w:sz w:val="20"/>
                <w:szCs w:val="20"/>
                <w:color w:val="auto"/>
              </w:rPr>
            </w:pPr>
            <w:r>
              <w:rPr>
                <w:rFonts w:ascii="Arial" w:cs="Arial" w:eastAsia="Arial" w:hAnsi="Arial"/>
                <w:sz w:val="12"/>
                <w:szCs w:val="12"/>
                <w:color w:val="auto"/>
              </w:rPr>
              <w:t>(35.1)</w:t>
            </w:r>
          </w:p>
        </w:tc>
        <w:tc>
          <w:tcPr>
            <w:tcW w:w="560" w:type="dxa"/>
            <w:vAlign w:val="bottom"/>
            <w:vMerge w:val="restart"/>
          </w:tcPr>
          <w:p>
            <w:pPr>
              <w:jc w:val="right"/>
              <w:spacing w:after="0"/>
              <w:rPr>
                <w:sz w:val="20"/>
                <w:szCs w:val="20"/>
                <w:color w:val="auto"/>
              </w:rPr>
            </w:pPr>
            <w:r>
              <w:rPr>
                <w:rFonts w:ascii="Arial" w:cs="Arial" w:eastAsia="Arial" w:hAnsi="Arial"/>
                <w:sz w:val="12"/>
                <w:szCs w:val="12"/>
                <w:color w:val="auto"/>
              </w:rPr>
              <w:t>$ (143.8)</w:t>
            </w:r>
          </w:p>
        </w:tc>
        <w:tc>
          <w:tcPr>
            <w:tcW w:w="8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420" w:type="dxa"/>
            <w:vAlign w:val="bottom"/>
            <w:vMerge w:val="restart"/>
          </w:tcPr>
          <w:p>
            <w:pPr>
              <w:jc w:val="right"/>
              <w:spacing w:after="0"/>
              <w:rPr>
                <w:sz w:val="20"/>
                <w:szCs w:val="20"/>
                <w:color w:val="auto"/>
              </w:rPr>
            </w:pPr>
            <w:r>
              <w:rPr>
                <w:rFonts w:ascii="Arial" w:cs="Arial" w:eastAsia="Arial" w:hAnsi="Arial"/>
                <w:sz w:val="12"/>
                <w:szCs w:val="12"/>
                <w:color w:val="auto"/>
              </w:rPr>
              <w:t>(0.20)</w:t>
            </w:r>
          </w:p>
        </w:tc>
        <w:tc>
          <w:tcPr>
            <w:tcW w:w="1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400" w:type="dxa"/>
            <w:vAlign w:val="bottom"/>
            <w:vMerge w:val="restart"/>
          </w:tcPr>
          <w:p>
            <w:pPr>
              <w:jc w:val="right"/>
              <w:spacing w:after="0"/>
              <w:rPr>
                <w:sz w:val="20"/>
                <w:szCs w:val="20"/>
                <w:color w:val="auto"/>
              </w:rPr>
            </w:pPr>
            <w:r>
              <w:rPr>
                <w:rFonts w:ascii="Arial" w:cs="Arial" w:eastAsia="Arial" w:hAnsi="Arial"/>
                <w:sz w:val="12"/>
                <w:szCs w:val="12"/>
                <w:color w:val="auto"/>
              </w:rPr>
              <w:t>(0.84)</w:t>
            </w:r>
          </w:p>
        </w:tc>
        <w:tc>
          <w:tcPr>
            <w:tcW w:w="0" w:type="dxa"/>
            <w:vAlign w:val="bottom"/>
          </w:tcPr>
          <w:p>
            <w:pPr>
              <w:spacing w:after="0"/>
              <w:rPr>
                <w:sz w:val="1"/>
                <w:szCs w:val="1"/>
                <w:color w:val="auto"/>
              </w:rPr>
            </w:pPr>
          </w:p>
        </w:tc>
      </w:tr>
      <w:tr>
        <w:trPr>
          <w:trHeight w:val="107"/>
        </w:trPr>
        <w:tc>
          <w:tcPr>
            <w:tcW w:w="2660" w:type="dxa"/>
            <w:vAlign w:val="bottom"/>
          </w:tcPr>
          <w:p>
            <w:pPr>
              <w:ind w:left="160"/>
              <w:spacing w:after="0" w:line="107" w:lineRule="exact"/>
              <w:rPr>
                <w:sz w:val="20"/>
                <w:szCs w:val="20"/>
                <w:color w:val="auto"/>
              </w:rPr>
            </w:pPr>
            <w:r>
              <w:rPr>
                <w:rFonts w:ascii="Arial" w:cs="Arial" w:eastAsia="Arial" w:hAnsi="Arial"/>
                <w:sz w:val="12"/>
                <w:szCs w:val="12"/>
                <w:color w:val="auto"/>
              </w:rPr>
              <w:t>investments</w:t>
            </w:r>
          </w:p>
        </w:tc>
        <w:tc>
          <w:tcPr>
            <w:tcW w:w="140" w:type="dxa"/>
            <w:vAlign w:val="bottom"/>
            <w:tcBorders>
              <w:bottom w:val="single" w:sz="8" w:color="auto"/>
            </w:tcBorders>
            <w:vMerge w:val="continue"/>
          </w:tcPr>
          <w:p>
            <w:pPr>
              <w:spacing w:after="0"/>
              <w:rPr>
                <w:sz w:val="9"/>
                <w:szCs w:val="9"/>
                <w:color w:val="auto"/>
              </w:rPr>
            </w:pPr>
          </w:p>
        </w:tc>
        <w:tc>
          <w:tcPr>
            <w:tcW w:w="480" w:type="dxa"/>
            <w:vAlign w:val="bottom"/>
            <w:tcBorders>
              <w:bottom w:val="single" w:sz="8" w:color="auto"/>
            </w:tcBorders>
            <w:vMerge w:val="continue"/>
          </w:tcPr>
          <w:p>
            <w:pPr>
              <w:spacing w:after="0"/>
              <w:rPr>
                <w:sz w:val="9"/>
                <w:szCs w:val="9"/>
                <w:color w:val="auto"/>
              </w:rPr>
            </w:pPr>
          </w:p>
        </w:tc>
        <w:tc>
          <w:tcPr>
            <w:tcW w:w="140" w:type="dxa"/>
            <w:vAlign w:val="bottom"/>
            <w:tcBorders>
              <w:bottom w:val="single" w:sz="8" w:color="auto"/>
            </w:tcBorders>
            <w:vMerge w:val="continue"/>
          </w:tcPr>
          <w:p>
            <w:pPr>
              <w:spacing w:after="0"/>
              <w:rPr>
                <w:sz w:val="9"/>
                <w:szCs w:val="9"/>
                <w:color w:val="auto"/>
              </w:rPr>
            </w:pPr>
          </w:p>
        </w:tc>
        <w:tc>
          <w:tcPr>
            <w:tcW w:w="440" w:type="dxa"/>
            <w:vAlign w:val="bottom"/>
            <w:tcBorders>
              <w:bottom w:val="single" w:sz="8" w:color="auto"/>
            </w:tcBorders>
            <w:vMerge w:val="continue"/>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vMerge w:val="continue"/>
          </w:tcPr>
          <w:p>
            <w:pPr>
              <w:spacing w:after="0"/>
              <w:rPr>
                <w:sz w:val="9"/>
                <w:szCs w:val="9"/>
                <w:color w:val="auto"/>
              </w:rPr>
            </w:pPr>
          </w:p>
        </w:tc>
        <w:tc>
          <w:tcPr>
            <w:tcW w:w="440" w:type="dxa"/>
            <w:vAlign w:val="bottom"/>
            <w:tcBorders>
              <w:bottom w:val="single" w:sz="8" w:color="auto"/>
            </w:tcBorders>
            <w:vMerge w:val="continue"/>
          </w:tcPr>
          <w:p>
            <w:pPr>
              <w:spacing w:after="0"/>
              <w:rPr>
                <w:sz w:val="9"/>
                <w:szCs w:val="9"/>
                <w:color w:val="auto"/>
              </w:rPr>
            </w:pPr>
          </w:p>
        </w:tc>
        <w:tc>
          <w:tcPr>
            <w:tcW w:w="200" w:type="dxa"/>
            <w:vAlign w:val="bottom"/>
            <w:tcBorders>
              <w:bottom w:val="single" w:sz="8" w:color="auto"/>
            </w:tcBorders>
            <w:vMerge w:val="continue"/>
          </w:tcPr>
          <w:p>
            <w:pPr>
              <w:spacing w:after="0"/>
              <w:rPr>
                <w:sz w:val="9"/>
                <w:szCs w:val="9"/>
                <w:color w:val="auto"/>
              </w:rPr>
            </w:pPr>
          </w:p>
        </w:tc>
        <w:tc>
          <w:tcPr>
            <w:tcW w:w="400" w:type="dxa"/>
            <w:vAlign w:val="bottom"/>
            <w:tcBorders>
              <w:bottom w:val="single" w:sz="8" w:color="auto"/>
            </w:tcBorders>
            <w:vMerge w:val="continue"/>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Borders>
              <w:bottom w:val="single" w:sz="8" w:color="auto"/>
            </w:tcBorders>
            <w:vMerge w:val="continue"/>
          </w:tcPr>
          <w:p>
            <w:pPr>
              <w:spacing w:after="0"/>
              <w:rPr>
                <w:sz w:val="9"/>
                <w:szCs w:val="9"/>
                <w:color w:val="auto"/>
              </w:rPr>
            </w:pPr>
          </w:p>
        </w:tc>
        <w:tc>
          <w:tcPr>
            <w:tcW w:w="440" w:type="dxa"/>
            <w:vAlign w:val="bottom"/>
            <w:tcBorders>
              <w:bottom w:val="single" w:sz="8" w:color="auto"/>
            </w:tcBorders>
            <w:vMerge w:val="continue"/>
          </w:tcPr>
          <w:p>
            <w:pPr>
              <w:spacing w:after="0"/>
              <w:rPr>
                <w:sz w:val="9"/>
                <w:szCs w:val="9"/>
                <w:color w:val="auto"/>
              </w:rPr>
            </w:pPr>
          </w:p>
        </w:tc>
        <w:tc>
          <w:tcPr>
            <w:tcW w:w="560" w:type="dxa"/>
            <w:vAlign w:val="bottom"/>
            <w:tcBorders>
              <w:bottom w:val="single" w:sz="8" w:color="auto"/>
            </w:tcBorders>
            <w:vMerge w:val="continue"/>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vMerge w:val="continue"/>
          </w:tcPr>
          <w:p>
            <w:pPr>
              <w:spacing w:after="0"/>
              <w:rPr>
                <w:sz w:val="9"/>
                <w:szCs w:val="9"/>
                <w:color w:val="auto"/>
              </w:rPr>
            </w:pPr>
          </w:p>
        </w:tc>
        <w:tc>
          <w:tcPr>
            <w:tcW w:w="420" w:type="dxa"/>
            <w:vAlign w:val="bottom"/>
            <w:tcBorders>
              <w:bottom w:val="single" w:sz="8" w:color="auto"/>
            </w:tcBorders>
            <w:vMerge w:val="continue"/>
          </w:tcPr>
          <w:p>
            <w:pPr>
              <w:spacing w:after="0"/>
              <w:rPr>
                <w:sz w:val="9"/>
                <w:szCs w:val="9"/>
                <w:color w:val="auto"/>
              </w:rPr>
            </w:pPr>
          </w:p>
        </w:tc>
        <w:tc>
          <w:tcPr>
            <w:tcW w:w="180" w:type="dxa"/>
            <w:vAlign w:val="bottom"/>
            <w:tcBorders>
              <w:bottom w:val="single" w:sz="8" w:color="auto"/>
            </w:tcBorders>
            <w:vMerge w:val="continue"/>
          </w:tcPr>
          <w:p>
            <w:pPr>
              <w:spacing w:after="0"/>
              <w:rPr>
                <w:sz w:val="9"/>
                <w:szCs w:val="9"/>
                <w:color w:val="auto"/>
              </w:rPr>
            </w:pPr>
          </w:p>
        </w:tc>
        <w:tc>
          <w:tcPr>
            <w:tcW w:w="40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6"/>
        </w:trPr>
        <w:tc>
          <w:tcPr>
            <w:tcW w:w="2660" w:type="dxa"/>
            <w:vAlign w:val="bottom"/>
          </w:tcPr>
          <w:p>
            <w:pPr>
              <w:ind w:left="40"/>
              <w:spacing w:after="0"/>
              <w:rPr>
                <w:sz w:val="20"/>
                <w:szCs w:val="20"/>
                <w:color w:val="auto"/>
              </w:rPr>
            </w:pPr>
            <w:r>
              <w:rPr>
                <w:rFonts w:ascii="Arial" w:cs="Arial" w:eastAsia="Arial" w:hAnsi="Arial"/>
                <w:sz w:val="12"/>
                <w:szCs w:val="12"/>
                <w:color w:val="auto"/>
              </w:rPr>
              <w:t>Gain on sales of real estate</w:t>
            </w:r>
          </w:p>
        </w:tc>
        <w:tc>
          <w:tcPr>
            <w:tcW w:w="1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214.8</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ind w:right="19"/>
              <w:spacing w:after="0"/>
              <w:rPr>
                <w:sz w:val="20"/>
                <w:szCs w:val="20"/>
                <w:color w:val="auto"/>
              </w:rPr>
            </w:pPr>
            <w:r>
              <w:rPr>
                <w:rFonts w:ascii="Arial" w:cs="Arial" w:eastAsia="Arial" w:hAnsi="Arial"/>
                <w:sz w:val="12"/>
                <w:szCs w:val="12"/>
                <w:color w:val="auto"/>
              </w:rPr>
              <w:t>—</w:t>
            </w:r>
          </w:p>
        </w:tc>
        <w:tc>
          <w:tcPr>
            <w:tcW w:w="2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1.26</w:t>
            </w: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color w:val="auto"/>
              </w:rPr>
              <w:t>0.4</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214.8</w:t>
            </w: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ind w:right="19"/>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1.26</w:t>
            </w:r>
          </w:p>
        </w:tc>
        <w:tc>
          <w:tcPr>
            <w:tcW w:w="0" w:type="dxa"/>
            <w:vAlign w:val="bottom"/>
          </w:tcPr>
          <w:p>
            <w:pPr>
              <w:spacing w:after="0"/>
              <w:rPr>
                <w:sz w:val="1"/>
                <w:szCs w:val="1"/>
                <w:color w:val="auto"/>
              </w:rPr>
            </w:pPr>
          </w:p>
        </w:tc>
      </w:tr>
      <w:tr>
        <w:trPr>
          <w:trHeight w:val="184"/>
        </w:trPr>
        <w:tc>
          <w:tcPr>
            <w:tcW w:w="2660" w:type="dxa"/>
            <w:vAlign w:val="bottom"/>
          </w:tcPr>
          <w:p>
            <w:pPr>
              <w:ind w:left="40"/>
              <w:spacing w:after="0"/>
              <w:rPr>
                <w:sz w:val="20"/>
                <w:szCs w:val="20"/>
                <w:color w:val="auto"/>
              </w:rPr>
            </w:pPr>
            <w:r>
              <w:rPr>
                <w:rFonts w:ascii="Arial" w:cs="Arial" w:eastAsia="Arial" w:hAnsi="Arial"/>
                <w:sz w:val="12"/>
                <w:szCs w:val="12"/>
                <w:color w:val="auto"/>
              </w:rPr>
              <w:t>Impairment of non-real estate investments</w:t>
            </w:r>
          </w:p>
        </w:tc>
        <w:tc>
          <w:tcPr>
            <w:tcW w:w="1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(12.8)</w:t>
            </w:r>
          </w:p>
        </w:tc>
        <w:tc>
          <w:tcPr>
            <w:tcW w:w="1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(23.0)</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(0.08)</w:t>
            </w:r>
          </w:p>
        </w:tc>
        <w:tc>
          <w:tcPr>
            <w:tcW w:w="2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(0.13)</w:t>
            </w: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(27.5)</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(23.0)</w:t>
            </w: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(0.16)</w:t>
            </w:r>
          </w:p>
        </w:tc>
        <w:tc>
          <w:tcPr>
            <w:tcW w:w="1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(0.13)</w:t>
            </w:r>
          </w:p>
        </w:tc>
        <w:tc>
          <w:tcPr>
            <w:tcW w:w="0" w:type="dxa"/>
            <w:vAlign w:val="bottom"/>
          </w:tcPr>
          <w:p>
            <w:pPr>
              <w:spacing w:after="0"/>
              <w:rPr>
                <w:sz w:val="1"/>
                <w:szCs w:val="1"/>
                <w:color w:val="auto"/>
              </w:rPr>
            </w:pPr>
          </w:p>
        </w:tc>
      </w:tr>
      <w:tr>
        <w:trPr>
          <w:trHeight w:val="176"/>
        </w:trPr>
        <w:tc>
          <w:tcPr>
            <w:tcW w:w="2660" w:type="dxa"/>
            <w:vAlign w:val="bottom"/>
          </w:tcPr>
          <w:p>
            <w:pPr>
              <w:ind w:left="40"/>
              <w:spacing w:after="0"/>
              <w:rPr>
                <w:sz w:val="20"/>
                <w:szCs w:val="20"/>
                <w:color w:val="auto"/>
              </w:rPr>
            </w:pPr>
            <w:r>
              <w:rPr>
                <w:rFonts w:ascii="Arial" w:cs="Arial" w:eastAsia="Arial" w:hAnsi="Arial"/>
                <w:sz w:val="12"/>
                <w:szCs w:val="12"/>
                <w:color w:val="auto"/>
              </w:rPr>
              <w:t>Impairment of real estate</w:t>
            </w:r>
          </w:p>
        </w:tc>
        <w:tc>
          <w:tcPr>
            <w:tcW w:w="1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(30.8)</w:t>
            </w:r>
          </w:p>
        </w:tc>
        <w:tc>
          <w:tcPr>
            <w:tcW w:w="1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(168.6)</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(0.18)</w:t>
            </w:r>
          </w:p>
        </w:tc>
        <w:tc>
          <w:tcPr>
            <w:tcW w:w="2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(0.99)</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(30.8)</w:t>
            </w:r>
          </w:p>
        </w:tc>
        <w:tc>
          <w:tcPr>
            <w:tcW w:w="560" w:type="dxa"/>
            <w:vAlign w:val="bottom"/>
          </w:tcPr>
          <w:p>
            <w:pPr>
              <w:jc w:val="right"/>
              <w:spacing w:after="0"/>
              <w:rPr>
                <w:sz w:val="20"/>
                <w:szCs w:val="20"/>
                <w:color w:val="auto"/>
              </w:rPr>
            </w:pPr>
            <w:r>
              <w:rPr>
                <w:rFonts w:ascii="Arial" w:cs="Arial" w:eastAsia="Arial" w:hAnsi="Arial"/>
                <w:sz w:val="12"/>
                <w:szCs w:val="12"/>
                <w:color w:val="auto"/>
              </w:rPr>
              <w:t>(168.6)</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(0.18)</w:t>
            </w:r>
          </w:p>
        </w:tc>
        <w:tc>
          <w:tcPr>
            <w:tcW w:w="1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(0.99)</w:t>
            </w:r>
          </w:p>
        </w:tc>
        <w:tc>
          <w:tcPr>
            <w:tcW w:w="0" w:type="dxa"/>
            <w:vAlign w:val="bottom"/>
          </w:tcPr>
          <w:p>
            <w:pPr>
              <w:spacing w:after="0"/>
              <w:rPr>
                <w:sz w:val="1"/>
                <w:szCs w:val="1"/>
                <w:color w:val="auto"/>
              </w:rPr>
            </w:pPr>
          </w:p>
        </w:tc>
      </w:tr>
      <w:tr>
        <w:trPr>
          <w:trHeight w:val="204"/>
        </w:trPr>
        <w:tc>
          <w:tcPr>
            <w:tcW w:w="2660" w:type="dxa"/>
            <w:vAlign w:val="bottom"/>
          </w:tcPr>
          <w:p>
            <w:pPr>
              <w:ind w:left="160"/>
              <w:spacing w:after="0"/>
              <w:rPr>
                <w:sz w:val="20"/>
                <w:szCs w:val="20"/>
                <w:color w:val="auto"/>
              </w:rPr>
            </w:pPr>
            <w:r>
              <w:rPr>
                <w:rFonts w:ascii="Arial" w:cs="Arial" w:eastAsia="Arial" w:hAnsi="Arial"/>
                <w:sz w:val="12"/>
                <w:szCs w:val="12"/>
                <w:color w:val="auto"/>
              </w:rPr>
              <w:t>Total</w:t>
            </w:r>
          </w:p>
        </w:tc>
        <w:tc>
          <w:tcPr>
            <w:tcW w:w="140" w:type="dxa"/>
            <w:vAlign w:val="bottom"/>
          </w:tcPr>
          <w:p>
            <w:pPr>
              <w:jc w:val="right"/>
              <w:spacing w:after="0"/>
              <w:rPr>
                <w:sz w:val="20"/>
                <w:szCs w:val="20"/>
                <w:color w:val="auto"/>
              </w:rPr>
            </w:pPr>
            <w:r>
              <w:rPr>
                <w:rFonts w:ascii="Arial" w:cs="Arial" w:eastAsia="Arial" w:hAnsi="Arial"/>
                <w:sz w:val="12"/>
                <w:szCs w:val="12"/>
                <w:color w:val="auto"/>
              </w:rPr>
              <w:t>$</w:t>
            </w:r>
          </w:p>
        </w:tc>
        <w:tc>
          <w:tcPr>
            <w:tcW w:w="480" w:type="dxa"/>
            <w:vAlign w:val="bottom"/>
          </w:tcPr>
          <w:p>
            <w:pPr>
              <w:jc w:val="right"/>
              <w:spacing w:after="0"/>
              <w:rPr>
                <w:sz w:val="20"/>
                <w:szCs w:val="20"/>
                <w:color w:val="auto"/>
              </w:rPr>
            </w:pPr>
            <w:r>
              <w:rPr>
                <w:rFonts w:ascii="Arial" w:cs="Arial" w:eastAsia="Arial" w:hAnsi="Arial"/>
                <w:sz w:val="12"/>
                <w:szCs w:val="12"/>
                <w:color w:val="auto"/>
              </w:rPr>
              <w:t>(107.8)</w:t>
            </w:r>
          </w:p>
        </w:tc>
        <w:tc>
          <w:tcPr>
            <w:tcW w:w="140" w:type="dxa"/>
            <w:vAlign w:val="bottom"/>
          </w:tcPr>
          <w:p>
            <w:pPr>
              <w:jc w:val="right"/>
              <w:spacing w:after="0"/>
              <w:rPr>
                <w:sz w:val="20"/>
                <w:szCs w:val="20"/>
                <w:color w:val="auto"/>
              </w:rPr>
            </w:pPr>
            <w:r>
              <w:rPr>
                <w:rFonts w:ascii="Arial" w:cs="Arial" w:eastAsia="Arial" w:hAnsi="Arial"/>
                <w:sz w:val="12"/>
                <w:szCs w:val="12"/>
                <w:color w:val="auto"/>
              </w:rPr>
              <w:t>$</w:t>
            </w:r>
          </w:p>
        </w:tc>
        <w:tc>
          <w:tcPr>
            <w:tcW w:w="440" w:type="dxa"/>
            <w:vAlign w:val="bottom"/>
          </w:tcPr>
          <w:p>
            <w:pPr>
              <w:jc w:val="right"/>
              <w:spacing w:after="0"/>
              <w:rPr>
                <w:sz w:val="20"/>
                <w:szCs w:val="20"/>
                <w:color w:val="auto"/>
              </w:rPr>
            </w:pPr>
            <w:r>
              <w:rPr>
                <w:rFonts w:ascii="Arial" w:cs="Arial" w:eastAsia="Arial" w:hAnsi="Arial"/>
                <w:sz w:val="12"/>
                <w:szCs w:val="12"/>
                <w:color w:val="auto"/>
              </w:rPr>
              <w:t>(54.7)</w:t>
            </w:r>
          </w:p>
        </w:tc>
        <w:tc>
          <w:tcPr>
            <w:tcW w:w="120" w:type="dxa"/>
            <w:vAlign w:val="bottom"/>
          </w:tcPr>
          <w:p>
            <w:pPr>
              <w:spacing w:after="0"/>
              <w:rPr>
                <w:sz w:val="17"/>
                <w:szCs w:val="17"/>
                <w:color w:val="auto"/>
              </w:rPr>
            </w:pPr>
          </w:p>
        </w:tc>
        <w:tc>
          <w:tcPr>
            <w:tcW w:w="180" w:type="dxa"/>
            <w:vAlign w:val="bottom"/>
          </w:tcPr>
          <w:p>
            <w:pPr>
              <w:jc w:val="right"/>
              <w:ind w:right="19"/>
              <w:spacing w:after="0"/>
              <w:rPr>
                <w:sz w:val="20"/>
                <w:szCs w:val="20"/>
                <w:color w:val="auto"/>
              </w:rPr>
            </w:pPr>
            <w:r>
              <w:rPr>
                <w:rFonts w:ascii="Arial" w:cs="Arial" w:eastAsia="Arial" w:hAnsi="Arial"/>
                <w:sz w:val="12"/>
                <w:szCs w:val="12"/>
                <w:color w:val="auto"/>
              </w:rPr>
              <w:t>$</w:t>
            </w:r>
          </w:p>
        </w:tc>
        <w:tc>
          <w:tcPr>
            <w:tcW w:w="440" w:type="dxa"/>
            <w:vAlign w:val="bottom"/>
          </w:tcPr>
          <w:p>
            <w:pPr>
              <w:jc w:val="right"/>
              <w:spacing w:after="0"/>
              <w:rPr>
                <w:sz w:val="20"/>
                <w:szCs w:val="20"/>
                <w:color w:val="auto"/>
              </w:rPr>
            </w:pPr>
            <w:r>
              <w:rPr>
                <w:rFonts w:ascii="Arial" w:cs="Arial" w:eastAsia="Arial" w:hAnsi="Arial"/>
                <w:sz w:val="12"/>
                <w:szCs w:val="12"/>
                <w:color w:val="auto"/>
              </w:rPr>
              <w:t>(0.63)</w:t>
            </w:r>
          </w:p>
        </w:tc>
        <w:tc>
          <w:tcPr>
            <w:tcW w:w="200" w:type="dxa"/>
            <w:vAlign w:val="bottom"/>
          </w:tcPr>
          <w:p>
            <w:pPr>
              <w:jc w:val="right"/>
              <w:ind w:right="19"/>
              <w:spacing w:after="0"/>
              <w:rPr>
                <w:sz w:val="20"/>
                <w:szCs w:val="20"/>
                <w:color w:val="auto"/>
              </w:rPr>
            </w:pPr>
            <w:r>
              <w:rPr>
                <w:rFonts w:ascii="Arial" w:cs="Arial" w:eastAsia="Arial" w:hAnsi="Arial"/>
                <w:sz w:val="12"/>
                <w:szCs w:val="12"/>
                <w:color w:val="auto"/>
              </w:rPr>
              <w:t>$</w:t>
            </w:r>
          </w:p>
        </w:tc>
        <w:tc>
          <w:tcPr>
            <w:tcW w:w="400" w:type="dxa"/>
            <w:vAlign w:val="bottom"/>
          </w:tcPr>
          <w:p>
            <w:pPr>
              <w:jc w:val="right"/>
              <w:spacing w:after="0"/>
              <w:rPr>
                <w:sz w:val="20"/>
                <w:szCs w:val="20"/>
                <w:color w:val="auto"/>
              </w:rPr>
            </w:pPr>
            <w:r>
              <w:rPr>
                <w:rFonts w:ascii="Arial" w:cs="Arial" w:eastAsia="Arial" w:hAnsi="Arial"/>
                <w:sz w:val="12"/>
                <w:szCs w:val="12"/>
                <w:color w:val="auto"/>
              </w:rPr>
              <w:t>(0.32)</w:t>
            </w:r>
          </w:p>
        </w:tc>
        <w:tc>
          <w:tcPr>
            <w:tcW w:w="14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440" w:type="dxa"/>
            <w:vAlign w:val="bottom"/>
          </w:tcPr>
          <w:p>
            <w:pPr>
              <w:jc w:val="right"/>
              <w:spacing w:after="0"/>
              <w:rPr>
                <w:sz w:val="20"/>
                <w:szCs w:val="20"/>
                <w:color w:val="auto"/>
              </w:rPr>
            </w:pPr>
            <w:r>
              <w:rPr>
                <w:rFonts w:ascii="Arial" w:cs="Arial" w:eastAsia="Arial" w:hAnsi="Arial"/>
                <w:sz w:val="12"/>
                <w:szCs w:val="12"/>
                <w:color w:val="auto"/>
              </w:rPr>
              <w:t>(93.0)</w:t>
            </w:r>
          </w:p>
        </w:tc>
        <w:tc>
          <w:tcPr>
            <w:tcW w:w="560" w:type="dxa"/>
            <w:vAlign w:val="bottom"/>
          </w:tcPr>
          <w:p>
            <w:pPr>
              <w:jc w:val="right"/>
              <w:spacing w:after="0"/>
              <w:rPr>
                <w:sz w:val="20"/>
                <w:szCs w:val="20"/>
                <w:color w:val="auto"/>
              </w:rPr>
            </w:pPr>
            <w:r>
              <w:rPr>
                <w:rFonts w:ascii="Arial" w:cs="Arial" w:eastAsia="Arial" w:hAnsi="Arial"/>
                <w:sz w:val="12"/>
                <w:szCs w:val="12"/>
                <w:color w:val="auto"/>
              </w:rPr>
              <w:t>$ (120.6)</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420" w:type="dxa"/>
            <w:vAlign w:val="bottom"/>
          </w:tcPr>
          <w:p>
            <w:pPr>
              <w:jc w:val="right"/>
              <w:spacing w:after="0"/>
              <w:rPr>
                <w:sz w:val="20"/>
                <w:szCs w:val="20"/>
                <w:color w:val="auto"/>
              </w:rPr>
            </w:pPr>
            <w:r>
              <w:rPr>
                <w:rFonts w:ascii="Arial" w:cs="Arial" w:eastAsia="Arial" w:hAnsi="Arial"/>
                <w:sz w:val="12"/>
                <w:szCs w:val="12"/>
                <w:color w:val="auto"/>
              </w:rPr>
              <w:t>(0.54)</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400" w:type="dxa"/>
            <w:vAlign w:val="bottom"/>
          </w:tcPr>
          <w:p>
            <w:pPr>
              <w:jc w:val="right"/>
              <w:spacing w:after="0"/>
              <w:rPr>
                <w:sz w:val="20"/>
                <w:szCs w:val="20"/>
                <w:color w:val="auto"/>
              </w:rPr>
            </w:pPr>
            <w:r>
              <w:rPr>
                <w:rFonts w:ascii="Arial" w:cs="Arial" w:eastAsia="Arial" w:hAnsi="Arial"/>
                <w:sz w:val="12"/>
                <w:szCs w:val="12"/>
                <w:color w:val="auto"/>
              </w:rPr>
              <w:t>(0.70)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-637540</wp:posOffset>
            </wp:positionV>
            <wp:extent cx="5584190" cy="43878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584190" cy="4387850"/>
                    </a:xfrm>
                    <a:prstGeom prst="rect">
                      <a:avLst/>
                    </a:prstGeom>
                    <a:noFill/>
                  </pic:spPr>
                </pic:pic>
              </a:graphicData>
            </a:graphic>
          </wp:anchor>
        </w:drawing>
      </w:r>
    </w:p>
    <w:p>
      <w:pPr>
        <w:spacing w:after="0" w:line="275" w:lineRule="exact"/>
        <w:rPr>
          <w:sz w:val="20"/>
          <w:szCs w:val="20"/>
          <w:color w:val="auto"/>
        </w:rPr>
      </w:pPr>
    </w:p>
    <w:p>
      <w:pPr>
        <w:jc w:val="both"/>
        <w:ind w:left="640" w:right="659" w:firstLine="516"/>
        <w:spacing w:after="0" w:line="272" w:lineRule="auto"/>
        <w:rPr>
          <w:sz w:val="20"/>
          <w:szCs w:val="20"/>
          <w:color w:val="auto"/>
        </w:rPr>
      </w:pPr>
      <w:r>
        <w:rPr>
          <w:rFonts w:ascii="Arial" w:cs="Arial" w:eastAsia="Arial" w:hAnsi="Arial"/>
          <w:sz w:val="13"/>
          <w:szCs w:val="13"/>
          <w:color w:val="auto"/>
        </w:rPr>
        <w:t>Refer to Note 3 – “Investments in real estate” and Note 7 – “Investments” to our unaudited consolidated financial statements in Item 1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188595</wp:posOffset>
            </wp:positionV>
            <wp:extent cx="5584190" cy="606552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584190" cy="6065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40"/>
        <w:spacing w:after="0"/>
        <w:rPr>
          <w:sz w:val="20"/>
          <w:szCs w:val="20"/>
          <w:color w:val="auto"/>
        </w:rPr>
      </w:pPr>
      <w:r>
        <w:rPr>
          <w:rFonts w:ascii="Arial" w:cs="Arial" w:eastAsia="Arial" w:hAnsi="Arial"/>
          <w:sz w:val="13"/>
          <w:szCs w:val="13"/>
          <w:u w:val="single" w:color="auto"/>
          <w:color w:val="auto"/>
        </w:rPr>
        <w:t>Same properties</w:t>
      </w:r>
    </w:p>
    <w:p>
      <w:pPr>
        <w:spacing w:after="0" w:line="108" w:lineRule="exact"/>
        <w:rPr>
          <w:sz w:val="20"/>
          <w:szCs w:val="20"/>
          <w:color w:val="auto"/>
        </w:rPr>
      </w:pPr>
    </w:p>
    <w:p>
      <w:pPr>
        <w:ind w:left="640" w:right="819" w:firstLine="516"/>
        <w:spacing w:after="0" w:line="257" w:lineRule="auto"/>
        <w:rPr>
          <w:sz w:val="20"/>
          <w:szCs w:val="20"/>
          <w:color w:val="auto"/>
        </w:rPr>
      </w:pPr>
      <w:r>
        <w:rPr>
          <w:rFonts w:ascii="Arial" w:cs="Arial" w:eastAsia="Arial" w:hAnsi="Arial"/>
          <w:sz w:val="13"/>
          <w:szCs w:val="13"/>
          <w:color w:val="auto"/>
        </w:rPr>
        <w:t>We supplement an evaluation of our results of operations with an evaluation of operating performance of certain of our properties, referred to as “Same Properties.” For additional information on the determination of our Same Properties portfolio, refer to “Same property comparisons” under “Definitions and reconciliations” in Item 2. The following table presents information regarding our Same Properties for the three and six months ended June 30, 2024:</w:t>
      </w:r>
    </w:p>
    <w:p>
      <w:pPr>
        <w:spacing w:after="0" w:line="165"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5000" w:type="dxa"/>
            <w:vAlign w:val="bottom"/>
          </w:tcPr>
          <w:p>
            <w:pPr>
              <w:spacing w:after="0"/>
              <w:rPr>
                <w:sz w:val="13"/>
                <w:szCs w:val="13"/>
                <w:color w:val="auto"/>
              </w:rPr>
            </w:pPr>
          </w:p>
        </w:tc>
        <w:tc>
          <w:tcPr>
            <w:tcW w:w="2720" w:type="dxa"/>
            <w:vAlign w:val="bottom"/>
            <w:tcBorders>
              <w:bottom w:val="single" w:sz="8" w:color="auto"/>
            </w:tcBorders>
            <w:gridSpan w:val="3"/>
          </w:tcPr>
          <w:p>
            <w:pPr>
              <w:jc w:val="right"/>
              <w:ind w:right="896"/>
              <w:spacing w:after="0"/>
              <w:rPr>
                <w:sz w:val="20"/>
                <w:szCs w:val="20"/>
                <w:color w:val="auto"/>
              </w:rPr>
            </w:pPr>
            <w:r>
              <w:rPr>
                <w:rFonts w:ascii="Arial" w:cs="Arial" w:eastAsia="Arial" w:hAnsi="Arial"/>
                <w:sz w:val="13"/>
                <w:szCs w:val="13"/>
                <w:color w:val="auto"/>
              </w:rPr>
              <w:t>June 30, 2024</w:t>
            </w:r>
          </w:p>
        </w:tc>
        <w:tc>
          <w:tcPr>
            <w:tcW w:w="0" w:type="dxa"/>
            <w:vAlign w:val="bottom"/>
          </w:tcPr>
          <w:p>
            <w:pPr>
              <w:spacing w:after="0"/>
              <w:rPr>
                <w:sz w:val="1"/>
                <w:szCs w:val="1"/>
                <w:color w:val="auto"/>
              </w:rPr>
            </w:pPr>
          </w:p>
        </w:tc>
      </w:tr>
      <w:tr>
        <w:trPr>
          <w:trHeight w:val="184"/>
        </w:trPr>
        <w:tc>
          <w:tcPr>
            <w:tcW w:w="5000" w:type="dxa"/>
            <w:vAlign w:val="bottom"/>
          </w:tcPr>
          <w:p>
            <w:pPr>
              <w:spacing w:after="0"/>
              <w:rPr>
                <w:sz w:val="16"/>
                <w:szCs w:val="16"/>
                <w:color w:val="auto"/>
              </w:rPr>
            </w:pPr>
          </w:p>
        </w:tc>
        <w:tc>
          <w:tcPr>
            <w:tcW w:w="1380" w:type="dxa"/>
            <w:vAlign w:val="bottom"/>
            <w:gridSpan w:val="2"/>
          </w:tcPr>
          <w:p>
            <w:pPr>
              <w:ind w:left="60"/>
              <w:spacing w:after="0"/>
              <w:rPr>
                <w:sz w:val="20"/>
                <w:szCs w:val="20"/>
                <w:color w:val="auto"/>
              </w:rPr>
            </w:pPr>
            <w:r>
              <w:rPr>
                <w:rFonts w:ascii="Arial" w:cs="Arial" w:eastAsia="Arial" w:hAnsi="Arial"/>
                <w:sz w:val="13"/>
                <w:szCs w:val="13"/>
                <w:color w:val="auto"/>
              </w:rPr>
              <w:t>Three Months Ended</w:t>
            </w:r>
          </w:p>
        </w:tc>
        <w:tc>
          <w:tcPr>
            <w:tcW w:w="1340" w:type="dxa"/>
            <w:vAlign w:val="bottom"/>
          </w:tcPr>
          <w:p>
            <w:pPr>
              <w:jc w:val="right"/>
              <w:ind w:right="76"/>
              <w:spacing w:after="0"/>
              <w:rPr>
                <w:sz w:val="20"/>
                <w:szCs w:val="20"/>
                <w:color w:val="auto"/>
              </w:rPr>
            </w:pPr>
            <w:r>
              <w:rPr>
                <w:rFonts w:ascii="Arial" w:cs="Arial" w:eastAsia="Arial" w:hAnsi="Arial"/>
                <w:sz w:val="13"/>
                <w:szCs w:val="13"/>
                <w:color w:val="auto"/>
              </w:rPr>
              <w:t>Six Months Ended</w:t>
            </w:r>
          </w:p>
        </w:tc>
        <w:tc>
          <w:tcPr>
            <w:tcW w:w="0" w:type="dxa"/>
            <w:vAlign w:val="bottom"/>
          </w:tcPr>
          <w:p>
            <w:pPr>
              <w:spacing w:after="0"/>
              <w:rPr>
                <w:sz w:val="1"/>
                <w:szCs w:val="1"/>
                <w:color w:val="auto"/>
              </w:rPr>
            </w:pPr>
          </w:p>
        </w:tc>
      </w:tr>
      <w:tr>
        <w:trPr>
          <w:trHeight w:val="184"/>
        </w:trPr>
        <w:tc>
          <w:tcPr>
            <w:tcW w:w="50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Percentage change in net operating income over comparable period from prior year</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40" w:type="dxa"/>
            <w:vAlign w:val="bottom"/>
            <w:tcBorders>
              <w:top w:val="single" w:sz="8" w:color="CCEEFF"/>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72"/>
        </w:trPr>
        <w:tc>
          <w:tcPr>
            <w:tcW w:w="5000" w:type="dxa"/>
            <w:vAlign w:val="bottom"/>
          </w:tcPr>
          <w:p>
            <w:pPr>
              <w:ind w:left="40"/>
              <w:spacing w:after="0"/>
              <w:rPr>
                <w:sz w:val="20"/>
                <w:szCs w:val="20"/>
                <w:color w:val="auto"/>
              </w:rPr>
            </w:pPr>
            <w:r>
              <w:rPr>
                <w:rFonts w:ascii="Arial" w:cs="Arial" w:eastAsia="Arial" w:hAnsi="Arial"/>
                <w:sz w:val="13"/>
                <w:szCs w:val="13"/>
                <w:color w:val="auto"/>
              </w:rPr>
              <w:t>Percentage change in net operating income (cash basis) over comparable period</w:t>
            </w:r>
          </w:p>
        </w:tc>
        <w:tc>
          <w:tcPr>
            <w:tcW w:w="1340" w:type="dxa"/>
            <w:vAlign w:val="bottom"/>
            <w:vMerge w:val="restart"/>
          </w:tcPr>
          <w:p>
            <w:pPr>
              <w:jc w:val="right"/>
              <w:spacing w:after="0"/>
              <w:rPr>
                <w:sz w:val="20"/>
                <w:szCs w:val="20"/>
                <w:color w:val="auto"/>
              </w:rPr>
            </w:pPr>
            <w:r>
              <w:rPr>
                <w:rFonts w:ascii="Arial" w:cs="Arial" w:eastAsia="Arial" w:hAnsi="Arial"/>
                <w:sz w:val="13"/>
                <w:szCs w:val="13"/>
                <w:color w:val="auto"/>
              </w:rPr>
              <w:t>3.9%</w:t>
            </w:r>
          </w:p>
        </w:tc>
        <w:tc>
          <w:tcPr>
            <w:tcW w:w="40" w:type="dxa"/>
            <w:vAlign w:val="bottom"/>
          </w:tcPr>
          <w:p>
            <w:pPr>
              <w:spacing w:after="0"/>
              <w:rPr>
                <w:sz w:val="14"/>
                <w:szCs w:val="14"/>
                <w:color w:val="auto"/>
              </w:rPr>
            </w:pPr>
          </w:p>
        </w:tc>
        <w:tc>
          <w:tcPr>
            <w:tcW w:w="1340" w:type="dxa"/>
            <w:vAlign w:val="bottom"/>
            <w:vMerge w:val="restart"/>
          </w:tcPr>
          <w:p>
            <w:pPr>
              <w:jc w:val="right"/>
              <w:spacing w:after="0"/>
              <w:rPr>
                <w:sz w:val="20"/>
                <w:szCs w:val="20"/>
                <w:color w:val="auto"/>
              </w:rPr>
            </w:pPr>
            <w:r>
              <w:rPr>
                <w:rFonts w:ascii="Arial" w:cs="Arial" w:eastAsia="Arial" w:hAnsi="Arial"/>
                <w:sz w:val="13"/>
                <w:szCs w:val="13"/>
                <w:color w:val="auto"/>
              </w:rPr>
              <w:t>3.7%</w:t>
            </w:r>
          </w:p>
        </w:tc>
        <w:tc>
          <w:tcPr>
            <w:tcW w:w="0" w:type="dxa"/>
            <w:vAlign w:val="bottom"/>
          </w:tcPr>
          <w:p>
            <w:pPr>
              <w:spacing w:after="0"/>
              <w:rPr>
                <w:sz w:val="1"/>
                <w:szCs w:val="1"/>
                <w:color w:val="auto"/>
              </w:rPr>
            </w:pPr>
          </w:p>
        </w:tc>
      </w:tr>
      <w:tr>
        <w:trPr>
          <w:trHeight w:val="161"/>
        </w:trPr>
        <w:tc>
          <w:tcPr>
            <w:tcW w:w="5000" w:type="dxa"/>
            <w:vAlign w:val="bottom"/>
          </w:tcPr>
          <w:p>
            <w:pPr>
              <w:ind w:left="160"/>
              <w:spacing w:after="0"/>
              <w:rPr>
                <w:sz w:val="20"/>
                <w:szCs w:val="20"/>
                <w:color w:val="auto"/>
              </w:rPr>
            </w:pPr>
            <w:r>
              <w:rPr>
                <w:rFonts w:ascii="Arial" w:cs="Arial" w:eastAsia="Arial" w:hAnsi="Arial"/>
                <w:sz w:val="13"/>
                <w:szCs w:val="13"/>
                <w:color w:val="auto"/>
              </w:rPr>
              <w:t>from prior year</w:t>
            </w:r>
          </w:p>
        </w:tc>
        <w:tc>
          <w:tcPr>
            <w:tcW w:w="13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3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5000" w:type="dxa"/>
            <w:vAlign w:val="bottom"/>
            <w:shd w:val="clear" w:color="auto" w:fill="CCEEFF"/>
          </w:tcPr>
          <w:p>
            <w:pPr>
              <w:ind w:left="40"/>
              <w:spacing w:after="0"/>
              <w:rPr>
                <w:sz w:val="20"/>
                <w:szCs w:val="20"/>
                <w:color w:val="auto"/>
              </w:rPr>
            </w:pPr>
            <w:r>
              <w:rPr>
                <w:rFonts w:ascii="Arial" w:cs="Arial" w:eastAsia="Arial" w:hAnsi="Arial"/>
                <w:sz w:val="13"/>
                <w:szCs w:val="13"/>
                <w:color w:val="auto"/>
              </w:rPr>
              <w:t>Operating margin</w:t>
            </w: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w:t>
            </w:r>
          </w:p>
        </w:tc>
        <w:tc>
          <w:tcPr>
            <w:tcW w:w="4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w:t>
            </w:r>
          </w:p>
        </w:tc>
        <w:tc>
          <w:tcPr>
            <w:tcW w:w="0" w:type="dxa"/>
            <w:vAlign w:val="bottom"/>
          </w:tcPr>
          <w:p>
            <w:pPr>
              <w:spacing w:after="0"/>
              <w:rPr>
                <w:sz w:val="1"/>
                <w:szCs w:val="1"/>
                <w:color w:val="auto"/>
              </w:rPr>
            </w:pPr>
          </w:p>
        </w:tc>
      </w:tr>
      <w:tr>
        <w:trPr>
          <w:trHeight w:val="204"/>
        </w:trPr>
        <w:tc>
          <w:tcPr>
            <w:tcW w:w="5000" w:type="dxa"/>
            <w:vAlign w:val="bottom"/>
          </w:tcPr>
          <w:p>
            <w:pPr>
              <w:ind w:left="40"/>
              <w:spacing w:after="0"/>
              <w:rPr>
                <w:sz w:val="20"/>
                <w:szCs w:val="20"/>
                <w:color w:val="auto"/>
              </w:rPr>
            </w:pPr>
            <w:r>
              <w:rPr>
                <w:rFonts w:ascii="Arial" w:cs="Arial" w:eastAsia="Arial" w:hAnsi="Arial"/>
                <w:sz w:val="13"/>
                <w:szCs w:val="13"/>
                <w:color w:val="auto"/>
              </w:rPr>
              <w:t>Number of Same Properties</w:t>
            </w:r>
          </w:p>
        </w:tc>
        <w:tc>
          <w:tcPr>
            <w:tcW w:w="1340" w:type="dxa"/>
            <w:vAlign w:val="bottom"/>
          </w:tcPr>
          <w:p>
            <w:pPr>
              <w:jc w:val="right"/>
              <w:spacing w:after="0"/>
              <w:rPr>
                <w:sz w:val="20"/>
                <w:szCs w:val="20"/>
                <w:color w:val="auto"/>
              </w:rPr>
            </w:pPr>
            <w:r>
              <w:rPr>
                <w:rFonts w:ascii="Arial" w:cs="Arial" w:eastAsia="Arial" w:hAnsi="Arial"/>
                <w:sz w:val="13"/>
                <w:szCs w:val="13"/>
                <w:color w:val="auto"/>
              </w:rPr>
              <w:t>350</w:t>
            </w:r>
          </w:p>
        </w:tc>
        <w:tc>
          <w:tcPr>
            <w:tcW w:w="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346</w:t>
            </w:r>
          </w:p>
        </w:tc>
        <w:tc>
          <w:tcPr>
            <w:tcW w:w="0" w:type="dxa"/>
            <w:vAlign w:val="bottom"/>
          </w:tcPr>
          <w:p>
            <w:pPr>
              <w:spacing w:after="0"/>
              <w:rPr>
                <w:sz w:val="1"/>
                <w:szCs w:val="1"/>
                <w:color w:val="auto"/>
              </w:rPr>
            </w:pPr>
          </w:p>
        </w:tc>
      </w:tr>
      <w:tr>
        <w:trPr>
          <w:trHeight w:val="172"/>
        </w:trPr>
        <w:tc>
          <w:tcPr>
            <w:tcW w:w="5000" w:type="dxa"/>
            <w:vAlign w:val="bottom"/>
            <w:shd w:val="clear" w:color="auto" w:fill="CCEEFF"/>
          </w:tcPr>
          <w:p>
            <w:pPr>
              <w:ind w:left="40"/>
              <w:spacing w:after="0"/>
              <w:rPr>
                <w:sz w:val="20"/>
                <w:szCs w:val="20"/>
                <w:color w:val="auto"/>
              </w:rPr>
            </w:pPr>
            <w:r>
              <w:rPr>
                <w:rFonts w:ascii="Arial" w:cs="Arial" w:eastAsia="Arial" w:hAnsi="Arial"/>
                <w:sz w:val="13"/>
                <w:szCs w:val="13"/>
                <w:color w:val="auto"/>
              </w:rPr>
              <w:t>RSF</w:t>
            </w: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35,626,897</w:t>
            </w:r>
          </w:p>
        </w:tc>
        <w:tc>
          <w:tcPr>
            <w:tcW w:w="4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34,775,838</w:t>
            </w:r>
          </w:p>
        </w:tc>
        <w:tc>
          <w:tcPr>
            <w:tcW w:w="0" w:type="dxa"/>
            <w:vAlign w:val="bottom"/>
          </w:tcPr>
          <w:p>
            <w:pPr>
              <w:spacing w:after="0"/>
              <w:rPr>
                <w:sz w:val="1"/>
                <w:szCs w:val="1"/>
                <w:color w:val="auto"/>
              </w:rPr>
            </w:pPr>
          </w:p>
        </w:tc>
      </w:tr>
      <w:tr>
        <w:trPr>
          <w:trHeight w:val="172"/>
        </w:trPr>
        <w:tc>
          <w:tcPr>
            <w:tcW w:w="5000" w:type="dxa"/>
            <w:vAlign w:val="bottom"/>
          </w:tcPr>
          <w:p>
            <w:pPr>
              <w:ind w:left="40"/>
              <w:spacing w:after="0"/>
              <w:rPr>
                <w:sz w:val="20"/>
                <w:szCs w:val="20"/>
                <w:color w:val="auto"/>
              </w:rPr>
            </w:pPr>
            <w:r>
              <w:rPr>
                <w:rFonts w:ascii="Arial" w:cs="Arial" w:eastAsia="Arial" w:hAnsi="Arial"/>
                <w:sz w:val="13"/>
                <w:szCs w:val="13"/>
                <w:color w:val="auto"/>
              </w:rPr>
              <w:t>Occupancy – current-period average</w:t>
            </w:r>
          </w:p>
        </w:tc>
        <w:tc>
          <w:tcPr>
            <w:tcW w:w="1340" w:type="dxa"/>
            <w:vAlign w:val="bottom"/>
          </w:tcPr>
          <w:p>
            <w:pPr>
              <w:jc w:val="right"/>
              <w:spacing w:after="0"/>
              <w:rPr>
                <w:sz w:val="20"/>
                <w:szCs w:val="20"/>
                <w:color w:val="auto"/>
              </w:rPr>
            </w:pPr>
            <w:r>
              <w:rPr>
                <w:rFonts w:ascii="Arial" w:cs="Arial" w:eastAsia="Arial" w:hAnsi="Arial"/>
                <w:sz w:val="13"/>
                <w:szCs w:val="13"/>
                <w:color w:val="auto"/>
              </w:rPr>
              <w:t>94.6%</w:t>
            </w:r>
          </w:p>
        </w:tc>
        <w:tc>
          <w:tcPr>
            <w:tcW w:w="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94.2%</w:t>
            </w:r>
          </w:p>
        </w:tc>
        <w:tc>
          <w:tcPr>
            <w:tcW w:w="0" w:type="dxa"/>
            <w:vAlign w:val="bottom"/>
          </w:tcPr>
          <w:p>
            <w:pPr>
              <w:spacing w:after="0"/>
              <w:rPr>
                <w:sz w:val="1"/>
                <w:szCs w:val="1"/>
                <w:color w:val="auto"/>
              </w:rPr>
            </w:pPr>
          </w:p>
        </w:tc>
      </w:tr>
      <w:tr>
        <w:trPr>
          <w:trHeight w:val="172"/>
        </w:trPr>
        <w:tc>
          <w:tcPr>
            <w:tcW w:w="5000" w:type="dxa"/>
            <w:vAlign w:val="bottom"/>
            <w:shd w:val="clear" w:color="auto" w:fill="CCEEFF"/>
          </w:tcPr>
          <w:p>
            <w:pPr>
              <w:ind w:left="40"/>
              <w:spacing w:after="0"/>
              <w:rPr>
                <w:sz w:val="20"/>
                <w:szCs w:val="20"/>
                <w:color w:val="auto"/>
              </w:rPr>
            </w:pPr>
            <w:r>
              <w:rPr>
                <w:rFonts w:ascii="Arial" w:cs="Arial" w:eastAsia="Arial" w:hAnsi="Arial"/>
                <w:sz w:val="13"/>
                <w:szCs w:val="13"/>
                <w:color w:val="auto"/>
              </w:rPr>
              <w:t>Occupancy – same-period prior-year average</w:t>
            </w: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94.4%</w:t>
            </w:r>
          </w:p>
        </w:tc>
        <w:tc>
          <w:tcPr>
            <w:tcW w:w="4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94.6%</w:t>
            </w:r>
          </w:p>
        </w:tc>
        <w:tc>
          <w:tcPr>
            <w:tcW w:w="0" w:type="dxa"/>
            <w:vAlign w:val="bottom"/>
          </w:tcPr>
          <w:p>
            <w:pPr>
              <w:spacing w:after="0"/>
              <w:rPr>
                <w:sz w:val="1"/>
                <w:szCs w:val="1"/>
                <w:color w:val="auto"/>
              </w:rPr>
            </w:pPr>
          </w:p>
        </w:tc>
      </w:tr>
    </w:tbl>
    <w:p>
      <w:pPr>
        <w:spacing w:after="0" w:line="258" w:lineRule="exact"/>
        <w:rPr>
          <w:sz w:val="20"/>
          <w:szCs w:val="20"/>
          <w:color w:val="auto"/>
        </w:rPr>
      </w:pPr>
    </w:p>
    <w:p>
      <w:pPr>
        <w:ind w:left="1160"/>
        <w:spacing w:after="0"/>
        <w:rPr>
          <w:sz w:val="20"/>
          <w:szCs w:val="20"/>
          <w:color w:val="auto"/>
        </w:rPr>
      </w:pPr>
      <w:r>
        <w:rPr>
          <w:rFonts w:ascii="Arial" w:cs="Arial" w:eastAsia="Arial" w:hAnsi="Arial"/>
          <w:sz w:val="13"/>
          <w:szCs w:val="13"/>
          <w:color w:val="auto"/>
        </w:rPr>
        <w:t>The following table reconciles the number of Same Properties to total properties for the six months ended June 30, 2024:</w:t>
      </w:r>
    </w:p>
    <w:p>
      <w:pPr>
        <w:spacing w:after="0" w:line="201"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3000" w:type="dxa"/>
            <w:vAlign w:val="bottom"/>
            <w:gridSpan w:val="3"/>
            <w:vMerge w:val="restart"/>
          </w:tcPr>
          <w:p>
            <w:pPr>
              <w:spacing w:after="0"/>
              <w:rPr>
                <w:sz w:val="20"/>
                <w:szCs w:val="20"/>
                <w:color w:val="auto"/>
              </w:rPr>
            </w:pPr>
            <w:r>
              <w:rPr>
                <w:rFonts w:ascii="Arial" w:cs="Arial" w:eastAsia="Arial" w:hAnsi="Arial"/>
                <w:sz w:val="11"/>
                <w:szCs w:val="11"/>
                <w:color w:val="auto"/>
              </w:rPr>
              <w:t>Development – under construction</w:t>
            </w:r>
          </w:p>
        </w:tc>
        <w:tc>
          <w:tcPr>
            <w:tcW w:w="880" w:type="dxa"/>
            <w:vAlign w:val="bottom"/>
            <w:vMerge w:val="restart"/>
          </w:tcPr>
          <w:p>
            <w:pPr>
              <w:jc w:val="right"/>
              <w:ind w:right="163"/>
              <w:spacing w:after="0"/>
              <w:rPr>
                <w:sz w:val="20"/>
                <w:szCs w:val="20"/>
                <w:color w:val="auto"/>
              </w:rPr>
            </w:pPr>
            <w:r>
              <w:rPr>
                <w:rFonts w:ascii="Arial" w:cs="Arial" w:eastAsia="Arial" w:hAnsi="Arial"/>
                <w:sz w:val="11"/>
                <w:szCs w:val="11"/>
                <w:color w:val="auto"/>
              </w:rPr>
              <w:t>Properties</w:t>
            </w:r>
          </w:p>
        </w:tc>
        <w:tc>
          <w:tcPr>
            <w:tcW w:w="3100" w:type="dxa"/>
            <w:vAlign w:val="bottom"/>
            <w:gridSpan w:val="2"/>
          </w:tcPr>
          <w:p>
            <w:pPr>
              <w:ind w:left="40"/>
              <w:spacing w:after="0"/>
              <w:rPr>
                <w:sz w:val="20"/>
                <w:szCs w:val="20"/>
                <w:color w:val="auto"/>
              </w:rPr>
            </w:pPr>
            <w:r>
              <w:rPr>
                <w:rFonts w:ascii="Arial" w:cs="Arial" w:eastAsia="Arial" w:hAnsi="Arial"/>
                <w:sz w:val="11"/>
                <w:szCs w:val="11"/>
                <w:color w:val="auto"/>
              </w:rPr>
              <w:t>Redevelopment – placed into service after</w:t>
            </w:r>
          </w:p>
        </w:tc>
        <w:tc>
          <w:tcPr>
            <w:tcW w:w="720" w:type="dxa"/>
            <w:vAlign w:val="bottom"/>
            <w:vMerge w:val="restart"/>
          </w:tcPr>
          <w:p>
            <w:pPr>
              <w:jc w:val="right"/>
              <w:ind w:right="43"/>
              <w:spacing w:after="0"/>
              <w:rPr>
                <w:sz w:val="20"/>
                <w:szCs w:val="20"/>
                <w:color w:val="auto"/>
              </w:rPr>
            </w:pPr>
            <w:r>
              <w:rPr>
                <w:rFonts w:ascii="Arial" w:cs="Arial" w:eastAsia="Arial" w:hAnsi="Arial"/>
                <w:sz w:val="11"/>
                <w:szCs w:val="11"/>
                <w:color w:val="auto"/>
              </w:rPr>
              <w:t>Properties</w:t>
            </w:r>
          </w:p>
        </w:tc>
        <w:tc>
          <w:tcPr>
            <w:tcW w:w="0" w:type="dxa"/>
            <w:vAlign w:val="bottom"/>
          </w:tcPr>
          <w:p>
            <w:pPr>
              <w:spacing w:after="0"/>
              <w:rPr>
                <w:sz w:val="1"/>
                <w:szCs w:val="1"/>
                <w:color w:val="auto"/>
              </w:rPr>
            </w:pPr>
          </w:p>
        </w:tc>
      </w:tr>
      <w:tr>
        <w:trPr>
          <w:trHeight w:val="146"/>
        </w:trPr>
        <w:tc>
          <w:tcPr>
            <w:tcW w:w="3000" w:type="dxa"/>
            <w:vAlign w:val="bottom"/>
            <w:gridSpan w:val="3"/>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3040" w:type="dxa"/>
            <w:vAlign w:val="bottom"/>
            <w:tcBorders>
              <w:bottom w:val="single" w:sz="8" w:color="auto"/>
            </w:tcBorders>
          </w:tcPr>
          <w:p>
            <w:pPr>
              <w:ind w:left="180"/>
              <w:spacing w:after="0"/>
              <w:rPr>
                <w:sz w:val="20"/>
                <w:szCs w:val="20"/>
                <w:color w:val="auto"/>
              </w:rPr>
            </w:pPr>
            <w:r>
              <w:rPr>
                <w:rFonts w:ascii="Arial" w:cs="Arial" w:eastAsia="Arial" w:hAnsi="Arial"/>
                <w:sz w:val="11"/>
                <w:szCs w:val="11"/>
                <w:color w:val="auto"/>
              </w:rPr>
              <w:t>January 1, 2023</w:t>
            </w:r>
          </w:p>
        </w:tc>
        <w:tc>
          <w:tcPr>
            <w:tcW w:w="60" w:type="dxa"/>
            <w:vAlign w:val="bottom"/>
            <w:tcBorders>
              <w:bottom w:val="single" w:sz="8" w:color="CCEEFF"/>
            </w:tcBorders>
          </w:tcPr>
          <w:p>
            <w:pPr>
              <w:spacing w:after="0"/>
              <w:rPr>
                <w:sz w:val="12"/>
                <w:szCs w:val="12"/>
                <w:color w:val="auto"/>
              </w:rPr>
            </w:pPr>
          </w:p>
        </w:tc>
        <w:tc>
          <w:tcPr>
            <w:tcW w:w="7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0" w:type="dxa"/>
            <w:vAlign w:val="bottom"/>
          </w:tcPr>
          <w:p>
            <w:pPr>
              <w:spacing w:after="0"/>
              <w:rPr>
                <w:sz w:val="20"/>
                <w:szCs w:val="20"/>
                <w:color w:val="auto"/>
              </w:rPr>
            </w:pPr>
            <w:r>
              <w:rPr>
                <w:rFonts w:ascii="Arial" w:cs="Arial" w:eastAsia="Arial" w:hAnsi="Arial"/>
                <w:sz w:val="11"/>
                <w:szCs w:val="11"/>
                <w:color w:val="auto"/>
                <w:w w:val="97"/>
              </w:rPr>
              <w:t>201</w:t>
            </w:r>
          </w:p>
        </w:tc>
        <w:tc>
          <w:tcPr>
            <w:tcW w:w="2800" w:type="dxa"/>
            <w:vAlign w:val="bottom"/>
            <w:gridSpan w:val="2"/>
          </w:tcPr>
          <w:p>
            <w:pPr>
              <w:ind w:left="20"/>
              <w:spacing w:after="0"/>
              <w:rPr>
                <w:sz w:val="20"/>
                <w:szCs w:val="20"/>
                <w:color w:val="auto"/>
              </w:rPr>
            </w:pPr>
            <w:r>
              <w:rPr>
                <w:rFonts w:ascii="Arial" w:cs="Arial" w:eastAsia="Arial" w:hAnsi="Arial"/>
                <w:sz w:val="11"/>
                <w:szCs w:val="11"/>
                <w:color w:val="auto"/>
              </w:rPr>
              <w:t>Brookline Avenue</w:t>
            </w:r>
          </w:p>
        </w:tc>
        <w:tc>
          <w:tcPr>
            <w:tcW w:w="880" w:type="dxa"/>
            <w:vAlign w:val="bottom"/>
          </w:tcPr>
          <w:p>
            <w:pPr>
              <w:jc w:val="right"/>
              <w:ind w:right="103"/>
              <w:spacing w:after="0"/>
              <w:rPr>
                <w:sz w:val="20"/>
                <w:szCs w:val="20"/>
                <w:color w:val="auto"/>
              </w:rPr>
            </w:pPr>
            <w:r>
              <w:rPr>
                <w:rFonts w:ascii="Arial" w:cs="Arial" w:eastAsia="Arial" w:hAnsi="Arial"/>
                <w:sz w:val="11"/>
                <w:szCs w:val="11"/>
                <w:color w:val="auto"/>
              </w:rPr>
              <w:t>1</w:t>
            </w:r>
          </w:p>
        </w:tc>
        <w:tc>
          <w:tcPr>
            <w:tcW w:w="3100" w:type="dxa"/>
            <w:vAlign w:val="bottom"/>
            <w:gridSpan w:val="2"/>
            <w:shd w:val="clear" w:color="auto" w:fill="CCEEFF"/>
          </w:tcPr>
          <w:p>
            <w:pPr>
              <w:ind w:left="40"/>
              <w:spacing w:after="0"/>
              <w:rPr>
                <w:sz w:val="20"/>
                <w:szCs w:val="20"/>
                <w:color w:val="auto"/>
              </w:rPr>
            </w:pPr>
            <w:r>
              <w:rPr>
                <w:rFonts w:ascii="Arial" w:cs="Arial" w:eastAsia="Arial" w:hAnsi="Arial"/>
                <w:sz w:val="11"/>
                <w:szCs w:val="11"/>
                <w:color w:val="auto"/>
              </w:rPr>
              <w:t>20400 Century Boulevard</w:t>
            </w: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61"/>
        </w:trPr>
        <w:tc>
          <w:tcPr>
            <w:tcW w:w="3000" w:type="dxa"/>
            <w:vAlign w:val="bottom"/>
            <w:gridSpan w:val="3"/>
          </w:tcPr>
          <w:p>
            <w:pPr>
              <w:spacing w:after="0"/>
              <w:rPr>
                <w:sz w:val="20"/>
                <w:szCs w:val="20"/>
                <w:color w:val="auto"/>
              </w:rPr>
            </w:pPr>
            <w:r>
              <w:rPr>
                <w:rFonts w:ascii="Arial" w:cs="Arial" w:eastAsia="Arial" w:hAnsi="Arial"/>
                <w:sz w:val="11"/>
                <w:szCs w:val="11"/>
                <w:color w:val="auto"/>
              </w:rPr>
              <w:t>1150 Eastlake Avenue East</w:t>
            </w:r>
          </w:p>
        </w:tc>
        <w:tc>
          <w:tcPr>
            <w:tcW w:w="880" w:type="dxa"/>
            <w:vAlign w:val="bottom"/>
          </w:tcPr>
          <w:p>
            <w:pPr>
              <w:jc w:val="right"/>
              <w:ind w:right="103"/>
              <w:spacing w:after="0"/>
              <w:rPr>
                <w:sz w:val="20"/>
                <w:szCs w:val="20"/>
                <w:color w:val="auto"/>
              </w:rPr>
            </w:pPr>
            <w:r>
              <w:rPr>
                <w:rFonts w:ascii="Arial" w:cs="Arial" w:eastAsia="Arial" w:hAnsi="Arial"/>
                <w:sz w:val="11"/>
                <w:szCs w:val="11"/>
                <w:color w:val="auto"/>
              </w:rPr>
              <w:t>1</w:t>
            </w:r>
          </w:p>
        </w:tc>
        <w:tc>
          <w:tcPr>
            <w:tcW w:w="3100" w:type="dxa"/>
            <w:vAlign w:val="bottom"/>
            <w:gridSpan w:val="2"/>
          </w:tcPr>
          <w:p>
            <w:pPr>
              <w:ind w:left="40"/>
              <w:spacing w:after="0"/>
              <w:rPr>
                <w:sz w:val="20"/>
                <w:szCs w:val="20"/>
                <w:color w:val="auto"/>
              </w:rPr>
            </w:pPr>
            <w:r>
              <w:rPr>
                <w:rFonts w:ascii="Arial" w:cs="Arial" w:eastAsia="Arial" w:hAnsi="Arial"/>
                <w:sz w:val="11"/>
                <w:szCs w:val="11"/>
                <w:color w:val="auto"/>
              </w:rPr>
              <w:t>140 First Street</w:t>
            </w:r>
          </w:p>
        </w:tc>
        <w:tc>
          <w:tcPr>
            <w:tcW w:w="720" w:type="dxa"/>
            <w:vAlign w:val="bottom"/>
          </w:tcPr>
          <w:p>
            <w:pPr>
              <w:jc w:val="right"/>
              <w:ind w:right="3"/>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55"/>
        </w:trPr>
        <w:tc>
          <w:tcPr>
            <w:tcW w:w="260" w:type="dxa"/>
            <w:vAlign w:val="bottom"/>
            <w:gridSpan w:val="2"/>
          </w:tcPr>
          <w:p>
            <w:pPr>
              <w:spacing w:after="0"/>
              <w:rPr>
                <w:sz w:val="20"/>
                <w:szCs w:val="20"/>
                <w:color w:val="auto"/>
              </w:rPr>
            </w:pPr>
            <w:r>
              <w:rPr>
                <w:rFonts w:ascii="Arial" w:cs="Arial" w:eastAsia="Arial" w:hAnsi="Arial"/>
                <w:sz w:val="11"/>
                <w:szCs w:val="11"/>
                <w:color w:val="auto"/>
                <w:w w:val="97"/>
              </w:rPr>
              <w:t>9820</w:t>
            </w:r>
          </w:p>
        </w:tc>
        <w:tc>
          <w:tcPr>
            <w:tcW w:w="2740" w:type="dxa"/>
            <w:vAlign w:val="bottom"/>
          </w:tcPr>
          <w:p>
            <w:pPr>
              <w:ind w:left="20"/>
              <w:spacing w:after="0"/>
              <w:rPr>
                <w:sz w:val="20"/>
                <w:szCs w:val="20"/>
                <w:color w:val="auto"/>
              </w:rPr>
            </w:pPr>
            <w:r>
              <w:rPr>
                <w:rFonts w:ascii="Arial" w:cs="Arial" w:eastAsia="Arial" w:hAnsi="Arial"/>
                <w:sz w:val="11"/>
                <w:szCs w:val="11"/>
                <w:color w:val="auto"/>
              </w:rPr>
              <w:t>Darnestown Road</w:t>
            </w:r>
          </w:p>
        </w:tc>
        <w:tc>
          <w:tcPr>
            <w:tcW w:w="880" w:type="dxa"/>
            <w:vAlign w:val="bottom"/>
          </w:tcPr>
          <w:p>
            <w:pPr>
              <w:jc w:val="right"/>
              <w:ind w:right="103"/>
              <w:spacing w:after="0"/>
              <w:rPr>
                <w:sz w:val="20"/>
                <w:szCs w:val="20"/>
                <w:color w:val="auto"/>
              </w:rPr>
            </w:pPr>
            <w:r>
              <w:rPr>
                <w:rFonts w:ascii="Arial" w:cs="Arial" w:eastAsia="Arial" w:hAnsi="Arial"/>
                <w:sz w:val="11"/>
                <w:szCs w:val="11"/>
                <w:color w:val="auto"/>
              </w:rPr>
              <w:t>1</w:t>
            </w:r>
          </w:p>
        </w:tc>
        <w:tc>
          <w:tcPr>
            <w:tcW w:w="3100" w:type="dxa"/>
            <w:vAlign w:val="bottom"/>
            <w:gridSpan w:val="2"/>
            <w:shd w:val="clear" w:color="auto" w:fill="CCEEFF"/>
          </w:tcPr>
          <w:p>
            <w:pPr>
              <w:ind w:left="40"/>
              <w:spacing w:after="0"/>
              <w:rPr>
                <w:sz w:val="20"/>
                <w:szCs w:val="20"/>
                <w:color w:val="auto"/>
              </w:rPr>
            </w:pPr>
            <w:r>
              <w:rPr>
                <w:rFonts w:ascii="Arial" w:cs="Arial" w:eastAsia="Arial" w:hAnsi="Arial"/>
                <w:sz w:val="11"/>
                <w:szCs w:val="11"/>
                <w:color w:val="auto"/>
              </w:rPr>
              <w:t>2400 Ellis Road, 40 Moore Drive, and 14 TW Alexander</w:t>
            </w:r>
          </w:p>
        </w:tc>
        <w:tc>
          <w:tcPr>
            <w:tcW w:w="7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3000" w:type="dxa"/>
            <w:vAlign w:val="bottom"/>
            <w:gridSpan w:val="3"/>
          </w:tcPr>
          <w:p>
            <w:pPr>
              <w:spacing w:after="0"/>
              <w:rPr>
                <w:sz w:val="20"/>
                <w:szCs w:val="20"/>
                <w:color w:val="auto"/>
              </w:rPr>
            </w:pPr>
            <w:r>
              <w:rPr>
                <w:rFonts w:ascii="Arial" w:cs="Arial" w:eastAsia="Arial" w:hAnsi="Arial"/>
                <w:sz w:val="11"/>
                <w:szCs w:val="11"/>
                <w:color w:val="auto"/>
              </w:rPr>
              <w:t>99 Coolidge Avenue</w:t>
            </w:r>
          </w:p>
        </w:tc>
        <w:tc>
          <w:tcPr>
            <w:tcW w:w="880" w:type="dxa"/>
            <w:vAlign w:val="bottom"/>
          </w:tcPr>
          <w:p>
            <w:pPr>
              <w:jc w:val="right"/>
              <w:ind w:right="103"/>
              <w:spacing w:after="0"/>
              <w:rPr>
                <w:sz w:val="20"/>
                <w:szCs w:val="20"/>
                <w:color w:val="auto"/>
              </w:rPr>
            </w:pPr>
            <w:r>
              <w:rPr>
                <w:rFonts w:ascii="Arial" w:cs="Arial" w:eastAsia="Arial" w:hAnsi="Arial"/>
                <w:sz w:val="11"/>
                <w:szCs w:val="11"/>
                <w:color w:val="auto"/>
              </w:rPr>
              <w:t>1</w:t>
            </w:r>
          </w:p>
        </w:tc>
        <w:tc>
          <w:tcPr>
            <w:tcW w:w="310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Drive</w:t>
            </w: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161"/>
        </w:trPr>
        <w:tc>
          <w:tcPr>
            <w:tcW w:w="200" w:type="dxa"/>
            <w:vAlign w:val="bottom"/>
          </w:tcPr>
          <w:p>
            <w:pPr>
              <w:spacing w:after="0"/>
              <w:rPr>
                <w:sz w:val="20"/>
                <w:szCs w:val="20"/>
                <w:color w:val="auto"/>
              </w:rPr>
            </w:pPr>
            <w:r>
              <w:rPr>
                <w:rFonts w:ascii="Arial" w:cs="Arial" w:eastAsia="Arial" w:hAnsi="Arial"/>
                <w:sz w:val="11"/>
                <w:szCs w:val="11"/>
                <w:color w:val="auto"/>
                <w:w w:val="97"/>
              </w:rPr>
              <w:t>500</w:t>
            </w:r>
          </w:p>
        </w:tc>
        <w:tc>
          <w:tcPr>
            <w:tcW w:w="2800" w:type="dxa"/>
            <w:vAlign w:val="bottom"/>
            <w:gridSpan w:val="2"/>
          </w:tcPr>
          <w:p>
            <w:pPr>
              <w:ind w:left="20"/>
              <w:spacing w:after="0"/>
              <w:rPr>
                <w:sz w:val="20"/>
                <w:szCs w:val="20"/>
                <w:color w:val="auto"/>
              </w:rPr>
            </w:pPr>
            <w:r>
              <w:rPr>
                <w:rFonts w:ascii="Arial" w:cs="Arial" w:eastAsia="Arial" w:hAnsi="Arial"/>
                <w:sz w:val="11"/>
                <w:szCs w:val="11"/>
                <w:color w:val="auto"/>
              </w:rPr>
              <w:t>North Beacon Street and 4 Kingsbury Avenue</w:t>
            </w:r>
          </w:p>
        </w:tc>
        <w:tc>
          <w:tcPr>
            <w:tcW w:w="880" w:type="dxa"/>
            <w:vAlign w:val="bottom"/>
          </w:tcPr>
          <w:p>
            <w:pPr>
              <w:jc w:val="right"/>
              <w:ind w:right="103"/>
              <w:spacing w:after="0"/>
              <w:rPr>
                <w:sz w:val="20"/>
                <w:szCs w:val="20"/>
                <w:color w:val="auto"/>
              </w:rPr>
            </w:pPr>
            <w:r>
              <w:rPr>
                <w:rFonts w:ascii="Arial" w:cs="Arial" w:eastAsia="Arial" w:hAnsi="Arial"/>
                <w:sz w:val="11"/>
                <w:szCs w:val="11"/>
                <w:color w:val="auto"/>
              </w:rPr>
              <w:t>2</w:t>
            </w:r>
          </w:p>
        </w:tc>
        <w:tc>
          <w:tcPr>
            <w:tcW w:w="3100" w:type="dxa"/>
            <w:vAlign w:val="bottom"/>
            <w:tcBorders>
              <w:bottom w:val="single" w:sz="8" w:color="CCEEFF"/>
            </w:tcBorders>
            <w:gridSpan w:val="2"/>
          </w:tcPr>
          <w:p>
            <w:pPr>
              <w:ind w:left="40"/>
              <w:spacing w:after="0"/>
              <w:rPr>
                <w:sz w:val="20"/>
                <w:szCs w:val="20"/>
                <w:color w:val="auto"/>
              </w:rPr>
            </w:pPr>
            <w:r>
              <w:rPr>
                <w:rFonts w:ascii="Arial" w:cs="Arial" w:eastAsia="Arial" w:hAnsi="Arial"/>
                <w:sz w:val="11"/>
                <w:szCs w:val="11"/>
                <w:color w:val="auto"/>
              </w:rPr>
              <w:t>9601 and 9603 Medical Center Drive</w:t>
            </w:r>
          </w:p>
        </w:tc>
        <w:tc>
          <w:tcPr>
            <w:tcW w:w="7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41"/>
        </w:trPr>
        <w:tc>
          <w:tcPr>
            <w:tcW w:w="260" w:type="dxa"/>
            <w:vAlign w:val="bottom"/>
            <w:gridSpan w:val="2"/>
          </w:tcPr>
          <w:p>
            <w:pPr>
              <w:spacing w:after="0"/>
              <w:rPr>
                <w:sz w:val="20"/>
                <w:szCs w:val="20"/>
                <w:color w:val="auto"/>
              </w:rPr>
            </w:pPr>
            <w:r>
              <w:rPr>
                <w:rFonts w:ascii="Arial" w:cs="Arial" w:eastAsia="Arial" w:hAnsi="Arial"/>
                <w:sz w:val="11"/>
                <w:szCs w:val="11"/>
                <w:color w:val="auto"/>
                <w:w w:val="97"/>
              </w:rPr>
              <w:t>9808</w:t>
            </w:r>
          </w:p>
        </w:tc>
        <w:tc>
          <w:tcPr>
            <w:tcW w:w="2740" w:type="dxa"/>
            <w:vAlign w:val="bottom"/>
          </w:tcPr>
          <w:p>
            <w:pPr>
              <w:ind w:left="20"/>
              <w:spacing w:after="0"/>
              <w:rPr>
                <w:sz w:val="20"/>
                <w:szCs w:val="20"/>
                <w:color w:val="auto"/>
              </w:rPr>
            </w:pPr>
            <w:r>
              <w:rPr>
                <w:rFonts w:ascii="Arial" w:cs="Arial" w:eastAsia="Arial" w:hAnsi="Arial"/>
                <w:sz w:val="11"/>
                <w:szCs w:val="11"/>
                <w:color w:val="auto"/>
              </w:rPr>
              <w:t>Medical Center Drive</w:t>
            </w:r>
          </w:p>
        </w:tc>
        <w:tc>
          <w:tcPr>
            <w:tcW w:w="880" w:type="dxa"/>
            <w:vAlign w:val="bottom"/>
          </w:tcPr>
          <w:p>
            <w:pPr>
              <w:jc w:val="right"/>
              <w:ind w:right="103"/>
              <w:spacing w:after="0"/>
              <w:rPr>
                <w:sz w:val="20"/>
                <w:szCs w:val="20"/>
                <w:color w:val="auto"/>
              </w:rPr>
            </w:pPr>
            <w:r>
              <w:rPr>
                <w:rFonts w:ascii="Arial" w:cs="Arial" w:eastAsia="Arial" w:hAnsi="Arial"/>
                <w:sz w:val="11"/>
                <w:szCs w:val="11"/>
                <w:color w:val="auto"/>
              </w:rPr>
              <w:t>1</w:t>
            </w:r>
          </w:p>
        </w:tc>
        <w:tc>
          <w:tcPr>
            <w:tcW w:w="30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183"/>
        </w:trPr>
        <w:tc>
          <w:tcPr>
            <w:tcW w:w="260" w:type="dxa"/>
            <w:vAlign w:val="bottom"/>
            <w:gridSpan w:val="2"/>
          </w:tcPr>
          <w:p>
            <w:pPr>
              <w:spacing w:after="0"/>
              <w:rPr>
                <w:sz w:val="20"/>
                <w:szCs w:val="20"/>
                <w:color w:val="auto"/>
              </w:rPr>
            </w:pPr>
            <w:r>
              <w:rPr>
                <w:rFonts w:ascii="Arial" w:cs="Arial" w:eastAsia="Arial" w:hAnsi="Arial"/>
                <w:sz w:val="11"/>
                <w:szCs w:val="11"/>
                <w:color w:val="auto"/>
                <w:w w:val="97"/>
              </w:rPr>
              <w:t>1450</w:t>
            </w:r>
          </w:p>
        </w:tc>
        <w:tc>
          <w:tcPr>
            <w:tcW w:w="2740" w:type="dxa"/>
            <w:vAlign w:val="bottom"/>
          </w:tcPr>
          <w:p>
            <w:pPr>
              <w:ind w:left="20"/>
              <w:spacing w:after="0"/>
              <w:rPr>
                <w:sz w:val="20"/>
                <w:szCs w:val="20"/>
                <w:color w:val="auto"/>
              </w:rPr>
            </w:pPr>
            <w:r>
              <w:rPr>
                <w:rFonts w:ascii="Arial" w:cs="Arial" w:eastAsia="Arial" w:hAnsi="Arial"/>
                <w:sz w:val="11"/>
                <w:szCs w:val="11"/>
                <w:color w:val="auto"/>
              </w:rPr>
              <w:t>Owens Street</w:t>
            </w:r>
          </w:p>
        </w:tc>
        <w:tc>
          <w:tcPr>
            <w:tcW w:w="880" w:type="dxa"/>
            <w:vAlign w:val="bottom"/>
          </w:tcPr>
          <w:p>
            <w:pPr>
              <w:jc w:val="right"/>
              <w:ind w:right="103"/>
              <w:spacing w:after="0"/>
              <w:rPr>
                <w:sz w:val="20"/>
                <w:szCs w:val="20"/>
                <w:color w:val="auto"/>
              </w:rPr>
            </w:pPr>
            <w:r>
              <w:rPr>
                <w:rFonts w:ascii="Arial" w:cs="Arial" w:eastAsia="Arial" w:hAnsi="Arial"/>
                <w:sz w:val="11"/>
                <w:szCs w:val="11"/>
                <w:color w:val="auto"/>
              </w:rPr>
              <w:t>1</w:t>
            </w:r>
          </w:p>
        </w:tc>
        <w:tc>
          <w:tcPr>
            <w:tcW w:w="3040" w:type="dxa"/>
            <w:vAlign w:val="bottom"/>
            <w:tcBorders>
              <w:bottom w:val="single" w:sz="8" w:color="auto"/>
            </w:tcBorders>
          </w:tcPr>
          <w:p>
            <w:pPr>
              <w:ind w:left="40"/>
              <w:spacing w:after="0"/>
              <w:rPr>
                <w:sz w:val="20"/>
                <w:szCs w:val="20"/>
                <w:color w:val="auto"/>
              </w:rPr>
            </w:pPr>
            <w:r>
              <w:rPr>
                <w:rFonts w:ascii="Arial" w:cs="Arial" w:eastAsia="Arial" w:hAnsi="Arial"/>
                <w:sz w:val="11"/>
                <w:szCs w:val="11"/>
                <w:color w:val="auto"/>
              </w:rPr>
              <w:t>Acquisitions after January 1, 2023</w:t>
            </w:r>
          </w:p>
        </w:tc>
        <w:tc>
          <w:tcPr>
            <w:tcW w:w="6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Properties</w:t>
            </w:r>
          </w:p>
        </w:tc>
        <w:tc>
          <w:tcPr>
            <w:tcW w:w="0" w:type="dxa"/>
            <w:vAlign w:val="bottom"/>
          </w:tcPr>
          <w:p>
            <w:pPr>
              <w:spacing w:after="0"/>
              <w:rPr>
                <w:sz w:val="1"/>
                <w:szCs w:val="1"/>
                <w:color w:val="auto"/>
              </w:rPr>
            </w:pPr>
          </w:p>
        </w:tc>
      </w:tr>
      <w:tr>
        <w:trPr>
          <w:trHeight w:val="141"/>
        </w:trPr>
        <w:tc>
          <w:tcPr>
            <w:tcW w:w="200" w:type="dxa"/>
            <w:vAlign w:val="bottom"/>
          </w:tcPr>
          <w:p>
            <w:pPr>
              <w:spacing w:after="0"/>
              <w:rPr>
                <w:sz w:val="20"/>
                <w:szCs w:val="20"/>
                <w:color w:val="auto"/>
              </w:rPr>
            </w:pPr>
            <w:r>
              <w:rPr>
                <w:rFonts w:ascii="Arial" w:cs="Arial" w:eastAsia="Arial" w:hAnsi="Arial"/>
                <w:sz w:val="11"/>
                <w:szCs w:val="11"/>
                <w:color w:val="auto"/>
                <w:w w:val="97"/>
              </w:rPr>
              <w:t>230</w:t>
            </w:r>
          </w:p>
        </w:tc>
        <w:tc>
          <w:tcPr>
            <w:tcW w:w="2800" w:type="dxa"/>
            <w:vAlign w:val="bottom"/>
            <w:gridSpan w:val="2"/>
          </w:tcPr>
          <w:p>
            <w:pPr>
              <w:ind w:left="20"/>
              <w:spacing w:after="0"/>
              <w:rPr>
                <w:sz w:val="20"/>
                <w:szCs w:val="20"/>
                <w:color w:val="auto"/>
              </w:rPr>
            </w:pPr>
            <w:r>
              <w:rPr>
                <w:rFonts w:ascii="Arial" w:cs="Arial" w:eastAsia="Arial" w:hAnsi="Arial"/>
                <w:sz w:val="11"/>
                <w:szCs w:val="11"/>
                <w:color w:val="auto"/>
              </w:rPr>
              <w:t>Harriet Tubman Way</w:t>
            </w:r>
          </w:p>
        </w:tc>
        <w:tc>
          <w:tcPr>
            <w:tcW w:w="880" w:type="dxa"/>
            <w:vAlign w:val="bottom"/>
          </w:tcPr>
          <w:p>
            <w:pPr>
              <w:jc w:val="right"/>
              <w:ind w:right="103"/>
              <w:spacing w:after="0"/>
              <w:rPr>
                <w:sz w:val="20"/>
                <w:szCs w:val="20"/>
                <w:color w:val="auto"/>
              </w:rPr>
            </w:pPr>
            <w:r>
              <w:rPr>
                <w:rFonts w:ascii="Arial" w:cs="Arial" w:eastAsia="Arial" w:hAnsi="Arial"/>
                <w:sz w:val="11"/>
                <w:szCs w:val="11"/>
                <w:color w:val="auto"/>
              </w:rPr>
              <w:t>1</w:t>
            </w:r>
          </w:p>
        </w:tc>
        <w:tc>
          <w:tcPr>
            <w:tcW w:w="3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1"/>
                <w:szCs w:val="11"/>
                <w:color w:val="auto"/>
              </w:rPr>
              <w:t>Other</w:t>
            </w:r>
          </w:p>
        </w:tc>
        <w:tc>
          <w:tcPr>
            <w:tcW w:w="7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141"/>
        </w:trPr>
        <w:tc>
          <w:tcPr>
            <w:tcW w:w="260" w:type="dxa"/>
            <w:vAlign w:val="bottom"/>
            <w:gridSpan w:val="2"/>
          </w:tcPr>
          <w:p>
            <w:pPr>
              <w:spacing w:after="0"/>
              <w:rPr>
                <w:sz w:val="20"/>
                <w:szCs w:val="20"/>
                <w:color w:val="auto"/>
              </w:rPr>
            </w:pPr>
            <w:r>
              <w:rPr>
                <w:rFonts w:ascii="Arial" w:cs="Arial" w:eastAsia="Arial" w:hAnsi="Arial"/>
                <w:sz w:val="11"/>
                <w:szCs w:val="11"/>
                <w:color w:val="auto"/>
                <w:w w:val="97"/>
              </w:rPr>
              <w:t>4155</w:t>
            </w:r>
          </w:p>
        </w:tc>
        <w:tc>
          <w:tcPr>
            <w:tcW w:w="2740" w:type="dxa"/>
            <w:vAlign w:val="bottom"/>
          </w:tcPr>
          <w:p>
            <w:pPr>
              <w:ind w:left="20"/>
              <w:spacing w:after="0"/>
              <w:rPr>
                <w:sz w:val="20"/>
                <w:szCs w:val="20"/>
                <w:color w:val="auto"/>
              </w:rPr>
            </w:pPr>
            <w:r>
              <w:rPr>
                <w:rFonts w:ascii="Arial" w:cs="Arial" w:eastAsia="Arial" w:hAnsi="Arial"/>
                <w:sz w:val="11"/>
                <w:szCs w:val="11"/>
                <w:color w:val="auto"/>
              </w:rPr>
              <w:t>Campus Point Court</w:t>
            </w:r>
          </w:p>
        </w:tc>
        <w:tc>
          <w:tcPr>
            <w:tcW w:w="880" w:type="dxa"/>
            <w:vAlign w:val="bottom"/>
          </w:tcPr>
          <w:p>
            <w:pPr>
              <w:jc w:val="right"/>
              <w:ind w:right="103"/>
              <w:spacing w:after="0"/>
              <w:rPr>
                <w:sz w:val="20"/>
                <w:szCs w:val="20"/>
                <w:color w:val="auto"/>
              </w:rPr>
            </w:pPr>
            <w:r>
              <w:rPr>
                <w:rFonts w:ascii="Arial" w:cs="Arial" w:eastAsia="Arial" w:hAnsi="Arial"/>
                <w:sz w:val="11"/>
                <w:szCs w:val="11"/>
                <w:color w:val="auto"/>
              </w:rPr>
              <w:t>1</w:t>
            </w:r>
          </w:p>
        </w:tc>
        <w:tc>
          <w:tcPr>
            <w:tcW w:w="3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ind w:right="3"/>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161"/>
        </w:trPr>
        <w:tc>
          <w:tcPr>
            <w:tcW w:w="3000" w:type="dxa"/>
            <w:vAlign w:val="bottom"/>
            <w:gridSpan w:val="3"/>
          </w:tcPr>
          <w:p>
            <w:pPr>
              <w:spacing w:after="0"/>
              <w:rPr>
                <w:sz w:val="20"/>
                <w:szCs w:val="20"/>
                <w:color w:val="auto"/>
              </w:rPr>
            </w:pPr>
            <w:r>
              <w:rPr>
                <w:rFonts w:ascii="Arial" w:cs="Arial" w:eastAsia="Arial" w:hAnsi="Arial"/>
                <w:sz w:val="11"/>
                <w:szCs w:val="11"/>
                <w:color w:val="auto"/>
              </w:rPr>
              <w:t>10935, 10945, and 10955 Alexandria Way</w:t>
            </w:r>
          </w:p>
        </w:tc>
        <w:tc>
          <w:tcPr>
            <w:tcW w:w="880" w:type="dxa"/>
            <w:vAlign w:val="bottom"/>
          </w:tcPr>
          <w:p>
            <w:pPr>
              <w:jc w:val="right"/>
              <w:ind w:right="103"/>
              <w:spacing w:after="0"/>
              <w:rPr>
                <w:sz w:val="20"/>
                <w:szCs w:val="20"/>
                <w:color w:val="auto"/>
              </w:rPr>
            </w:pPr>
            <w:r>
              <w:rPr>
                <w:rFonts w:ascii="Arial" w:cs="Arial" w:eastAsia="Arial" w:hAnsi="Arial"/>
                <w:sz w:val="11"/>
                <w:szCs w:val="11"/>
                <w:color w:val="auto"/>
              </w:rPr>
              <w:t>3</w:t>
            </w:r>
          </w:p>
        </w:tc>
        <w:tc>
          <w:tcPr>
            <w:tcW w:w="3100" w:type="dxa"/>
            <w:vAlign w:val="bottom"/>
            <w:gridSpan w:val="2"/>
            <w:shd w:val="clear" w:color="auto" w:fill="CCEEFF"/>
          </w:tcPr>
          <w:p>
            <w:pPr>
              <w:ind w:left="40"/>
              <w:spacing w:after="0"/>
              <w:rPr>
                <w:sz w:val="20"/>
                <w:szCs w:val="20"/>
                <w:color w:val="auto"/>
              </w:rPr>
            </w:pPr>
            <w:r>
              <w:rPr>
                <w:rFonts w:ascii="Arial" w:cs="Arial" w:eastAsia="Arial" w:hAnsi="Arial"/>
                <w:sz w:val="11"/>
                <w:szCs w:val="11"/>
                <w:color w:val="auto"/>
              </w:rPr>
              <w:t>Unconsolidated real estate JVs</w:t>
            </w: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161"/>
        </w:trPr>
        <w:tc>
          <w:tcPr>
            <w:tcW w:w="3000" w:type="dxa"/>
            <w:vAlign w:val="bottom"/>
            <w:gridSpan w:val="3"/>
          </w:tcPr>
          <w:p>
            <w:pPr>
              <w:spacing w:after="0"/>
              <w:rPr>
                <w:sz w:val="20"/>
                <w:szCs w:val="20"/>
                <w:color w:val="auto"/>
              </w:rPr>
            </w:pPr>
            <w:r>
              <w:rPr>
                <w:rFonts w:ascii="Arial" w:cs="Arial" w:eastAsia="Arial" w:hAnsi="Arial"/>
                <w:sz w:val="11"/>
                <w:szCs w:val="11"/>
                <w:color w:val="auto"/>
              </w:rPr>
              <w:t>10075 Barnes Canyon Road</w:t>
            </w:r>
          </w:p>
        </w:tc>
        <w:tc>
          <w:tcPr>
            <w:tcW w:w="880" w:type="dxa"/>
            <w:vAlign w:val="bottom"/>
          </w:tcPr>
          <w:p>
            <w:pPr>
              <w:jc w:val="right"/>
              <w:ind w:right="103"/>
              <w:spacing w:after="0"/>
              <w:rPr>
                <w:sz w:val="20"/>
                <w:szCs w:val="20"/>
                <w:color w:val="auto"/>
              </w:rPr>
            </w:pPr>
            <w:r>
              <w:rPr>
                <w:rFonts w:ascii="Arial" w:cs="Arial" w:eastAsia="Arial" w:hAnsi="Arial"/>
                <w:sz w:val="11"/>
                <w:szCs w:val="11"/>
                <w:color w:val="auto"/>
              </w:rPr>
              <w:t>1</w:t>
            </w:r>
          </w:p>
        </w:tc>
        <w:tc>
          <w:tcPr>
            <w:tcW w:w="3100" w:type="dxa"/>
            <w:vAlign w:val="bottom"/>
            <w:tcBorders>
              <w:bottom w:val="single" w:sz="8" w:color="CCEEFF"/>
            </w:tcBorders>
            <w:gridSpan w:val="2"/>
          </w:tcPr>
          <w:p>
            <w:pPr>
              <w:ind w:left="40"/>
              <w:spacing w:after="0"/>
              <w:rPr>
                <w:sz w:val="20"/>
                <w:szCs w:val="20"/>
                <w:color w:val="auto"/>
              </w:rPr>
            </w:pPr>
            <w:r>
              <w:rPr>
                <w:rFonts w:ascii="Arial" w:cs="Arial" w:eastAsia="Arial" w:hAnsi="Arial"/>
                <w:sz w:val="11"/>
                <w:szCs w:val="11"/>
                <w:color w:val="auto"/>
              </w:rPr>
              <w:t>Properties held for sale</w:t>
            </w:r>
          </w:p>
        </w:tc>
        <w:tc>
          <w:tcPr>
            <w:tcW w:w="7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141"/>
        </w:trPr>
        <w:tc>
          <w:tcPr>
            <w:tcW w:w="200" w:type="dxa"/>
            <w:vAlign w:val="bottom"/>
          </w:tcPr>
          <w:p>
            <w:pPr>
              <w:spacing w:after="0"/>
              <w:rPr>
                <w:sz w:val="20"/>
                <w:szCs w:val="20"/>
                <w:color w:val="auto"/>
              </w:rPr>
            </w:pPr>
            <w:r>
              <w:rPr>
                <w:rFonts w:ascii="Arial" w:cs="Arial" w:eastAsia="Arial" w:hAnsi="Arial"/>
                <w:sz w:val="11"/>
                <w:szCs w:val="11"/>
                <w:color w:val="auto"/>
                <w:w w:val="97"/>
              </w:rPr>
              <w:t>421</w:t>
            </w:r>
          </w:p>
        </w:tc>
        <w:tc>
          <w:tcPr>
            <w:tcW w:w="2800" w:type="dxa"/>
            <w:vAlign w:val="bottom"/>
            <w:gridSpan w:val="2"/>
          </w:tcPr>
          <w:p>
            <w:pPr>
              <w:ind w:left="20"/>
              <w:spacing w:after="0"/>
              <w:rPr>
                <w:sz w:val="20"/>
                <w:szCs w:val="20"/>
                <w:color w:val="auto"/>
              </w:rPr>
            </w:pPr>
            <w:r>
              <w:rPr>
                <w:rFonts w:ascii="Arial" w:cs="Arial" w:eastAsia="Arial" w:hAnsi="Arial"/>
                <w:sz w:val="11"/>
                <w:szCs w:val="11"/>
                <w:color w:val="auto"/>
              </w:rPr>
              <w:t>Park Drive</w:t>
            </w:r>
          </w:p>
        </w:tc>
        <w:tc>
          <w:tcPr>
            <w:tcW w:w="880" w:type="dxa"/>
            <w:vAlign w:val="bottom"/>
          </w:tcPr>
          <w:p>
            <w:pPr>
              <w:jc w:val="right"/>
              <w:ind w:right="103"/>
              <w:spacing w:after="0"/>
              <w:rPr>
                <w:sz w:val="20"/>
                <w:szCs w:val="20"/>
                <w:color w:val="auto"/>
              </w:rPr>
            </w:pPr>
            <w:r>
              <w:rPr>
                <w:rFonts w:ascii="Arial" w:cs="Arial" w:eastAsia="Arial" w:hAnsi="Arial"/>
                <w:sz w:val="11"/>
                <w:szCs w:val="11"/>
                <w:color w:val="auto"/>
              </w:rPr>
              <w:t>1</w:t>
            </w:r>
          </w:p>
        </w:tc>
        <w:tc>
          <w:tcPr>
            <w:tcW w:w="3100" w:type="dxa"/>
            <w:vAlign w:val="bottom"/>
            <w:gridSpan w:val="2"/>
            <w:shd w:val="clear" w:color="auto" w:fill="CCEEFF"/>
          </w:tcPr>
          <w:p>
            <w:pPr>
              <w:ind w:left="40"/>
              <w:spacing w:after="0"/>
              <w:rPr>
                <w:sz w:val="20"/>
                <w:szCs w:val="20"/>
                <w:color w:val="auto"/>
              </w:rPr>
            </w:pPr>
            <w:r>
              <w:rPr>
                <w:rFonts w:ascii="Arial" w:cs="Arial" w:eastAsia="Arial" w:hAnsi="Arial"/>
                <w:sz w:val="11"/>
                <w:szCs w:val="11"/>
                <w:color w:val="auto"/>
              </w:rPr>
              <w:t>Total properties excluded from Same Properties</w:t>
            </w: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62</w:t>
            </w:r>
          </w:p>
        </w:tc>
        <w:tc>
          <w:tcPr>
            <w:tcW w:w="0" w:type="dxa"/>
            <w:vAlign w:val="bottom"/>
          </w:tcPr>
          <w:p>
            <w:pPr>
              <w:spacing w:after="0"/>
              <w:rPr>
                <w:sz w:val="1"/>
                <w:szCs w:val="1"/>
                <w:color w:val="auto"/>
              </w:rPr>
            </w:pPr>
          </w:p>
        </w:tc>
      </w:tr>
      <w:tr>
        <w:trPr>
          <w:trHeight w:val="161"/>
        </w:trPr>
        <w:tc>
          <w:tcPr>
            <w:tcW w:w="260" w:type="dxa"/>
            <w:vAlign w:val="bottom"/>
            <w:gridSpan w:val="2"/>
          </w:tcPr>
          <w:p>
            <w:pPr>
              <w:spacing w:after="0"/>
              <w:rPr>
                <w:sz w:val="20"/>
                <w:szCs w:val="20"/>
                <w:color w:val="auto"/>
              </w:rPr>
            </w:pPr>
            <w:r>
              <w:rPr>
                <w:rFonts w:ascii="Arial" w:cs="Arial" w:eastAsia="Arial" w:hAnsi="Arial"/>
                <w:sz w:val="11"/>
                <w:szCs w:val="11"/>
                <w:color w:val="auto"/>
                <w:w w:val="97"/>
              </w:rPr>
              <w:t>4135</w:t>
            </w:r>
          </w:p>
        </w:tc>
        <w:tc>
          <w:tcPr>
            <w:tcW w:w="2740" w:type="dxa"/>
            <w:vAlign w:val="bottom"/>
          </w:tcPr>
          <w:p>
            <w:pPr>
              <w:ind w:left="20"/>
              <w:spacing w:after="0"/>
              <w:rPr>
                <w:sz w:val="20"/>
                <w:szCs w:val="20"/>
                <w:color w:val="auto"/>
              </w:rPr>
            </w:pPr>
            <w:r>
              <w:rPr>
                <w:rFonts w:ascii="Arial" w:cs="Arial" w:eastAsia="Arial" w:hAnsi="Arial"/>
                <w:sz w:val="11"/>
                <w:szCs w:val="11"/>
                <w:color w:val="auto"/>
              </w:rPr>
              <w:t>Campus Point Court</w:t>
            </w:r>
          </w:p>
        </w:tc>
        <w:tc>
          <w:tcPr>
            <w:tcW w:w="880" w:type="dxa"/>
            <w:vAlign w:val="bottom"/>
          </w:tcPr>
          <w:p>
            <w:pPr>
              <w:jc w:val="right"/>
              <w:ind w:right="103"/>
              <w:spacing w:after="0"/>
              <w:rPr>
                <w:sz w:val="20"/>
                <w:szCs w:val="20"/>
                <w:color w:val="auto"/>
              </w:rPr>
            </w:pPr>
            <w:r>
              <w:rPr>
                <w:rFonts w:ascii="Arial" w:cs="Arial" w:eastAsia="Arial" w:hAnsi="Arial"/>
                <w:sz w:val="11"/>
                <w:szCs w:val="11"/>
                <w:color w:val="auto"/>
              </w:rPr>
              <w:t>1</w:t>
            </w:r>
          </w:p>
        </w:tc>
        <w:tc>
          <w:tcPr>
            <w:tcW w:w="3100" w:type="dxa"/>
            <w:vAlign w:val="bottom"/>
            <w:tcBorders>
              <w:bottom w:val="single" w:sz="8" w:color="CCEEFF"/>
            </w:tcBorders>
            <w:gridSpan w:val="2"/>
          </w:tcPr>
          <w:p>
            <w:pPr>
              <w:ind w:left="40"/>
              <w:spacing w:after="0"/>
              <w:rPr>
                <w:sz w:val="20"/>
                <w:szCs w:val="20"/>
                <w:color w:val="auto"/>
              </w:rPr>
            </w:pPr>
            <w:r>
              <w:rPr>
                <w:rFonts w:ascii="Arial" w:cs="Arial" w:eastAsia="Arial" w:hAnsi="Arial"/>
                <w:sz w:val="11"/>
                <w:szCs w:val="11"/>
                <w:color w:val="auto"/>
              </w:rPr>
              <w:t>Same Properties</w:t>
            </w:r>
          </w:p>
        </w:tc>
        <w:tc>
          <w:tcPr>
            <w:tcW w:w="7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346</w:t>
            </w:r>
          </w:p>
        </w:tc>
        <w:tc>
          <w:tcPr>
            <w:tcW w:w="0" w:type="dxa"/>
            <w:vAlign w:val="bottom"/>
          </w:tcPr>
          <w:p>
            <w:pPr>
              <w:spacing w:after="0"/>
              <w:rPr>
                <w:sz w:val="1"/>
                <w:szCs w:val="1"/>
                <w:color w:val="auto"/>
              </w:rPr>
            </w:pPr>
          </w:p>
        </w:tc>
      </w:tr>
      <w:tr>
        <w:trPr>
          <w:trHeight w:val="166"/>
        </w:trPr>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880" w:type="dxa"/>
            <w:vAlign w:val="bottom"/>
          </w:tcPr>
          <w:p>
            <w:pPr>
              <w:jc w:val="right"/>
              <w:ind w:right="103"/>
              <w:spacing w:after="0"/>
              <w:rPr>
                <w:sz w:val="20"/>
                <w:szCs w:val="20"/>
                <w:color w:val="auto"/>
              </w:rPr>
            </w:pPr>
            <w:r>
              <w:rPr>
                <w:rFonts w:ascii="Arial" w:cs="Arial" w:eastAsia="Arial" w:hAnsi="Arial"/>
                <w:sz w:val="11"/>
                <w:szCs w:val="11"/>
                <w:color w:val="auto"/>
              </w:rPr>
              <w:t>16</w:t>
            </w:r>
          </w:p>
        </w:tc>
        <w:tc>
          <w:tcPr>
            <w:tcW w:w="3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1"/>
                <w:szCs w:val="11"/>
                <w:color w:val="auto"/>
              </w:rPr>
              <w:t>Total properties in North America as of June 30, 2024</w:t>
            </w:r>
          </w:p>
        </w:tc>
        <w:tc>
          <w:tcPr>
            <w:tcW w:w="7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408</w:t>
            </w:r>
          </w:p>
        </w:tc>
        <w:tc>
          <w:tcPr>
            <w:tcW w:w="0" w:type="dxa"/>
            <w:vAlign w:val="bottom"/>
          </w:tcPr>
          <w:p>
            <w:pPr>
              <w:spacing w:after="0"/>
              <w:rPr>
                <w:sz w:val="1"/>
                <w:szCs w:val="1"/>
                <w:color w:val="auto"/>
              </w:rPr>
            </w:pPr>
          </w:p>
        </w:tc>
      </w:tr>
      <w:tr>
        <w:trPr>
          <w:trHeight w:val="20"/>
        </w:trPr>
        <w:tc>
          <w:tcPr>
            <w:tcW w:w="3000" w:type="dxa"/>
            <w:vAlign w:val="bottom"/>
            <w:gridSpan w:val="3"/>
            <w:vMerge w:val="restart"/>
          </w:tcPr>
          <w:p>
            <w:pPr>
              <w:spacing w:after="0" w:line="125" w:lineRule="exact"/>
              <w:rPr>
                <w:sz w:val="20"/>
                <w:szCs w:val="20"/>
                <w:color w:val="auto"/>
              </w:rPr>
            </w:pPr>
            <w:r>
              <w:rPr>
                <w:rFonts w:ascii="Arial" w:cs="Arial" w:eastAsia="Arial" w:hAnsi="Arial"/>
                <w:sz w:val="11"/>
                <w:szCs w:val="11"/>
                <w:color w:val="auto"/>
              </w:rPr>
              <w:t>Development – placed into service after January 1, 2023</w:t>
            </w:r>
          </w:p>
        </w:tc>
        <w:tc>
          <w:tcPr>
            <w:tcW w:w="880" w:type="dxa"/>
            <w:vAlign w:val="bottom"/>
            <w:vMerge w:val="restart"/>
          </w:tcPr>
          <w:p>
            <w:pPr>
              <w:jc w:val="right"/>
              <w:ind w:right="163"/>
              <w:spacing w:after="0" w:line="125" w:lineRule="exact"/>
              <w:rPr>
                <w:sz w:val="20"/>
                <w:szCs w:val="20"/>
                <w:color w:val="auto"/>
              </w:rPr>
            </w:pPr>
            <w:r>
              <w:rPr>
                <w:rFonts w:ascii="Arial" w:cs="Arial" w:eastAsia="Arial" w:hAnsi="Arial"/>
                <w:sz w:val="11"/>
                <w:szCs w:val="11"/>
                <w:color w:val="auto"/>
              </w:rPr>
              <w:t>Properties</w:t>
            </w:r>
          </w:p>
        </w:tc>
        <w:tc>
          <w:tcPr>
            <w:tcW w:w="30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
        </w:trPr>
        <w:tc>
          <w:tcPr>
            <w:tcW w:w="3000" w:type="dxa"/>
            <w:vAlign w:val="bottom"/>
            <w:gridSpan w:val="3"/>
            <w:vMerge w:val="continue"/>
          </w:tcPr>
          <w:p>
            <w:pPr>
              <w:spacing w:after="0"/>
              <w:rPr>
                <w:sz w:val="7"/>
                <w:szCs w:val="7"/>
                <w:color w:val="auto"/>
              </w:rPr>
            </w:pPr>
          </w:p>
        </w:tc>
        <w:tc>
          <w:tcPr>
            <w:tcW w:w="880" w:type="dxa"/>
            <w:vAlign w:val="bottom"/>
            <w:vMerge w:val="continue"/>
          </w:tcPr>
          <w:p>
            <w:pPr>
              <w:spacing w:after="0"/>
              <w:rPr>
                <w:sz w:val="7"/>
                <w:szCs w:val="7"/>
                <w:color w:val="auto"/>
              </w:rPr>
            </w:pPr>
          </w:p>
        </w:tc>
        <w:tc>
          <w:tcPr>
            <w:tcW w:w="304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0" w:type="dxa"/>
            <w:vAlign w:val="bottom"/>
          </w:tcPr>
          <w:p>
            <w:pPr>
              <w:spacing w:after="0"/>
              <w:rPr>
                <w:sz w:val="20"/>
                <w:szCs w:val="20"/>
                <w:color w:val="auto"/>
              </w:rPr>
            </w:pPr>
            <w:r>
              <w:rPr>
                <w:rFonts w:ascii="Arial" w:cs="Arial" w:eastAsia="Arial" w:hAnsi="Arial"/>
                <w:sz w:val="11"/>
                <w:szCs w:val="11"/>
                <w:color w:val="auto"/>
                <w:w w:val="97"/>
              </w:rPr>
              <w:t>751</w:t>
            </w:r>
          </w:p>
        </w:tc>
        <w:tc>
          <w:tcPr>
            <w:tcW w:w="2800" w:type="dxa"/>
            <w:vAlign w:val="bottom"/>
            <w:gridSpan w:val="2"/>
          </w:tcPr>
          <w:p>
            <w:pPr>
              <w:ind w:left="20"/>
              <w:spacing w:after="0"/>
              <w:rPr>
                <w:sz w:val="20"/>
                <w:szCs w:val="20"/>
                <w:color w:val="auto"/>
              </w:rPr>
            </w:pPr>
            <w:r>
              <w:rPr>
                <w:rFonts w:ascii="Arial" w:cs="Arial" w:eastAsia="Arial" w:hAnsi="Arial"/>
                <w:sz w:val="11"/>
                <w:szCs w:val="11"/>
                <w:color w:val="auto"/>
              </w:rPr>
              <w:t>Gateway Boulevard</w:t>
            </w:r>
          </w:p>
        </w:tc>
        <w:tc>
          <w:tcPr>
            <w:tcW w:w="880" w:type="dxa"/>
            <w:vAlign w:val="bottom"/>
          </w:tcPr>
          <w:p>
            <w:pPr>
              <w:jc w:val="right"/>
              <w:ind w:right="103"/>
              <w:spacing w:after="0"/>
              <w:rPr>
                <w:sz w:val="20"/>
                <w:szCs w:val="20"/>
                <w:color w:val="auto"/>
              </w:rPr>
            </w:pPr>
            <w:r>
              <w:rPr>
                <w:rFonts w:ascii="Arial" w:cs="Arial" w:eastAsia="Arial" w:hAnsi="Arial"/>
                <w:sz w:val="11"/>
                <w:szCs w:val="11"/>
                <w:color w:val="auto"/>
              </w:rPr>
              <w:t>1</w:t>
            </w:r>
          </w:p>
        </w:tc>
        <w:tc>
          <w:tcPr>
            <w:tcW w:w="3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00" w:type="dxa"/>
            <w:vAlign w:val="bottom"/>
            <w:gridSpan w:val="3"/>
          </w:tcPr>
          <w:p>
            <w:pPr>
              <w:spacing w:after="0"/>
              <w:rPr>
                <w:sz w:val="20"/>
                <w:szCs w:val="20"/>
                <w:color w:val="auto"/>
              </w:rPr>
            </w:pPr>
            <w:r>
              <w:rPr>
                <w:rFonts w:ascii="Arial" w:cs="Arial" w:eastAsia="Arial" w:hAnsi="Arial"/>
                <w:sz w:val="11"/>
                <w:szCs w:val="11"/>
                <w:color w:val="auto"/>
              </w:rPr>
              <w:t>15 Necco Street</w:t>
            </w:r>
          </w:p>
        </w:tc>
        <w:tc>
          <w:tcPr>
            <w:tcW w:w="880" w:type="dxa"/>
            <w:vAlign w:val="bottom"/>
          </w:tcPr>
          <w:p>
            <w:pPr>
              <w:jc w:val="right"/>
              <w:ind w:right="103"/>
              <w:spacing w:after="0"/>
              <w:rPr>
                <w:sz w:val="20"/>
                <w:szCs w:val="20"/>
                <w:color w:val="auto"/>
              </w:rPr>
            </w:pPr>
            <w:r>
              <w:rPr>
                <w:rFonts w:ascii="Arial" w:cs="Arial" w:eastAsia="Arial" w:hAnsi="Arial"/>
                <w:sz w:val="11"/>
                <w:szCs w:val="11"/>
                <w:color w:val="auto"/>
              </w:rPr>
              <w:t>1</w:t>
            </w:r>
          </w:p>
        </w:tc>
        <w:tc>
          <w:tcPr>
            <w:tcW w:w="3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0" w:type="dxa"/>
            <w:vAlign w:val="bottom"/>
          </w:tcPr>
          <w:p>
            <w:pPr>
              <w:spacing w:after="0"/>
              <w:rPr>
                <w:sz w:val="20"/>
                <w:szCs w:val="20"/>
                <w:color w:val="auto"/>
              </w:rPr>
            </w:pPr>
            <w:r>
              <w:rPr>
                <w:rFonts w:ascii="Arial" w:cs="Arial" w:eastAsia="Arial" w:hAnsi="Arial"/>
                <w:sz w:val="11"/>
                <w:szCs w:val="11"/>
                <w:color w:val="auto"/>
                <w:w w:val="97"/>
              </w:rPr>
              <w:t>325</w:t>
            </w:r>
          </w:p>
        </w:tc>
        <w:tc>
          <w:tcPr>
            <w:tcW w:w="2800" w:type="dxa"/>
            <w:vAlign w:val="bottom"/>
            <w:gridSpan w:val="2"/>
          </w:tcPr>
          <w:p>
            <w:pPr>
              <w:ind w:left="20"/>
              <w:spacing w:after="0"/>
              <w:rPr>
                <w:sz w:val="20"/>
                <w:szCs w:val="20"/>
                <w:color w:val="auto"/>
              </w:rPr>
            </w:pPr>
            <w:r>
              <w:rPr>
                <w:rFonts w:ascii="Arial" w:cs="Arial" w:eastAsia="Arial" w:hAnsi="Arial"/>
                <w:sz w:val="11"/>
                <w:szCs w:val="11"/>
                <w:color w:val="auto"/>
              </w:rPr>
              <w:t>Binney Street</w:t>
            </w:r>
          </w:p>
        </w:tc>
        <w:tc>
          <w:tcPr>
            <w:tcW w:w="880" w:type="dxa"/>
            <w:vAlign w:val="bottom"/>
          </w:tcPr>
          <w:p>
            <w:pPr>
              <w:jc w:val="right"/>
              <w:ind w:right="103"/>
              <w:spacing w:after="0"/>
              <w:rPr>
                <w:sz w:val="20"/>
                <w:szCs w:val="20"/>
                <w:color w:val="auto"/>
              </w:rPr>
            </w:pPr>
            <w:r>
              <w:rPr>
                <w:rFonts w:ascii="Arial" w:cs="Arial" w:eastAsia="Arial" w:hAnsi="Arial"/>
                <w:sz w:val="11"/>
                <w:szCs w:val="11"/>
                <w:color w:val="auto"/>
              </w:rPr>
              <w:t>1</w:t>
            </w:r>
          </w:p>
        </w:tc>
        <w:tc>
          <w:tcPr>
            <w:tcW w:w="3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60" w:type="dxa"/>
            <w:vAlign w:val="bottom"/>
            <w:gridSpan w:val="2"/>
          </w:tcPr>
          <w:p>
            <w:pPr>
              <w:spacing w:after="0"/>
              <w:rPr>
                <w:sz w:val="20"/>
                <w:szCs w:val="20"/>
                <w:color w:val="auto"/>
              </w:rPr>
            </w:pPr>
            <w:r>
              <w:rPr>
                <w:rFonts w:ascii="Arial" w:cs="Arial" w:eastAsia="Arial" w:hAnsi="Arial"/>
                <w:sz w:val="11"/>
                <w:szCs w:val="11"/>
                <w:color w:val="auto"/>
                <w:w w:val="97"/>
              </w:rPr>
              <w:t>6040</w:t>
            </w:r>
          </w:p>
        </w:tc>
        <w:tc>
          <w:tcPr>
            <w:tcW w:w="2740" w:type="dxa"/>
            <w:vAlign w:val="bottom"/>
          </w:tcPr>
          <w:p>
            <w:pPr>
              <w:ind w:left="20"/>
              <w:spacing w:after="0"/>
              <w:rPr>
                <w:sz w:val="20"/>
                <w:szCs w:val="20"/>
                <w:color w:val="auto"/>
              </w:rPr>
            </w:pPr>
            <w:r>
              <w:rPr>
                <w:rFonts w:ascii="Arial" w:cs="Arial" w:eastAsia="Arial" w:hAnsi="Arial"/>
                <w:sz w:val="11"/>
                <w:szCs w:val="11"/>
                <w:color w:val="auto"/>
              </w:rPr>
              <w:t>George Watts Hill Drive</w:t>
            </w:r>
          </w:p>
        </w:tc>
        <w:tc>
          <w:tcPr>
            <w:tcW w:w="880" w:type="dxa"/>
            <w:vAlign w:val="bottom"/>
          </w:tcPr>
          <w:p>
            <w:pPr>
              <w:jc w:val="right"/>
              <w:ind w:right="103"/>
              <w:spacing w:after="0"/>
              <w:rPr>
                <w:sz w:val="20"/>
                <w:szCs w:val="20"/>
                <w:color w:val="auto"/>
              </w:rPr>
            </w:pPr>
            <w:r>
              <w:rPr>
                <w:rFonts w:ascii="Arial" w:cs="Arial" w:eastAsia="Arial" w:hAnsi="Arial"/>
                <w:sz w:val="11"/>
                <w:szCs w:val="11"/>
                <w:color w:val="auto"/>
              </w:rPr>
              <w:t>1</w:t>
            </w:r>
          </w:p>
        </w:tc>
        <w:tc>
          <w:tcPr>
            <w:tcW w:w="3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60" w:type="dxa"/>
            <w:vAlign w:val="bottom"/>
            <w:gridSpan w:val="2"/>
          </w:tcPr>
          <w:p>
            <w:pPr>
              <w:spacing w:after="0"/>
              <w:rPr>
                <w:sz w:val="20"/>
                <w:szCs w:val="20"/>
                <w:color w:val="auto"/>
              </w:rPr>
            </w:pPr>
            <w:r>
              <w:rPr>
                <w:rFonts w:ascii="Arial" w:cs="Arial" w:eastAsia="Arial" w:hAnsi="Arial"/>
                <w:sz w:val="11"/>
                <w:szCs w:val="11"/>
                <w:color w:val="auto"/>
                <w:w w:val="97"/>
              </w:rPr>
              <w:t>9810</w:t>
            </w:r>
          </w:p>
        </w:tc>
        <w:tc>
          <w:tcPr>
            <w:tcW w:w="2740" w:type="dxa"/>
            <w:vAlign w:val="bottom"/>
          </w:tcPr>
          <w:p>
            <w:pPr>
              <w:ind w:left="20"/>
              <w:spacing w:after="0"/>
              <w:rPr>
                <w:sz w:val="20"/>
                <w:szCs w:val="20"/>
                <w:color w:val="auto"/>
              </w:rPr>
            </w:pPr>
            <w:r>
              <w:rPr>
                <w:rFonts w:ascii="Arial" w:cs="Arial" w:eastAsia="Arial" w:hAnsi="Arial"/>
                <w:sz w:val="11"/>
                <w:szCs w:val="11"/>
                <w:color w:val="auto"/>
              </w:rPr>
              <w:t>Darnestown Road</w:t>
            </w:r>
          </w:p>
        </w:tc>
        <w:tc>
          <w:tcPr>
            <w:tcW w:w="880" w:type="dxa"/>
            <w:vAlign w:val="bottom"/>
          </w:tcPr>
          <w:p>
            <w:pPr>
              <w:jc w:val="right"/>
              <w:ind w:right="103"/>
              <w:spacing w:after="0"/>
              <w:rPr>
                <w:sz w:val="20"/>
                <w:szCs w:val="20"/>
                <w:color w:val="auto"/>
              </w:rPr>
            </w:pPr>
            <w:r>
              <w:rPr>
                <w:rFonts w:ascii="Arial" w:cs="Arial" w:eastAsia="Arial" w:hAnsi="Arial"/>
                <w:sz w:val="11"/>
                <w:szCs w:val="11"/>
                <w:color w:val="auto"/>
              </w:rPr>
              <w:t>1</w:t>
            </w:r>
          </w:p>
        </w:tc>
        <w:tc>
          <w:tcPr>
            <w:tcW w:w="3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880" w:type="dxa"/>
            <w:vAlign w:val="bottom"/>
          </w:tcPr>
          <w:p>
            <w:pPr>
              <w:jc w:val="right"/>
              <w:ind w:right="103"/>
              <w:spacing w:after="0"/>
              <w:rPr>
                <w:sz w:val="20"/>
                <w:szCs w:val="20"/>
                <w:color w:val="auto"/>
              </w:rPr>
            </w:pPr>
            <w:r>
              <w:rPr>
                <w:rFonts w:ascii="Arial" w:cs="Arial" w:eastAsia="Arial" w:hAnsi="Arial"/>
                <w:sz w:val="11"/>
                <w:szCs w:val="11"/>
                <w:color w:val="auto"/>
              </w:rPr>
              <w:t>5</w:t>
            </w:r>
          </w:p>
        </w:tc>
        <w:tc>
          <w:tcPr>
            <w:tcW w:w="3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00" w:type="dxa"/>
            <w:vAlign w:val="bottom"/>
            <w:gridSpan w:val="3"/>
          </w:tcPr>
          <w:p>
            <w:pPr>
              <w:spacing w:after="0"/>
              <w:rPr>
                <w:sz w:val="20"/>
                <w:szCs w:val="20"/>
                <w:color w:val="auto"/>
              </w:rPr>
            </w:pPr>
            <w:r>
              <w:rPr>
                <w:rFonts w:ascii="Arial" w:cs="Arial" w:eastAsia="Arial" w:hAnsi="Arial"/>
                <w:sz w:val="11"/>
                <w:szCs w:val="11"/>
                <w:color w:val="auto"/>
              </w:rPr>
              <w:t>Redevelopment – under construction</w:t>
            </w:r>
          </w:p>
        </w:tc>
        <w:tc>
          <w:tcPr>
            <w:tcW w:w="880" w:type="dxa"/>
            <w:vAlign w:val="bottom"/>
          </w:tcPr>
          <w:p>
            <w:pPr>
              <w:jc w:val="right"/>
              <w:ind w:right="163"/>
              <w:spacing w:after="0"/>
              <w:rPr>
                <w:sz w:val="20"/>
                <w:szCs w:val="20"/>
                <w:color w:val="auto"/>
              </w:rPr>
            </w:pPr>
            <w:r>
              <w:rPr>
                <w:rFonts w:ascii="Arial" w:cs="Arial" w:eastAsia="Arial" w:hAnsi="Arial"/>
                <w:sz w:val="11"/>
                <w:szCs w:val="11"/>
                <w:color w:val="auto"/>
              </w:rPr>
              <w:t>Properties</w:t>
            </w:r>
          </w:p>
        </w:tc>
        <w:tc>
          <w:tcPr>
            <w:tcW w:w="3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0" w:type="dxa"/>
            <w:vAlign w:val="bottom"/>
          </w:tcPr>
          <w:p>
            <w:pPr>
              <w:spacing w:after="0"/>
              <w:rPr>
                <w:sz w:val="20"/>
                <w:szCs w:val="20"/>
                <w:color w:val="auto"/>
              </w:rPr>
            </w:pPr>
            <w:r>
              <w:rPr>
                <w:rFonts w:ascii="Arial" w:cs="Arial" w:eastAsia="Arial" w:hAnsi="Arial"/>
                <w:sz w:val="11"/>
                <w:szCs w:val="11"/>
                <w:color w:val="auto"/>
                <w:w w:val="97"/>
              </w:rPr>
              <w:t>840</w:t>
            </w:r>
          </w:p>
        </w:tc>
        <w:tc>
          <w:tcPr>
            <w:tcW w:w="2800" w:type="dxa"/>
            <w:vAlign w:val="bottom"/>
            <w:gridSpan w:val="2"/>
          </w:tcPr>
          <w:p>
            <w:pPr>
              <w:ind w:left="20"/>
              <w:spacing w:after="0"/>
              <w:rPr>
                <w:sz w:val="20"/>
                <w:szCs w:val="20"/>
                <w:color w:val="auto"/>
              </w:rPr>
            </w:pPr>
            <w:r>
              <w:rPr>
                <w:rFonts w:ascii="Arial" w:cs="Arial" w:eastAsia="Arial" w:hAnsi="Arial"/>
                <w:sz w:val="11"/>
                <w:szCs w:val="11"/>
                <w:color w:val="auto"/>
              </w:rPr>
              <w:t>Winter Street</w:t>
            </w:r>
          </w:p>
        </w:tc>
        <w:tc>
          <w:tcPr>
            <w:tcW w:w="880" w:type="dxa"/>
            <w:vAlign w:val="bottom"/>
          </w:tcPr>
          <w:p>
            <w:pPr>
              <w:jc w:val="right"/>
              <w:ind w:right="103"/>
              <w:spacing w:after="0"/>
              <w:rPr>
                <w:sz w:val="20"/>
                <w:szCs w:val="20"/>
                <w:color w:val="auto"/>
              </w:rPr>
            </w:pPr>
            <w:r>
              <w:rPr>
                <w:rFonts w:ascii="Arial" w:cs="Arial" w:eastAsia="Arial" w:hAnsi="Arial"/>
                <w:sz w:val="11"/>
                <w:szCs w:val="11"/>
                <w:color w:val="auto"/>
              </w:rPr>
              <w:t>1</w:t>
            </w:r>
          </w:p>
        </w:tc>
        <w:tc>
          <w:tcPr>
            <w:tcW w:w="3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00" w:type="dxa"/>
            <w:vAlign w:val="bottom"/>
            <w:gridSpan w:val="3"/>
          </w:tcPr>
          <w:p>
            <w:pPr>
              <w:spacing w:after="0"/>
              <w:rPr>
                <w:sz w:val="20"/>
                <w:szCs w:val="20"/>
                <w:color w:val="auto"/>
              </w:rPr>
            </w:pPr>
            <w:r>
              <w:rPr>
                <w:rFonts w:ascii="Arial" w:cs="Arial" w:eastAsia="Arial" w:hAnsi="Arial"/>
                <w:sz w:val="11"/>
                <w:szCs w:val="11"/>
                <w:color w:val="auto"/>
              </w:rPr>
              <w:t>40, 50, and 60 Sylvan Road</w:t>
            </w:r>
          </w:p>
        </w:tc>
        <w:tc>
          <w:tcPr>
            <w:tcW w:w="880" w:type="dxa"/>
            <w:vAlign w:val="bottom"/>
          </w:tcPr>
          <w:p>
            <w:pPr>
              <w:jc w:val="right"/>
              <w:ind w:right="103"/>
              <w:spacing w:after="0"/>
              <w:rPr>
                <w:sz w:val="20"/>
                <w:szCs w:val="20"/>
                <w:color w:val="auto"/>
              </w:rPr>
            </w:pPr>
            <w:r>
              <w:rPr>
                <w:rFonts w:ascii="Arial" w:cs="Arial" w:eastAsia="Arial" w:hAnsi="Arial"/>
                <w:sz w:val="11"/>
                <w:szCs w:val="11"/>
                <w:color w:val="auto"/>
              </w:rPr>
              <w:t>3</w:t>
            </w:r>
          </w:p>
        </w:tc>
        <w:tc>
          <w:tcPr>
            <w:tcW w:w="3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3000" w:type="dxa"/>
            <w:vAlign w:val="bottom"/>
            <w:gridSpan w:val="3"/>
          </w:tcPr>
          <w:p>
            <w:pPr>
              <w:spacing w:after="0" w:line="151" w:lineRule="exact"/>
              <w:rPr>
                <w:sz w:val="20"/>
                <w:szCs w:val="20"/>
                <w:color w:val="auto"/>
              </w:rPr>
            </w:pPr>
            <w:r>
              <w:rPr>
                <w:rFonts w:ascii="Arial" w:cs="Arial" w:eastAsia="Arial" w:hAnsi="Arial"/>
                <w:sz w:val="11"/>
                <w:szCs w:val="11"/>
                <w:color w:val="auto"/>
              </w:rPr>
              <w:t>Alexandria Center</w:t>
            </w:r>
            <w:r>
              <w:rPr>
                <w:rFonts w:ascii="Arial" w:cs="Arial" w:eastAsia="Arial" w:hAnsi="Arial"/>
                <w:sz w:val="14"/>
                <w:szCs w:val="14"/>
                <w:color w:val="auto"/>
                <w:vertAlign w:val="superscript"/>
              </w:rPr>
              <w:t>®</w:t>
            </w:r>
            <w:r>
              <w:rPr>
                <w:rFonts w:ascii="Arial" w:cs="Arial" w:eastAsia="Arial" w:hAnsi="Arial"/>
                <w:sz w:val="11"/>
                <w:szCs w:val="11"/>
                <w:color w:val="auto"/>
              </w:rPr>
              <w:t xml:space="preserve"> for Advanced Technologies – Monte</w:t>
            </w:r>
          </w:p>
        </w:tc>
        <w:tc>
          <w:tcPr>
            <w:tcW w:w="880" w:type="dxa"/>
            <w:vAlign w:val="bottom"/>
            <w:vMerge w:val="restart"/>
          </w:tcPr>
          <w:p>
            <w:pPr>
              <w:jc w:val="right"/>
              <w:ind w:right="103"/>
              <w:spacing w:after="0"/>
              <w:rPr>
                <w:sz w:val="20"/>
                <w:szCs w:val="20"/>
                <w:color w:val="auto"/>
              </w:rPr>
            </w:pPr>
            <w:r>
              <w:rPr>
                <w:rFonts w:ascii="Arial" w:cs="Arial" w:eastAsia="Arial" w:hAnsi="Arial"/>
                <w:sz w:val="11"/>
                <w:szCs w:val="11"/>
                <w:color w:val="auto"/>
              </w:rPr>
              <w:t>6</w:t>
            </w:r>
          </w:p>
        </w:tc>
        <w:tc>
          <w:tcPr>
            <w:tcW w:w="3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3000" w:type="dxa"/>
            <w:vAlign w:val="bottom"/>
            <w:gridSpan w:val="3"/>
          </w:tcPr>
          <w:p>
            <w:pPr>
              <w:ind w:left="120"/>
              <w:spacing w:after="0"/>
              <w:rPr>
                <w:sz w:val="20"/>
                <w:szCs w:val="20"/>
                <w:color w:val="auto"/>
              </w:rPr>
            </w:pPr>
            <w:r>
              <w:rPr>
                <w:rFonts w:ascii="Arial" w:cs="Arial" w:eastAsia="Arial" w:hAnsi="Arial"/>
                <w:sz w:val="11"/>
                <w:szCs w:val="11"/>
                <w:color w:val="auto"/>
              </w:rPr>
              <w:t>Villa Parkway</w:t>
            </w:r>
          </w:p>
        </w:tc>
        <w:tc>
          <w:tcPr>
            <w:tcW w:w="880" w:type="dxa"/>
            <w:vAlign w:val="bottom"/>
            <w:vMerge w:val="continue"/>
          </w:tcPr>
          <w:p>
            <w:pPr>
              <w:spacing w:after="0"/>
              <w:rPr>
                <w:sz w:val="13"/>
                <w:szCs w:val="13"/>
                <w:color w:val="auto"/>
              </w:rPr>
            </w:pPr>
          </w:p>
        </w:tc>
        <w:tc>
          <w:tcPr>
            <w:tcW w:w="3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0" w:type="dxa"/>
            <w:vAlign w:val="bottom"/>
          </w:tcPr>
          <w:p>
            <w:pPr>
              <w:spacing w:after="0"/>
              <w:rPr>
                <w:sz w:val="20"/>
                <w:szCs w:val="20"/>
                <w:color w:val="auto"/>
              </w:rPr>
            </w:pPr>
            <w:r>
              <w:rPr>
                <w:rFonts w:ascii="Arial" w:cs="Arial" w:eastAsia="Arial" w:hAnsi="Arial"/>
                <w:sz w:val="11"/>
                <w:szCs w:val="11"/>
                <w:color w:val="auto"/>
                <w:w w:val="97"/>
              </w:rPr>
              <w:t>651</w:t>
            </w:r>
          </w:p>
        </w:tc>
        <w:tc>
          <w:tcPr>
            <w:tcW w:w="2800" w:type="dxa"/>
            <w:vAlign w:val="bottom"/>
            <w:gridSpan w:val="2"/>
          </w:tcPr>
          <w:p>
            <w:pPr>
              <w:ind w:left="20"/>
              <w:spacing w:after="0"/>
              <w:rPr>
                <w:sz w:val="20"/>
                <w:szCs w:val="20"/>
                <w:color w:val="auto"/>
              </w:rPr>
            </w:pPr>
            <w:r>
              <w:rPr>
                <w:rFonts w:ascii="Arial" w:cs="Arial" w:eastAsia="Arial" w:hAnsi="Arial"/>
                <w:sz w:val="11"/>
                <w:szCs w:val="11"/>
                <w:color w:val="auto"/>
              </w:rPr>
              <w:t>Gateway Boulevard</w:t>
            </w:r>
          </w:p>
        </w:tc>
        <w:tc>
          <w:tcPr>
            <w:tcW w:w="880" w:type="dxa"/>
            <w:vAlign w:val="bottom"/>
          </w:tcPr>
          <w:p>
            <w:pPr>
              <w:jc w:val="right"/>
              <w:ind w:right="103"/>
              <w:spacing w:after="0"/>
              <w:rPr>
                <w:sz w:val="20"/>
                <w:szCs w:val="20"/>
                <w:color w:val="auto"/>
              </w:rPr>
            </w:pPr>
            <w:r>
              <w:rPr>
                <w:rFonts w:ascii="Arial" w:cs="Arial" w:eastAsia="Arial" w:hAnsi="Arial"/>
                <w:sz w:val="11"/>
                <w:szCs w:val="11"/>
                <w:color w:val="auto"/>
              </w:rPr>
              <w:t>1</w:t>
            </w:r>
          </w:p>
        </w:tc>
        <w:tc>
          <w:tcPr>
            <w:tcW w:w="3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0" w:type="dxa"/>
            <w:vAlign w:val="bottom"/>
          </w:tcPr>
          <w:p>
            <w:pPr>
              <w:spacing w:after="0"/>
              <w:rPr>
                <w:sz w:val="20"/>
                <w:szCs w:val="20"/>
                <w:color w:val="auto"/>
              </w:rPr>
            </w:pPr>
            <w:r>
              <w:rPr>
                <w:rFonts w:ascii="Arial" w:cs="Arial" w:eastAsia="Arial" w:hAnsi="Arial"/>
                <w:sz w:val="11"/>
                <w:szCs w:val="11"/>
                <w:color w:val="auto"/>
                <w:w w:val="97"/>
              </w:rPr>
              <w:t>401</w:t>
            </w:r>
          </w:p>
        </w:tc>
        <w:tc>
          <w:tcPr>
            <w:tcW w:w="2800" w:type="dxa"/>
            <w:vAlign w:val="bottom"/>
            <w:gridSpan w:val="2"/>
          </w:tcPr>
          <w:p>
            <w:pPr>
              <w:ind w:left="20"/>
              <w:spacing w:after="0"/>
              <w:rPr>
                <w:sz w:val="20"/>
                <w:szCs w:val="20"/>
                <w:color w:val="auto"/>
              </w:rPr>
            </w:pPr>
            <w:r>
              <w:rPr>
                <w:rFonts w:ascii="Arial" w:cs="Arial" w:eastAsia="Arial" w:hAnsi="Arial"/>
                <w:sz w:val="11"/>
                <w:szCs w:val="11"/>
                <w:color w:val="auto"/>
              </w:rPr>
              <w:t>Park Drive</w:t>
            </w:r>
          </w:p>
        </w:tc>
        <w:tc>
          <w:tcPr>
            <w:tcW w:w="880" w:type="dxa"/>
            <w:vAlign w:val="bottom"/>
          </w:tcPr>
          <w:p>
            <w:pPr>
              <w:jc w:val="right"/>
              <w:ind w:right="103"/>
              <w:spacing w:after="0"/>
              <w:rPr>
                <w:sz w:val="20"/>
                <w:szCs w:val="20"/>
                <w:color w:val="auto"/>
              </w:rPr>
            </w:pPr>
            <w:r>
              <w:rPr>
                <w:rFonts w:ascii="Arial" w:cs="Arial" w:eastAsia="Arial" w:hAnsi="Arial"/>
                <w:sz w:val="11"/>
                <w:szCs w:val="11"/>
                <w:color w:val="auto"/>
              </w:rPr>
              <w:t>1</w:t>
            </w:r>
          </w:p>
        </w:tc>
        <w:tc>
          <w:tcPr>
            <w:tcW w:w="3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60" w:type="dxa"/>
            <w:vAlign w:val="bottom"/>
            <w:gridSpan w:val="2"/>
          </w:tcPr>
          <w:p>
            <w:pPr>
              <w:spacing w:after="0"/>
              <w:rPr>
                <w:sz w:val="20"/>
                <w:szCs w:val="20"/>
                <w:color w:val="auto"/>
              </w:rPr>
            </w:pPr>
            <w:r>
              <w:rPr>
                <w:rFonts w:ascii="Arial" w:cs="Arial" w:eastAsia="Arial" w:hAnsi="Arial"/>
                <w:sz w:val="11"/>
                <w:szCs w:val="11"/>
                <w:color w:val="auto"/>
                <w:w w:val="97"/>
              </w:rPr>
              <w:t>8800</w:t>
            </w:r>
          </w:p>
        </w:tc>
        <w:tc>
          <w:tcPr>
            <w:tcW w:w="2740" w:type="dxa"/>
            <w:vAlign w:val="bottom"/>
          </w:tcPr>
          <w:p>
            <w:pPr>
              <w:ind w:left="20"/>
              <w:spacing w:after="0"/>
              <w:rPr>
                <w:sz w:val="20"/>
                <w:szCs w:val="20"/>
                <w:color w:val="auto"/>
              </w:rPr>
            </w:pPr>
            <w:r>
              <w:rPr>
                <w:rFonts w:ascii="Arial" w:cs="Arial" w:eastAsia="Arial" w:hAnsi="Arial"/>
                <w:sz w:val="11"/>
                <w:szCs w:val="11"/>
                <w:color w:val="auto"/>
              </w:rPr>
              <w:t>Technology Forest Place</w:t>
            </w:r>
          </w:p>
        </w:tc>
        <w:tc>
          <w:tcPr>
            <w:tcW w:w="880" w:type="dxa"/>
            <w:vAlign w:val="bottom"/>
          </w:tcPr>
          <w:p>
            <w:pPr>
              <w:jc w:val="right"/>
              <w:ind w:right="103"/>
              <w:spacing w:after="0"/>
              <w:rPr>
                <w:sz w:val="20"/>
                <w:szCs w:val="20"/>
                <w:color w:val="auto"/>
              </w:rPr>
            </w:pPr>
            <w:r>
              <w:rPr>
                <w:rFonts w:ascii="Arial" w:cs="Arial" w:eastAsia="Arial" w:hAnsi="Arial"/>
                <w:sz w:val="11"/>
                <w:szCs w:val="11"/>
                <w:color w:val="auto"/>
              </w:rPr>
              <w:t>1</w:t>
            </w:r>
          </w:p>
        </w:tc>
        <w:tc>
          <w:tcPr>
            <w:tcW w:w="3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3000" w:type="dxa"/>
            <w:vAlign w:val="bottom"/>
            <w:gridSpan w:val="3"/>
          </w:tcPr>
          <w:p>
            <w:pPr>
              <w:spacing w:after="0"/>
              <w:rPr>
                <w:sz w:val="20"/>
                <w:szCs w:val="20"/>
                <w:color w:val="auto"/>
              </w:rPr>
            </w:pPr>
            <w:r>
              <w:rPr>
                <w:rFonts w:ascii="Arial" w:cs="Arial" w:eastAsia="Arial" w:hAnsi="Arial"/>
                <w:sz w:val="11"/>
                <w:szCs w:val="11"/>
                <w:color w:val="auto"/>
              </w:rPr>
              <w:t>311 Arsenal Street</w:t>
            </w:r>
          </w:p>
        </w:tc>
        <w:tc>
          <w:tcPr>
            <w:tcW w:w="880" w:type="dxa"/>
            <w:vAlign w:val="bottom"/>
          </w:tcPr>
          <w:p>
            <w:pPr>
              <w:jc w:val="right"/>
              <w:ind w:right="103"/>
              <w:spacing w:after="0"/>
              <w:rPr>
                <w:sz w:val="20"/>
                <w:szCs w:val="20"/>
                <w:color w:val="auto"/>
              </w:rPr>
            </w:pPr>
            <w:r>
              <w:rPr>
                <w:rFonts w:ascii="Arial" w:cs="Arial" w:eastAsia="Arial" w:hAnsi="Arial"/>
                <w:sz w:val="11"/>
                <w:szCs w:val="11"/>
                <w:color w:val="auto"/>
              </w:rPr>
              <w:t>1</w:t>
            </w:r>
          </w:p>
        </w:tc>
        <w:tc>
          <w:tcPr>
            <w:tcW w:w="3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3000" w:type="dxa"/>
            <w:vAlign w:val="bottom"/>
            <w:gridSpan w:val="3"/>
          </w:tcPr>
          <w:p>
            <w:pPr>
              <w:spacing w:after="0"/>
              <w:rPr>
                <w:sz w:val="20"/>
                <w:szCs w:val="20"/>
                <w:color w:val="auto"/>
              </w:rPr>
            </w:pPr>
            <w:r>
              <w:rPr>
                <w:rFonts w:ascii="Arial" w:cs="Arial" w:eastAsia="Arial" w:hAnsi="Arial"/>
                <w:sz w:val="11"/>
                <w:szCs w:val="11"/>
                <w:color w:val="auto"/>
              </w:rPr>
              <w:t>Canada</w:t>
            </w:r>
          </w:p>
        </w:tc>
        <w:tc>
          <w:tcPr>
            <w:tcW w:w="880" w:type="dxa"/>
            <w:vAlign w:val="bottom"/>
          </w:tcPr>
          <w:p>
            <w:pPr>
              <w:jc w:val="right"/>
              <w:ind w:right="103"/>
              <w:spacing w:after="0"/>
              <w:rPr>
                <w:sz w:val="20"/>
                <w:szCs w:val="20"/>
                <w:color w:val="auto"/>
              </w:rPr>
            </w:pPr>
            <w:r>
              <w:rPr>
                <w:rFonts w:ascii="Arial" w:cs="Arial" w:eastAsia="Arial" w:hAnsi="Arial"/>
                <w:sz w:val="11"/>
                <w:szCs w:val="11"/>
                <w:color w:val="auto"/>
              </w:rPr>
              <w:t>4</w:t>
            </w:r>
          </w:p>
        </w:tc>
        <w:tc>
          <w:tcPr>
            <w:tcW w:w="3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ectPr>
          <w:pgSz w:w="11900" w:h="16839" w:orient="portrait"/>
          <w:cols w:equalWidth="0" w:num="1">
            <w:col w:w="9019"/>
          </w:cols>
          <w:pgMar w:left="1440" w:top="98" w:right="1440" w:bottom="0" w:gutter="0" w:footer="0" w:header="0"/>
        </w:sectPr>
      </w:pPr>
    </w:p>
    <w:bookmarkStart w:id="48" w:name="page49"/>
    <w:bookmarkEnd w:id="48"/>
    <w:p>
      <w:pPr>
        <w:spacing w:after="0" w:line="1" w:lineRule="exact"/>
        <w:rPr>
          <w:sz w:val="20"/>
          <w:szCs w:val="20"/>
          <w:color w:val="auto"/>
        </w:rPr>
      </w:pPr>
    </w:p>
    <w:tbl>
      <w:tblPr>
        <w:tblLayout w:type="fixed"/>
        <w:tblInd w:w="640" w:type="dxa"/>
        <w:tblCellMar>
          <w:top w:w="0" w:type="dxa"/>
          <w:left w:w="0" w:type="dxa"/>
          <w:bottom w:w="0" w:type="dxa"/>
          <w:right w:w="0" w:type="dxa"/>
        </w:tblCellMar>
      </w:tblPr>
      <w:tr>
        <w:trPr>
          <w:trHeight w:val="126"/>
        </w:trPr>
        <w:tc>
          <w:tcPr>
            <w:tcW w:w="3080" w:type="dxa"/>
            <w:vAlign w:val="bottom"/>
            <w:gridSpan w:val="2"/>
          </w:tcPr>
          <w:p>
            <w:pPr>
              <w:ind w:left="40"/>
              <w:spacing w:after="0"/>
              <w:rPr>
                <w:sz w:val="20"/>
                <w:szCs w:val="20"/>
                <w:color w:val="auto"/>
              </w:rPr>
            </w:pPr>
            <w:r>
              <w:rPr>
                <w:rFonts w:ascii="Arial" w:cs="Arial" w:eastAsia="Arial" w:hAnsi="Arial"/>
                <w:sz w:val="11"/>
                <w:szCs w:val="11"/>
                <w:color w:val="auto"/>
              </w:rPr>
              <w:t>Other</w:t>
            </w:r>
          </w:p>
        </w:tc>
        <w:tc>
          <w:tcPr>
            <w:tcW w:w="720" w:type="dxa"/>
            <w:vAlign w:val="bottom"/>
          </w:tcPr>
          <w:p>
            <w:pPr>
              <w:jc w:val="right"/>
              <w:spacing w:after="0"/>
              <w:rPr>
                <w:sz w:val="20"/>
                <w:szCs w:val="20"/>
                <w:color w:val="auto"/>
              </w:rPr>
            </w:pPr>
            <w:r>
              <w:rPr>
                <w:rFonts w:ascii="Arial" w:cs="Arial" w:eastAsia="Arial" w:hAnsi="Arial"/>
                <w:sz w:val="11"/>
                <w:szCs w:val="11"/>
                <w:color w:val="auto"/>
              </w:rPr>
              <w:t>2</w:t>
            </w:r>
          </w:p>
        </w:tc>
      </w:tr>
      <w:tr>
        <w:trPr>
          <w:trHeight w:val="150"/>
        </w:trPr>
        <w:tc>
          <w:tcPr>
            <w:tcW w:w="3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20</w:t>
            </w:r>
          </w:p>
        </w:tc>
      </w:tr>
      <w:tr>
        <w:trPr>
          <w:trHeight w:val="39"/>
        </w:trPr>
        <w:tc>
          <w:tcPr>
            <w:tcW w:w="302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r>
      <w:tr>
        <w:trPr>
          <w:trHeight w:val="141"/>
        </w:trPr>
        <w:tc>
          <w:tcPr>
            <w:tcW w:w="30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r>
      <w:tr>
        <w:trPr>
          <w:trHeight w:val="161"/>
        </w:trPr>
        <w:tc>
          <w:tcPr>
            <w:tcW w:w="3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1"/>
        </w:trPr>
        <w:tc>
          <w:tcPr>
            <w:tcW w:w="30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r>
      <w:tr>
        <w:trPr>
          <w:trHeight w:val="161"/>
        </w:trPr>
        <w:tc>
          <w:tcPr>
            <w:tcW w:w="3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1"/>
        </w:trPr>
        <w:tc>
          <w:tcPr>
            <w:tcW w:w="30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r>
      <w:tr>
        <w:trPr>
          <w:trHeight w:val="161"/>
        </w:trPr>
        <w:tc>
          <w:tcPr>
            <w:tcW w:w="3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1"/>
        </w:trPr>
        <w:tc>
          <w:tcPr>
            <w:tcW w:w="30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-899795</wp:posOffset>
            </wp:positionV>
            <wp:extent cx="5584190" cy="11487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584190" cy="1148715"/>
                    </a:xfrm>
                    <a:prstGeom prst="rect">
                      <a:avLst/>
                    </a:prstGeom>
                    <a:noFill/>
                  </pic:spPr>
                </pic:pic>
              </a:graphicData>
            </a:graphic>
          </wp:anchor>
        </w:drawing>
      </w:r>
    </w:p>
    <w:p>
      <w:pPr>
        <w:ind w:left="640"/>
        <w:spacing w:after="0"/>
        <w:rPr>
          <w:sz w:val="20"/>
          <w:szCs w:val="20"/>
          <w:color w:val="auto"/>
        </w:rPr>
      </w:pPr>
      <w:r>
        <w:rPr>
          <w:sz w:val="1"/>
          <w:szCs w:val="1"/>
          <w:color w:val="auto"/>
        </w:rPr>
        <w:drawing>
          <wp:inline distT="0" distB="0" distL="0" distR="0">
            <wp:extent cx="2414270" cy="102235"/>
            <wp:effectExtent l="0" t="0" r="0" b="0"/>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414270" cy="102235"/>
                    </a:xfrm>
                    <a:prstGeom prst="rect">
                      <a:avLst/>
                    </a:prstGeom>
                    <a:noFill/>
                    <a:ln>
                      <a:noFill/>
                    </a:ln>
                  </pic:spPr>
                </pic:pic>
              </a:graphicData>
            </a:graphic>
          </wp:inline>
        </w:drawing>
      </w:r>
      <w:r>
        <w:rPr>
          <w:rFonts w:ascii="Arial" w:cs="Arial" w:eastAsia="Arial" w:hAnsi="Arial"/>
          <w:sz w:val="13"/>
          <w:szCs w:val="13"/>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191135</wp:posOffset>
            </wp:positionV>
            <wp:extent cx="5584190" cy="722058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640"/>
        <w:spacing w:after="0"/>
        <w:rPr>
          <w:sz w:val="20"/>
          <w:szCs w:val="20"/>
          <w:color w:val="auto"/>
        </w:rPr>
      </w:pPr>
      <w:r>
        <w:rPr>
          <w:rFonts w:ascii="Arial" w:cs="Arial" w:eastAsia="Arial" w:hAnsi="Arial"/>
          <w:sz w:val="13"/>
          <w:szCs w:val="13"/>
          <w:u w:val="single" w:color="auto"/>
          <w:color w:val="auto"/>
        </w:rPr>
        <w:t>Comparison of results for the three months ended June 30, 2024 to the three months ended June 30, 2023</w:t>
      </w:r>
    </w:p>
    <w:p>
      <w:pPr>
        <w:spacing w:after="0" w:line="162" w:lineRule="exact"/>
        <w:rPr>
          <w:sz w:val="20"/>
          <w:szCs w:val="20"/>
          <w:color w:val="auto"/>
        </w:rPr>
      </w:pPr>
    </w:p>
    <w:p>
      <w:pPr>
        <w:ind w:left="640" w:right="659" w:firstLine="516"/>
        <w:spacing w:after="0" w:line="253" w:lineRule="auto"/>
        <w:rPr>
          <w:sz w:val="20"/>
          <w:szCs w:val="20"/>
          <w:color w:val="auto"/>
        </w:rPr>
      </w:pPr>
      <w:r>
        <w:rPr>
          <w:rFonts w:ascii="Arial" w:cs="Arial" w:eastAsia="Arial" w:hAnsi="Arial"/>
          <w:sz w:val="13"/>
          <w:szCs w:val="13"/>
          <w:color w:val="auto"/>
        </w:rPr>
        <w:t>The following table presents a comparison of the components of net operating income for our Same Properties and Non-Same Properties for the three months ended June 30, 2024, compared to the three months ended June 30, 2023 (dollars in thousands). Refer to “Definitions and reconciliations” in Item 2 for definitions of “Tenant recoveries” and “Net operating income” and their reconciliations from the most directly comparable financial measures presented in accordance with GAAP, income from rentals and net income, respectively.</w:t>
      </w:r>
    </w:p>
    <w:p>
      <w:pPr>
        <w:spacing w:after="0" w:line="211"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3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gridSpan w:val="6"/>
          </w:tcPr>
          <w:p>
            <w:pPr>
              <w:ind w:left="20"/>
              <w:spacing w:after="0"/>
              <w:rPr>
                <w:sz w:val="20"/>
                <w:szCs w:val="20"/>
                <w:color w:val="auto"/>
              </w:rPr>
            </w:pPr>
            <w:r>
              <w:rPr>
                <w:rFonts w:ascii="Arial" w:cs="Arial" w:eastAsia="Arial" w:hAnsi="Arial"/>
                <w:sz w:val="13"/>
                <w:szCs w:val="13"/>
                <w:color w:val="auto"/>
              </w:rPr>
              <w:t>Three Months Ended June 30,</w:t>
            </w:r>
          </w:p>
        </w:tc>
        <w:tc>
          <w:tcPr>
            <w:tcW w:w="860" w:type="dxa"/>
            <w:vAlign w:val="bottom"/>
            <w:tcBorders>
              <w:bottom w:val="single" w:sz="8" w:color="auto"/>
            </w:tcBorders>
          </w:tcPr>
          <w:p>
            <w:pPr>
              <w:spacing w:after="0"/>
              <w:rPr>
                <w:sz w:val="13"/>
                <w:szCs w:val="13"/>
                <w:color w:val="auto"/>
              </w:rPr>
            </w:pPr>
          </w:p>
        </w:tc>
      </w:tr>
      <w:tr>
        <w:trPr>
          <w:trHeight w:val="195"/>
        </w:trPr>
        <w:tc>
          <w:tcPr>
            <w:tcW w:w="3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ind w:right="256"/>
              <w:spacing w:after="0"/>
              <w:rPr>
                <w:sz w:val="20"/>
                <w:szCs w:val="20"/>
                <w:color w:val="auto"/>
              </w:rPr>
            </w:pPr>
            <w:r>
              <w:rPr>
                <w:rFonts w:ascii="Arial" w:cs="Arial" w:eastAsia="Arial" w:hAnsi="Arial"/>
                <w:sz w:val="13"/>
                <w:szCs w:val="13"/>
                <w:color w:val="auto"/>
              </w:rPr>
              <w:t>2024</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ind w:right="256"/>
              <w:spacing w:after="0"/>
              <w:rPr>
                <w:sz w:val="20"/>
                <w:szCs w:val="20"/>
                <w:color w:val="auto"/>
              </w:rPr>
            </w:pPr>
            <w:r>
              <w:rPr>
                <w:rFonts w:ascii="Arial" w:cs="Arial" w:eastAsia="Arial" w:hAnsi="Arial"/>
                <w:sz w:val="13"/>
                <w:szCs w:val="13"/>
                <w:color w:val="auto"/>
              </w:rPr>
              <w:t>2023</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ind w:left="20"/>
              <w:spacing w:after="0"/>
              <w:rPr>
                <w:sz w:val="20"/>
                <w:szCs w:val="20"/>
                <w:color w:val="auto"/>
              </w:rPr>
            </w:pPr>
            <w:r>
              <w:rPr>
                <w:rFonts w:ascii="Arial" w:cs="Arial" w:eastAsia="Arial" w:hAnsi="Arial"/>
                <w:sz w:val="13"/>
                <w:szCs w:val="13"/>
                <w:color w:val="auto"/>
              </w:rPr>
              <w:t>$ Change</w:t>
            </w:r>
          </w:p>
        </w:tc>
        <w:tc>
          <w:tcPr>
            <w:tcW w:w="860" w:type="dxa"/>
            <w:vAlign w:val="bottom"/>
          </w:tcPr>
          <w:p>
            <w:pPr>
              <w:jc w:val="right"/>
              <w:ind w:right="56"/>
              <w:spacing w:after="0"/>
              <w:rPr>
                <w:sz w:val="20"/>
                <w:szCs w:val="20"/>
                <w:color w:val="auto"/>
              </w:rPr>
            </w:pPr>
            <w:r>
              <w:rPr>
                <w:rFonts w:ascii="Arial" w:cs="Arial" w:eastAsia="Arial" w:hAnsi="Arial"/>
                <w:sz w:val="13"/>
                <w:szCs w:val="13"/>
                <w:color w:val="auto"/>
              </w:rPr>
              <w:t>% Change</w:t>
            </w:r>
          </w:p>
        </w:tc>
      </w:tr>
      <w:tr>
        <w:trPr>
          <w:trHeight w:val="195"/>
        </w:trPr>
        <w:tc>
          <w:tcPr>
            <w:tcW w:w="37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Income from rentals:</w:t>
            </w:r>
          </w:p>
        </w:tc>
        <w:tc>
          <w:tcPr>
            <w:tcW w:w="6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r>
      <w:tr>
        <w:trPr>
          <w:trHeight w:val="215"/>
        </w:trPr>
        <w:tc>
          <w:tcPr>
            <w:tcW w:w="3760" w:type="dxa"/>
            <w:vAlign w:val="bottom"/>
          </w:tcPr>
          <w:p>
            <w:pPr>
              <w:ind w:left="200"/>
              <w:spacing w:after="0"/>
              <w:rPr>
                <w:sz w:val="20"/>
                <w:szCs w:val="20"/>
                <w:color w:val="auto"/>
              </w:rPr>
            </w:pPr>
            <w:r>
              <w:rPr>
                <w:rFonts w:ascii="Arial" w:cs="Arial" w:eastAsia="Arial" w:hAnsi="Arial"/>
                <w:sz w:val="13"/>
                <w:szCs w:val="13"/>
                <w:color w:val="auto"/>
              </w:rPr>
              <w:t>Same Properties</w:t>
            </w:r>
          </w:p>
        </w:tc>
        <w:tc>
          <w:tcPr>
            <w:tcW w:w="2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464,917</w:t>
            </w:r>
          </w:p>
        </w:tc>
        <w:tc>
          <w:tcPr>
            <w:tcW w:w="40" w:type="dxa"/>
            <w:vAlign w:val="bottom"/>
          </w:tcPr>
          <w:p>
            <w:pPr>
              <w:spacing w:after="0"/>
              <w:rPr>
                <w:sz w:val="18"/>
                <w:szCs w:val="18"/>
                <w:color w:val="auto"/>
              </w:rPr>
            </w:pPr>
          </w:p>
        </w:tc>
        <w:tc>
          <w:tcPr>
            <w:tcW w:w="220" w:type="dxa"/>
            <w:vAlign w:val="bottom"/>
          </w:tcPr>
          <w:p>
            <w:pPr>
              <w:ind w:left="4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454,603</w:t>
            </w:r>
          </w:p>
        </w:tc>
        <w:tc>
          <w:tcPr>
            <w:tcW w:w="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10,314</w:t>
            </w:r>
          </w:p>
        </w:tc>
        <w:tc>
          <w:tcPr>
            <w:tcW w:w="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2.3%</w:t>
            </w:r>
          </w:p>
        </w:tc>
      </w:tr>
      <w:tr>
        <w:trPr>
          <w:trHeight w:val="215"/>
        </w:trPr>
        <w:tc>
          <w:tcPr>
            <w:tcW w:w="3760" w:type="dxa"/>
            <w:vAlign w:val="bottom"/>
            <w:shd w:val="clear" w:color="auto" w:fill="CCEEFF"/>
          </w:tcPr>
          <w:p>
            <w:pPr>
              <w:ind w:left="200"/>
              <w:spacing w:after="0"/>
              <w:rPr>
                <w:sz w:val="20"/>
                <w:szCs w:val="20"/>
                <w:color w:val="auto"/>
              </w:rPr>
            </w:pPr>
            <w:r>
              <w:rPr>
                <w:rFonts w:ascii="Arial" w:cs="Arial" w:eastAsia="Arial" w:hAnsi="Arial"/>
                <w:sz w:val="13"/>
                <w:szCs w:val="13"/>
                <w:color w:val="auto"/>
              </w:rPr>
              <w:t>Non-Same Properties</w:t>
            </w:r>
          </w:p>
        </w:tc>
        <w:tc>
          <w:tcPr>
            <w:tcW w:w="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111,918</w:t>
            </w:r>
          </w:p>
        </w:tc>
        <w:tc>
          <w:tcPr>
            <w:tcW w:w="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83,286</w:t>
            </w: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28,632</w:t>
            </w:r>
          </w:p>
        </w:tc>
        <w:tc>
          <w:tcPr>
            <w:tcW w:w="4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34.4</w:t>
            </w:r>
          </w:p>
        </w:tc>
      </w:tr>
      <w:tr>
        <w:trPr>
          <w:trHeight w:val="203"/>
        </w:trPr>
        <w:tc>
          <w:tcPr>
            <w:tcW w:w="3760" w:type="dxa"/>
            <w:vAlign w:val="bottom"/>
          </w:tcPr>
          <w:p>
            <w:pPr>
              <w:ind w:left="380"/>
              <w:spacing w:after="0"/>
              <w:rPr>
                <w:sz w:val="20"/>
                <w:szCs w:val="20"/>
                <w:color w:val="auto"/>
              </w:rPr>
            </w:pPr>
            <w:r>
              <w:rPr>
                <w:rFonts w:ascii="Arial" w:cs="Arial" w:eastAsia="Arial" w:hAnsi="Arial"/>
                <w:sz w:val="13"/>
                <w:szCs w:val="13"/>
                <w:color w:val="auto"/>
              </w:rPr>
              <w:t>Rental revenues</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576,835</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537,889</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38,946</w:t>
            </w:r>
          </w:p>
        </w:tc>
        <w:tc>
          <w:tcPr>
            <w:tcW w:w="40" w:type="dxa"/>
            <w:vAlign w:val="bottom"/>
          </w:tcPr>
          <w:p>
            <w:pPr>
              <w:spacing w:after="0"/>
              <w:rPr>
                <w:sz w:val="17"/>
                <w:szCs w:val="17"/>
                <w:color w:val="auto"/>
              </w:rPr>
            </w:pPr>
          </w:p>
        </w:tc>
        <w:tc>
          <w:tcPr>
            <w:tcW w:w="860" w:type="dxa"/>
            <w:vAlign w:val="bottom"/>
          </w:tcPr>
          <w:p>
            <w:pPr>
              <w:jc w:val="right"/>
              <w:ind w:right="96"/>
              <w:spacing w:after="0"/>
              <w:rPr>
                <w:sz w:val="20"/>
                <w:szCs w:val="20"/>
                <w:color w:val="auto"/>
              </w:rPr>
            </w:pPr>
            <w:r>
              <w:rPr>
                <w:rFonts w:ascii="Arial" w:cs="Arial" w:eastAsia="Arial" w:hAnsi="Arial"/>
                <w:sz w:val="13"/>
                <w:szCs w:val="13"/>
                <w:color w:val="auto"/>
              </w:rPr>
              <w:t>7.2</w:t>
            </w:r>
          </w:p>
        </w:tc>
      </w:tr>
      <w:tr>
        <w:trPr>
          <w:trHeight w:val="46"/>
        </w:trPr>
        <w:tc>
          <w:tcPr>
            <w:tcW w:w="376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15"/>
        </w:trPr>
        <w:tc>
          <w:tcPr>
            <w:tcW w:w="3760" w:type="dxa"/>
            <w:vAlign w:val="bottom"/>
            <w:shd w:val="clear" w:color="auto" w:fill="CCEEFF"/>
          </w:tcPr>
          <w:p>
            <w:pPr>
              <w:ind w:left="200"/>
              <w:spacing w:after="0"/>
              <w:rPr>
                <w:sz w:val="20"/>
                <w:szCs w:val="20"/>
                <w:color w:val="auto"/>
              </w:rPr>
            </w:pPr>
            <w:r>
              <w:rPr>
                <w:rFonts w:ascii="Arial" w:cs="Arial" w:eastAsia="Arial" w:hAnsi="Arial"/>
                <w:sz w:val="13"/>
                <w:szCs w:val="13"/>
                <w:color w:val="auto"/>
              </w:rPr>
              <w:t>Same Properties</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156,945</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153,802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3,143</w:t>
            </w: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2.0</w:t>
            </w:r>
          </w:p>
        </w:tc>
      </w:tr>
      <w:tr>
        <w:trPr>
          <w:trHeight w:val="215"/>
        </w:trPr>
        <w:tc>
          <w:tcPr>
            <w:tcW w:w="3760" w:type="dxa"/>
            <w:vAlign w:val="bottom"/>
            <w:tcBorders>
              <w:bottom w:val="single" w:sz="8" w:color="CCEEFF"/>
            </w:tcBorders>
          </w:tcPr>
          <w:p>
            <w:pPr>
              <w:ind w:left="200"/>
              <w:spacing w:after="0"/>
              <w:rPr>
                <w:sz w:val="20"/>
                <w:szCs w:val="20"/>
                <w:color w:val="auto"/>
              </w:rPr>
            </w:pPr>
            <w:r>
              <w:rPr>
                <w:rFonts w:ascii="Arial" w:cs="Arial" w:eastAsia="Arial" w:hAnsi="Arial"/>
                <w:sz w:val="13"/>
                <w:szCs w:val="13"/>
                <w:color w:val="auto"/>
              </w:rPr>
              <w:t>Non-Same Properties</w:t>
            </w:r>
          </w:p>
        </w:tc>
        <w:tc>
          <w:tcPr>
            <w:tcW w:w="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21,382</w:t>
            </w:r>
          </w:p>
        </w:tc>
        <w:tc>
          <w:tcPr>
            <w:tcW w:w="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12,648</w:t>
            </w: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8,734</w:t>
            </w:r>
          </w:p>
        </w:tc>
        <w:tc>
          <w:tcPr>
            <w:tcW w:w="4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69.1</w:t>
            </w:r>
          </w:p>
        </w:tc>
      </w:tr>
      <w:tr>
        <w:trPr>
          <w:trHeight w:val="248"/>
        </w:trPr>
        <w:tc>
          <w:tcPr>
            <w:tcW w:w="3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3"/>
                <w:szCs w:val="13"/>
                <w:color w:val="auto"/>
              </w:rPr>
              <w:t>Tenant recoveries</w:t>
            </w: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178,327</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166,450</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11,877</w:t>
            </w:r>
          </w:p>
        </w:tc>
        <w:tc>
          <w:tcPr>
            <w:tcW w:w="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3"/>
                <w:szCs w:val="13"/>
                <w:color w:val="auto"/>
              </w:rPr>
              <w:t>7.1</w:t>
            </w:r>
          </w:p>
        </w:tc>
      </w:tr>
      <w:tr>
        <w:trPr>
          <w:trHeight w:val="203"/>
        </w:trPr>
        <w:tc>
          <w:tcPr>
            <w:tcW w:w="3760" w:type="dxa"/>
            <w:vAlign w:val="bottom"/>
          </w:tcPr>
          <w:p>
            <w:pPr>
              <w:ind w:left="560"/>
              <w:spacing w:after="0"/>
              <w:rPr>
                <w:sz w:val="20"/>
                <w:szCs w:val="20"/>
                <w:color w:val="auto"/>
              </w:rPr>
            </w:pPr>
            <w:r>
              <w:rPr>
                <w:rFonts w:ascii="Arial" w:cs="Arial" w:eastAsia="Arial" w:hAnsi="Arial"/>
                <w:sz w:val="13"/>
                <w:szCs w:val="13"/>
                <w:color w:val="auto"/>
              </w:rPr>
              <w:t>Income from rentals</w:t>
            </w:r>
          </w:p>
        </w:tc>
        <w:tc>
          <w:tcPr>
            <w:tcW w:w="6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755,162</w:t>
            </w:r>
          </w:p>
        </w:tc>
        <w:tc>
          <w:tcPr>
            <w:tcW w:w="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704,339</w:t>
            </w:r>
          </w:p>
        </w:tc>
        <w:tc>
          <w:tcPr>
            <w:tcW w:w="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50,823</w:t>
            </w:r>
          </w:p>
        </w:tc>
        <w:tc>
          <w:tcPr>
            <w:tcW w:w="40" w:type="dxa"/>
            <w:vAlign w:val="bottom"/>
          </w:tcPr>
          <w:p>
            <w:pPr>
              <w:spacing w:after="0"/>
              <w:rPr>
                <w:sz w:val="17"/>
                <w:szCs w:val="17"/>
                <w:color w:val="auto"/>
              </w:rPr>
            </w:pPr>
          </w:p>
        </w:tc>
        <w:tc>
          <w:tcPr>
            <w:tcW w:w="860" w:type="dxa"/>
            <w:vAlign w:val="bottom"/>
            <w:tcBorders>
              <w:top w:val="single" w:sz="8" w:color="auto"/>
            </w:tcBorders>
          </w:tcPr>
          <w:p>
            <w:pPr>
              <w:jc w:val="right"/>
              <w:ind w:right="96"/>
              <w:spacing w:after="0"/>
              <w:rPr>
                <w:sz w:val="20"/>
                <w:szCs w:val="20"/>
                <w:color w:val="auto"/>
              </w:rPr>
            </w:pPr>
            <w:r>
              <w:rPr>
                <w:rFonts w:ascii="Arial" w:cs="Arial" w:eastAsia="Arial" w:hAnsi="Arial"/>
                <w:sz w:val="13"/>
                <w:szCs w:val="13"/>
                <w:color w:val="auto"/>
              </w:rPr>
              <w:t>7.2</w:t>
            </w:r>
          </w:p>
        </w:tc>
      </w:tr>
      <w:tr>
        <w:trPr>
          <w:trHeight w:val="67"/>
        </w:trPr>
        <w:tc>
          <w:tcPr>
            <w:tcW w:w="376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860" w:type="dxa"/>
            <w:vAlign w:val="bottom"/>
          </w:tcPr>
          <w:p>
            <w:pPr>
              <w:spacing w:after="0"/>
              <w:rPr>
                <w:sz w:val="5"/>
                <w:szCs w:val="5"/>
                <w:color w:val="auto"/>
              </w:rPr>
            </w:pPr>
          </w:p>
        </w:tc>
      </w:tr>
      <w:tr>
        <w:trPr>
          <w:trHeight w:val="215"/>
        </w:trPr>
        <w:tc>
          <w:tcPr>
            <w:tcW w:w="3760" w:type="dxa"/>
            <w:vAlign w:val="bottom"/>
            <w:shd w:val="clear" w:color="auto" w:fill="CCEEFF"/>
          </w:tcPr>
          <w:p>
            <w:pPr>
              <w:ind w:left="380"/>
              <w:spacing w:after="0"/>
              <w:rPr>
                <w:sz w:val="20"/>
                <w:szCs w:val="20"/>
                <w:color w:val="auto"/>
              </w:rPr>
            </w:pPr>
            <w:r>
              <w:rPr>
                <w:rFonts w:ascii="Arial" w:cs="Arial" w:eastAsia="Arial" w:hAnsi="Arial"/>
                <w:sz w:val="13"/>
                <w:szCs w:val="13"/>
                <w:color w:val="auto"/>
              </w:rPr>
              <w:t>Same Properties</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377</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w:t>
            </w: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25.7</w:t>
            </w:r>
          </w:p>
        </w:tc>
      </w:tr>
      <w:tr>
        <w:trPr>
          <w:trHeight w:val="215"/>
        </w:trPr>
        <w:tc>
          <w:tcPr>
            <w:tcW w:w="3760" w:type="dxa"/>
            <w:vAlign w:val="bottom"/>
            <w:tcBorders>
              <w:bottom w:val="single" w:sz="8" w:color="CCEEFF"/>
            </w:tcBorders>
          </w:tcPr>
          <w:p>
            <w:pPr>
              <w:ind w:left="380"/>
              <w:spacing w:after="0"/>
              <w:rPr>
                <w:sz w:val="20"/>
                <w:szCs w:val="20"/>
                <w:color w:val="auto"/>
              </w:rPr>
            </w:pPr>
            <w:r>
              <w:rPr>
                <w:rFonts w:ascii="Arial" w:cs="Arial" w:eastAsia="Arial" w:hAnsi="Arial"/>
                <w:sz w:val="13"/>
                <w:szCs w:val="13"/>
                <w:color w:val="auto"/>
              </w:rPr>
              <w:t>Non-Same Properties</w:t>
            </w:r>
          </w:p>
        </w:tc>
        <w:tc>
          <w:tcPr>
            <w:tcW w:w="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11,195</w:t>
            </w:r>
          </w:p>
        </w:tc>
        <w:tc>
          <w:tcPr>
            <w:tcW w:w="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9,261</w:t>
            </w: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1,934</w:t>
            </w:r>
          </w:p>
        </w:tc>
        <w:tc>
          <w:tcPr>
            <w:tcW w:w="4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20.9</w:t>
            </w:r>
          </w:p>
        </w:tc>
      </w:tr>
      <w:tr>
        <w:trPr>
          <w:trHeight w:val="195"/>
        </w:trPr>
        <w:tc>
          <w:tcPr>
            <w:tcW w:w="3760" w:type="dxa"/>
            <w:vAlign w:val="bottom"/>
            <w:shd w:val="clear" w:color="auto" w:fill="CCEEFF"/>
          </w:tcPr>
          <w:p>
            <w:pPr>
              <w:ind w:left="560"/>
              <w:spacing w:after="0"/>
              <w:rPr>
                <w:sz w:val="20"/>
                <w:szCs w:val="20"/>
                <w:color w:val="auto"/>
              </w:rPr>
            </w:pPr>
            <w:r>
              <w:rPr>
                <w:rFonts w:ascii="Arial" w:cs="Arial" w:eastAsia="Arial" w:hAnsi="Arial"/>
                <w:sz w:val="13"/>
                <w:szCs w:val="13"/>
                <w:color w:val="auto"/>
              </w:rPr>
              <w:t>Other income</w:t>
            </w: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11,572</w:t>
            </w: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9,561</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2,011</w:t>
            </w:r>
          </w:p>
        </w:tc>
        <w:tc>
          <w:tcPr>
            <w:tcW w:w="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21.0</w:t>
            </w:r>
          </w:p>
        </w:tc>
      </w:tr>
      <w:tr>
        <w:trPr>
          <w:trHeight w:val="268"/>
        </w:trPr>
        <w:tc>
          <w:tcPr>
            <w:tcW w:w="3760" w:type="dxa"/>
            <w:vAlign w:val="bottom"/>
          </w:tcPr>
          <w:p>
            <w:pPr>
              <w:ind w:left="720"/>
              <w:spacing w:after="0"/>
              <w:rPr>
                <w:sz w:val="20"/>
                <w:szCs w:val="20"/>
                <w:color w:val="auto"/>
              </w:rPr>
            </w:pPr>
            <w:r>
              <w:rPr>
                <w:rFonts w:ascii="Arial" w:cs="Arial" w:eastAsia="Arial" w:hAnsi="Arial"/>
                <w:sz w:val="13"/>
                <w:szCs w:val="13"/>
                <w:color w:val="auto"/>
              </w:rPr>
              <w:t>Same Properties</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622,239</w:t>
            </w: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608,705</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13,534</w:t>
            </w:r>
          </w:p>
        </w:tc>
        <w:tc>
          <w:tcPr>
            <w:tcW w:w="40" w:type="dxa"/>
            <w:vAlign w:val="bottom"/>
          </w:tcPr>
          <w:p>
            <w:pPr>
              <w:spacing w:after="0"/>
              <w:rPr>
                <w:sz w:val="23"/>
                <w:szCs w:val="23"/>
                <w:color w:val="auto"/>
              </w:rPr>
            </w:pPr>
          </w:p>
        </w:tc>
        <w:tc>
          <w:tcPr>
            <w:tcW w:w="860" w:type="dxa"/>
            <w:vAlign w:val="bottom"/>
          </w:tcPr>
          <w:p>
            <w:pPr>
              <w:jc w:val="right"/>
              <w:ind w:right="96"/>
              <w:spacing w:after="0"/>
              <w:rPr>
                <w:sz w:val="20"/>
                <w:szCs w:val="20"/>
                <w:color w:val="auto"/>
              </w:rPr>
            </w:pPr>
            <w:r>
              <w:rPr>
                <w:rFonts w:ascii="Arial" w:cs="Arial" w:eastAsia="Arial" w:hAnsi="Arial"/>
                <w:sz w:val="13"/>
                <w:szCs w:val="13"/>
                <w:color w:val="auto"/>
              </w:rPr>
              <w:t>2.2</w:t>
            </w:r>
          </w:p>
        </w:tc>
      </w:tr>
      <w:tr>
        <w:trPr>
          <w:trHeight w:val="215"/>
        </w:trPr>
        <w:tc>
          <w:tcPr>
            <w:tcW w:w="3760" w:type="dxa"/>
            <w:vAlign w:val="bottom"/>
            <w:shd w:val="clear" w:color="auto" w:fill="CCEEFF"/>
          </w:tcPr>
          <w:p>
            <w:pPr>
              <w:ind w:left="720"/>
              <w:spacing w:after="0"/>
              <w:rPr>
                <w:sz w:val="20"/>
                <w:szCs w:val="20"/>
                <w:color w:val="auto"/>
              </w:rPr>
            </w:pPr>
            <w:r>
              <w:rPr>
                <w:rFonts w:ascii="Arial" w:cs="Arial" w:eastAsia="Arial" w:hAnsi="Arial"/>
                <w:sz w:val="13"/>
                <w:szCs w:val="13"/>
                <w:color w:val="auto"/>
              </w:rPr>
              <w:t>Non-Same Properties</w:t>
            </w:r>
          </w:p>
        </w:tc>
        <w:tc>
          <w:tcPr>
            <w:tcW w:w="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144,495</w:t>
            </w:r>
          </w:p>
        </w:tc>
        <w:tc>
          <w:tcPr>
            <w:tcW w:w="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105,195</w:t>
            </w: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39,300</w:t>
            </w:r>
          </w:p>
        </w:tc>
        <w:tc>
          <w:tcPr>
            <w:tcW w:w="4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37.4</w:t>
            </w:r>
          </w:p>
        </w:tc>
      </w:tr>
      <w:tr>
        <w:trPr>
          <w:trHeight w:val="203"/>
        </w:trPr>
        <w:tc>
          <w:tcPr>
            <w:tcW w:w="3760" w:type="dxa"/>
            <w:vAlign w:val="bottom"/>
          </w:tcPr>
          <w:p>
            <w:pPr>
              <w:ind w:left="900"/>
              <w:spacing w:after="0"/>
              <w:rPr>
                <w:sz w:val="20"/>
                <w:szCs w:val="20"/>
                <w:color w:val="auto"/>
              </w:rPr>
            </w:pPr>
            <w:r>
              <w:rPr>
                <w:rFonts w:ascii="Arial" w:cs="Arial" w:eastAsia="Arial" w:hAnsi="Arial"/>
                <w:sz w:val="13"/>
                <w:szCs w:val="13"/>
                <w:color w:val="auto"/>
              </w:rPr>
              <w:t>Total revenues</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766,734</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713,900</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52,834</w:t>
            </w:r>
          </w:p>
        </w:tc>
        <w:tc>
          <w:tcPr>
            <w:tcW w:w="40" w:type="dxa"/>
            <w:vAlign w:val="bottom"/>
          </w:tcPr>
          <w:p>
            <w:pPr>
              <w:spacing w:after="0"/>
              <w:rPr>
                <w:sz w:val="17"/>
                <w:szCs w:val="17"/>
                <w:color w:val="auto"/>
              </w:rPr>
            </w:pPr>
          </w:p>
        </w:tc>
        <w:tc>
          <w:tcPr>
            <w:tcW w:w="860" w:type="dxa"/>
            <w:vAlign w:val="bottom"/>
          </w:tcPr>
          <w:p>
            <w:pPr>
              <w:jc w:val="right"/>
              <w:ind w:right="96"/>
              <w:spacing w:after="0"/>
              <w:rPr>
                <w:sz w:val="20"/>
                <w:szCs w:val="20"/>
                <w:color w:val="auto"/>
              </w:rPr>
            </w:pPr>
            <w:r>
              <w:rPr>
                <w:rFonts w:ascii="Arial" w:cs="Arial" w:eastAsia="Arial" w:hAnsi="Arial"/>
                <w:sz w:val="13"/>
                <w:szCs w:val="13"/>
                <w:color w:val="auto"/>
              </w:rPr>
              <w:t>7.4</w:t>
            </w:r>
          </w:p>
        </w:tc>
      </w:tr>
      <w:tr>
        <w:trPr>
          <w:trHeight w:val="46"/>
        </w:trPr>
        <w:tc>
          <w:tcPr>
            <w:tcW w:w="376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15"/>
        </w:trPr>
        <w:tc>
          <w:tcPr>
            <w:tcW w:w="3760" w:type="dxa"/>
            <w:vAlign w:val="bottom"/>
            <w:shd w:val="clear" w:color="auto" w:fill="CCEEFF"/>
          </w:tcPr>
          <w:p>
            <w:pPr>
              <w:ind w:left="720"/>
              <w:spacing w:after="0"/>
              <w:rPr>
                <w:sz w:val="20"/>
                <w:szCs w:val="20"/>
                <w:color w:val="auto"/>
              </w:rPr>
            </w:pPr>
            <w:r>
              <w:rPr>
                <w:rFonts w:ascii="Arial" w:cs="Arial" w:eastAsia="Arial" w:hAnsi="Arial"/>
                <w:sz w:val="13"/>
                <w:szCs w:val="13"/>
                <w:color w:val="auto"/>
              </w:rPr>
              <w:t>Same Properties</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185,721</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178,544</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7,177</w:t>
            </w: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4.0</w:t>
            </w:r>
          </w:p>
        </w:tc>
      </w:tr>
      <w:tr>
        <w:trPr>
          <w:trHeight w:val="215"/>
        </w:trPr>
        <w:tc>
          <w:tcPr>
            <w:tcW w:w="3760" w:type="dxa"/>
            <w:vAlign w:val="bottom"/>
            <w:tcBorders>
              <w:bottom w:val="single" w:sz="8" w:color="CCEEFF"/>
            </w:tcBorders>
          </w:tcPr>
          <w:p>
            <w:pPr>
              <w:ind w:left="720"/>
              <w:spacing w:after="0"/>
              <w:rPr>
                <w:sz w:val="20"/>
                <w:szCs w:val="20"/>
                <w:color w:val="auto"/>
              </w:rPr>
            </w:pPr>
            <w:r>
              <w:rPr>
                <w:rFonts w:ascii="Arial" w:cs="Arial" w:eastAsia="Arial" w:hAnsi="Arial"/>
                <w:sz w:val="13"/>
                <w:szCs w:val="13"/>
                <w:color w:val="auto"/>
              </w:rPr>
              <w:t>Non-Same Properties</w:t>
            </w:r>
          </w:p>
        </w:tc>
        <w:tc>
          <w:tcPr>
            <w:tcW w:w="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31,533</w:t>
            </w:r>
          </w:p>
        </w:tc>
        <w:tc>
          <w:tcPr>
            <w:tcW w:w="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33,290</w:t>
            </w: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(1,757)</w:t>
            </w:r>
          </w:p>
        </w:tc>
        <w:tc>
          <w:tcPr>
            <w:tcW w:w="4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(5.3)</w:t>
            </w:r>
          </w:p>
        </w:tc>
      </w:tr>
      <w:tr>
        <w:trPr>
          <w:trHeight w:val="195"/>
        </w:trPr>
        <w:tc>
          <w:tcPr>
            <w:tcW w:w="3760" w:type="dxa"/>
            <w:vAlign w:val="bottom"/>
            <w:shd w:val="clear" w:color="auto" w:fill="CCEEFF"/>
          </w:tcPr>
          <w:p>
            <w:pPr>
              <w:ind w:left="900"/>
              <w:spacing w:after="0"/>
              <w:rPr>
                <w:sz w:val="20"/>
                <w:szCs w:val="20"/>
                <w:color w:val="auto"/>
              </w:rPr>
            </w:pPr>
            <w:r>
              <w:rPr>
                <w:rFonts w:ascii="Arial" w:cs="Arial" w:eastAsia="Arial" w:hAnsi="Arial"/>
                <w:sz w:val="13"/>
                <w:szCs w:val="13"/>
                <w:color w:val="auto"/>
              </w:rPr>
              <w:t>Rental operations</w:t>
            </w: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217,254</w:t>
            </w: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211,834</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5,420</w:t>
            </w:r>
          </w:p>
        </w:tc>
        <w:tc>
          <w:tcPr>
            <w:tcW w:w="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2.6</w:t>
            </w:r>
          </w:p>
        </w:tc>
      </w:tr>
      <w:tr>
        <w:trPr>
          <w:trHeight w:val="268"/>
        </w:trPr>
        <w:tc>
          <w:tcPr>
            <w:tcW w:w="3760" w:type="dxa"/>
            <w:vAlign w:val="bottom"/>
          </w:tcPr>
          <w:p>
            <w:pPr>
              <w:ind w:left="1060"/>
              <w:spacing w:after="0"/>
              <w:rPr>
                <w:sz w:val="20"/>
                <w:szCs w:val="20"/>
                <w:color w:val="auto"/>
              </w:rPr>
            </w:pPr>
            <w:r>
              <w:rPr>
                <w:rFonts w:ascii="Arial" w:cs="Arial" w:eastAsia="Arial" w:hAnsi="Arial"/>
                <w:sz w:val="13"/>
                <w:szCs w:val="13"/>
                <w:color w:val="auto"/>
              </w:rPr>
              <w:t>Same Properties</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436,518</w:t>
            </w: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430,161</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6,357</w:t>
            </w:r>
          </w:p>
        </w:tc>
        <w:tc>
          <w:tcPr>
            <w:tcW w:w="40" w:type="dxa"/>
            <w:vAlign w:val="bottom"/>
          </w:tcPr>
          <w:p>
            <w:pPr>
              <w:spacing w:after="0"/>
              <w:rPr>
                <w:sz w:val="23"/>
                <w:szCs w:val="23"/>
                <w:color w:val="auto"/>
              </w:rPr>
            </w:pPr>
          </w:p>
        </w:tc>
        <w:tc>
          <w:tcPr>
            <w:tcW w:w="860" w:type="dxa"/>
            <w:vAlign w:val="bottom"/>
          </w:tcPr>
          <w:p>
            <w:pPr>
              <w:jc w:val="right"/>
              <w:ind w:right="96"/>
              <w:spacing w:after="0"/>
              <w:rPr>
                <w:sz w:val="20"/>
                <w:szCs w:val="20"/>
                <w:color w:val="auto"/>
              </w:rPr>
            </w:pPr>
            <w:r>
              <w:rPr>
                <w:rFonts w:ascii="Arial" w:cs="Arial" w:eastAsia="Arial" w:hAnsi="Arial"/>
                <w:sz w:val="13"/>
                <w:szCs w:val="13"/>
                <w:color w:val="auto"/>
              </w:rPr>
              <w:t>1.5</w:t>
            </w:r>
          </w:p>
        </w:tc>
      </w:tr>
      <w:tr>
        <w:trPr>
          <w:trHeight w:val="215"/>
        </w:trPr>
        <w:tc>
          <w:tcPr>
            <w:tcW w:w="3760" w:type="dxa"/>
            <w:vAlign w:val="bottom"/>
            <w:shd w:val="clear" w:color="auto" w:fill="CCEEFF"/>
          </w:tcPr>
          <w:p>
            <w:pPr>
              <w:ind w:left="1060"/>
              <w:spacing w:after="0"/>
              <w:rPr>
                <w:sz w:val="20"/>
                <w:szCs w:val="20"/>
                <w:color w:val="auto"/>
              </w:rPr>
            </w:pPr>
            <w:r>
              <w:rPr>
                <w:rFonts w:ascii="Arial" w:cs="Arial" w:eastAsia="Arial" w:hAnsi="Arial"/>
                <w:sz w:val="13"/>
                <w:szCs w:val="13"/>
                <w:color w:val="auto"/>
              </w:rPr>
              <w:t>Non-Same Properties</w:t>
            </w:r>
          </w:p>
        </w:tc>
        <w:tc>
          <w:tcPr>
            <w:tcW w:w="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112,962</w:t>
            </w:r>
          </w:p>
        </w:tc>
        <w:tc>
          <w:tcPr>
            <w:tcW w:w="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71,905</w:t>
            </w: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41,057</w:t>
            </w:r>
          </w:p>
        </w:tc>
        <w:tc>
          <w:tcPr>
            <w:tcW w:w="4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57.1</w:t>
            </w:r>
          </w:p>
        </w:tc>
      </w:tr>
      <w:tr>
        <w:trPr>
          <w:trHeight w:val="173"/>
        </w:trPr>
        <w:tc>
          <w:tcPr>
            <w:tcW w:w="3760" w:type="dxa"/>
            <w:vAlign w:val="bottom"/>
          </w:tcPr>
          <w:p>
            <w:pPr>
              <w:ind w:left="1240"/>
              <w:spacing w:after="0"/>
              <w:rPr>
                <w:sz w:val="20"/>
                <w:szCs w:val="20"/>
                <w:color w:val="auto"/>
              </w:rPr>
            </w:pPr>
            <w:r>
              <w:rPr>
                <w:rFonts w:ascii="Arial" w:cs="Arial" w:eastAsia="Arial" w:hAnsi="Arial"/>
                <w:sz w:val="13"/>
                <w:szCs w:val="13"/>
                <w:color w:val="auto"/>
              </w:rPr>
              <w:t>Net operating income</w:t>
            </w:r>
          </w:p>
        </w:tc>
        <w:tc>
          <w:tcPr>
            <w:tcW w:w="2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549,480</w:t>
            </w:r>
          </w:p>
        </w:tc>
        <w:tc>
          <w:tcPr>
            <w:tcW w:w="40" w:type="dxa"/>
            <w:vAlign w:val="bottom"/>
          </w:tcPr>
          <w:p>
            <w:pPr>
              <w:spacing w:after="0"/>
              <w:rPr>
                <w:sz w:val="15"/>
                <w:szCs w:val="15"/>
                <w:color w:val="auto"/>
              </w:rPr>
            </w:pPr>
          </w:p>
        </w:tc>
        <w:tc>
          <w:tcPr>
            <w:tcW w:w="220" w:type="dxa"/>
            <w:vAlign w:val="bottom"/>
          </w:tcPr>
          <w:p>
            <w:pPr>
              <w:ind w:left="4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502,066</w:t>
            </w:r>
          </w:p>
        </w:tc>
        <w:tc>
          <w:tcPr>
            <w:tcW w:w="6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47,414</w:t>
            </w:r>
          </w:p>
        </w:tc>
        <w:tc>
          <w:tcPr>
            <w:tcW w:w="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9.4%</w:t>
            </w:r>
          </w:p>
        </w:tc>
      </w:tr>
      <w:tr>
        <w:trPr>
          <w:trHeight w:val="28"/>
        </w:trPr>
        <w:tc>
          <w:tcPr>
            <w:tcW w:w="37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700" w:type="dxa"/>
            <w:vAlign w:val="bottom"/>
            <w:tcBorders>
              <w:top w:val="single" w:sz="8" w:color="auto"/>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700" w:type="dxa"/>
            <w:vAlign w:val="bottom"/>
            <w:tcBorders>
              <w:top w:val="single" w:sz="8" w:color="auto"/>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740" w:type="dxa"/>
            <w:vAlign w:val="bottom"/>
            <w:tcBorders>
              <w:top w:val="single" w:sz="8" w:color="auto"/>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tcBorders>
              <w:top w:val="single" w:sz="8" w:color="auto"/>
              <w:bottom w:val="single" w:sz="8" w:color="auto"/>
            </w:tcBorders>
          </w:tcPr>
          <w:p>
            <w:pPr>
              <w:spacing w:after="0"/>
              <w:rPr>
                <w:sz w:val="2"/>
                <w:szCs w:val="2"/>
                <w:color w:val="auto"/>
              </w:rPr>
            </w:pPr>
          </w:p>
        </w:tc>
      </w:tr>
      <w:tr>
        <w:trPr>
          <w:trHeight w:val="222"/>
        </w:trPr>
        <w:tc>
          <w:tcPr>
            <w:tcW w:w="376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operating income – Same Properties</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436,518</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430,161</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6,357</w:t>
            </w:r>
          </w:p>
        </w:tc>
        <w:tc>
          <w:tcPr>
            <w:tcW w:w="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1.5%</w:t>
            </w:r>
          </w:p>
        </w:tc>
      </w:tr>
      <w:tr>
        <w:trPr>
          <w:trHeight w:val="215"/>
        </w:trPr>
        <w:tc>
          <w:tcPr>
            <w:tcW w:w="3760" w:type="dxa"/>
            <w:vAlign w:val="bottom"/>
          </w:tcPr>
          <w:p>
            <w:pPr>
              <w:ind w:left="200"/>
              <w:spacing w:after="0"/>
              <w:rPr>
                <w:sz w:val="20"/>
                <w:szCs w:val="20"/>
                <w:color w:val="auto"/>
              </w:rPr>
            </w:pPr>
            <w:r>
              <w:rPr>
                <w:rFonts w:ascii="Arial" w:cs="Arial" w:eastAsia="Arial" w:hAnsi="Arial"/>
                <w:sz w:val="13"/>
                <w:szCs w:val="13"/>
                <w:color w:val="auto"/>
              </w:rPr>
              <w:t>Straight-line rent revenue</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(17,856)</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(26,981)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9,125</w:t>
            </w:r>
          </w:p>
        </w:tc>
        <w:tc>
          <w:tcPr>
            <w:tcW w:w="40" w:type="dxa"/>
            <w:vAlign w:val="bottom"/>
          </w:tcPr>
          <w:p>
            <w:pPr>
              <w:spacing w:after="0"/>
              <w:rPr>
                <w:sz w:val="18"/>
                <w:szCs w:val="18"/>
                <w:color w:val="auto"/>
              </w:rPr>
            </w:pPr>
          </w:p>
        </w:tc>
        <w:tc>
          <w:tcPr>
            <w:tcW w:w="860" w:type="dxa"/>
            <w:vAlign w:val="bottom"/>
          </w:tcPr>
          <w:p>
            <w:pPr>
              <w:jc w:val="right"/>
              <w:ind w:right="56"/>
              <w:spacing w:after="0"/>
              <w:rPr>
                <w:sz w:val="20"/>
                <w:szCs w:val="20"/>
                <w:color w:val="auto"/>
              </w:rPr>
            </w:pPr>
            <w:r>
              <w:rPr>
                <w:rFonts w:ascii="Arial" w:cs="Arial" w:eastAsia="Arial" w:hAnsi="Arial"/>
                <w:sz w:val="13"/>
                <w:szCs w:val="13"/>
                <w:color w:val="auto"/>
              </w:rPr>
              <w:t>(33.8)</w:t>
            </w:r>
          </w:p>
        </w:tc>
      </w:tr>
      <w:tr>
        <w:trPr>
          <w:trHeight w:val="215"/>
        </w:trPr>
        <w:tc>
          <w:tcPr>
            <w:tcW w:w="3760" w:type="dxa"/>
            <w:vAlign w:val="bottom"/>
            <w:shd w:val="clear" w:color="auto" w:fill="CCEEFF"/>
          </w:tcPr>
          <w:p>
            <w:pPr>
              <w:ind w:left="200"/>
              <w:spacing w:after="0"/>
              <w:rPr>
                <w:sz w:val="20"/>
                <w:szCs w:val="20"/>
                <w:color w:val="auto"/>
              </w:rPr>
            </w:pPr>
            <w:r>
              <w:rPr>
                <w:rFonts w:ascii="Arial" w:cs="Arial" w:eastAsia="Arial" w:hAnsi="Arial"/>
                <w:sz w:val="13"/>
                <w:szCs w:val="13"/>
                <w:color w:val="auto"/>
              </w:rPr>
              <w:t>Amortization of acquired below-market leases</w:t>
            </w:r>
          </w:p>
        </w:tc>
        <w:tc>
          <w:tcPr>
            <w:tcW w:w="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(15,910)</w:t>
            </w:r>
          </w:p>
        </w:tc>
        <w:tc>
          <w:tcPr>
            <w:tcW w:w="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(15,619)</w:t>
            </w: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(291)</w:t>
            </w:r>
          </w:p>
        </w:tc>
        <w:tc>
          <w:tcPr>
            <w:tcW w:w="4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1.9</w:t>
            </w:r>
          </w:p>
        </w:tc>
      </w:tr>
      <w:tr>
        <w:trPr>
          <w:trHeight w:val="173"/>
        </w:trPr>
        <w:tc>
          <w:tcPr>
            <w:tcW w:w="3760" w:type="dxa"/>
            <w:vAlign w:val="bottom"/>
          </w:tcPr>
          <w:p>
            <w:pPr>
              <w:ind w:left="40"/>
              <w:spacing w:after="0"/>
              <w:rPr>
                <w:sz w:val="20"/>
                <w:szCs w:val="20"/>
                <w:color w:val="auto"/>
              </w:rPr>
            </w:pPr>
            <w:r>
              <w:rPr>
                <w:rFonts w:ascii="Arial" w:cs="Arial" w:eastAsia="Arial" w:hAnsi="Arial"/>
                <w:sz w:val="13"/>
                <w:szCs w:val="13"/>
                <w:color w:val="auto"/>
              </w:rPr>
              <w:t>Net operating income – Same Properties (cash basis)</w:t>
            </w:r>
          </w:p>
        </w:tc>
        <w:tc>
          <w:tcPr>
            <w:tcW w:w="2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w:t>
            </w:r>
          </w:p>
        </w:tc>
        <w:tc>
          <w:tcPr>
            <w:tcW w:w="700" w:type="dxa"/>
            <w:vAlign w:val="bottom"/>
          </w:tcPr>
          <w:p>
            <w:pPr>
              <w:jc w:val="right"/>
              <w:spacing w:after="0"/>
              <w:rPr>
                <w:sz w:val="20"/>
                <w:szCs w:val="20"/>
                <w:color w:val="auto"/>
              </w:rPr>
            </w:pPr>
            <w:r>
              <w:rPr>
                <w:rFonts w:ascii="Arial" w:cs="Arial" w:eastAsia="Arial" w:hAnsi="Arial"/>
                <w:sz w:val="13"/>
                <w:szCs w:val="13"/>
                <w:b w:val="1"/>
                <w:bCs w:val="1"/>
                <w:color w:val="auto"/>
              </w:rPr>
              <w:t>402,752</w:t>
            </w:r>
          </w:p>
        </w:tc>
        <w:tc>
          <w:tcPr>
            <w:tcW w:w="40" w:type="dxa"/>
            <w:vAlign w:val="bottom"/>
          </w:tcPr>
          <w:p>
            <w:pPr>
              <w:spacing w:after="0"/>
              <w:rPr>
                <w:sz w:val="15"/>
                <w:szCs w:val="15"/>
                <w:color w:val="auto"/>
              </w:rPr>
            </w:pPr>
          </w:p>
        </w:tc>
        <w:tc>
          <w:tcPr>
            <w:tcW w:w="220" w:type="dxa"/>
            <w:vAlign w:val="bottom"/>
          </w:tcPr>
          <w:p>
            <w:pPr>
              <w:ind w:left="40"/>
              <w:spacing w:after="0"/>
              <w:rPr>
                <w:sz w:val="20"/>
                <w:szCs w:val="20"/>
                <w:color w:val="auto"/>
              </w:rPr>
            </w:pPr>
            <w:r>
              <w:rPr>
                <w:rFonts w:ascii="Arial" w:cs="Arial" w:eastAsia="Arial" w:hAnsi="Arial"/>
                <w:sz w:val="13"/>
                <w:szCs w:val="13"/>
                <w:b w:val="1"/>
                <w:bCs w:val="1"/>
                <w:color w:val="auto"/>
              </w:rPr>
              <w:t>$</w:t>
            </w:r>
          </w:p>
        </w:tc>
        <w:tc>
          <w:tcPr>
            <w:tcW w:w="700" w:type="dxa"/>
            <w:vAlign w:val="bottom"/>
          </w:tcPr>
          <w:p>
            <w:pPr>
              <w:jc w:val="right"/>
              <w:spacing w:after="0"/>
              <w:rPr>
                <w:sz w:val="20"/>
                <w:szCs w:val="20"/>
                <w:color w:val="auto"/>
              </w:rPr>
            </w:pPr>
            <w:r>
              <w:rPr>
                <w:rFonts w:ascii="Arial" w:cs="Arial" w:eastAsia="Arial" w:hAnsi="Arial"/>
                <w:sz w:val="13"/>
                <w:szCs w:val="13"/>
                <w:b w:val="1"/>
                <w:bCs w:val="1"/>
                <w:color w:val="auto"/>
              </w:rPr>
              <w:t>387,561</w:t>
            </w:r>
          </w:p>
        </w:tc>
        <w:tc>
          <w:tcPr>
            <w:tcW w:w="6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740" w:type="dxa"/>
            <w:vAlign w:val="bottom"/>
          </w:tcPr>
          <w:p>
            <w:pPr>
              <w:jc w:val="right"/>
              <w:spacing w:after="0"/>
              <w:rPr>
                <w:sz w:val="20"/>
                <w:szCs w:val="20"/>
                <w:color w:val="auto"/>
              </w:rPr>
            </w:pPr>
            <w:r>
              <w:rPr>
                <w:rFonts w:ascii="Arial" w:cs="Arial" w:eastAsia="Arial" w:hAnsi="Arial"/>
                <w:sz w:val="13"/>
                <w:szCs w:val="13"/>
                <w:b w:val="1"/>
                <w:bCs w:val="1"/>
                <w:color w:val="auto"/>
              </w:rPr>
              <w:t>15,191</w:t>
            </w:r>
          </w:p>
        </w:tc>
        <w:tc>
          <w:tcPr>
            <w:tcW w:w="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3.9%</w:t>
            </w:r>
          </w:p>
        </w:tc>
      </w:tr>
      <w:tr>
        <w:trPr>
          <w:trHeight w:val="20"/>
        </w:trPr>
        <w:tc>
          <w:tcPr>
            <w:tcW w:w="3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188595</wp:posOffset>
            </wp:positionV>
            <wp:extent cx="5584190" cy="20218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584190" cy="2021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640"/>
        <w:spacing w:after="0"/>
        <w:rPr>
          <w:sz w:val="20"/>
          <w:szCs w:val="20"/>
          <w:color w:val="auto"/>
        </w:rPr>
      </w:pPr>
      <w:r>
        <w:rPr>
          <w:rFonts w:ascii="Arial" w:cs="Arial" w:eastAsia="Arial" w:hAnsi="Arial"/>
          <w:sz w:val="13"/>
          <w:szCs w:val="13"/>
          <w:i w:val="1"/>
          <w:iCs w:val="1"/>
          <w:u w:val="single" w:color="auto"/>
          <w:color w:val="auto"/>
        </w:rPr>
        <w:t>Income from rentals</w:t>
      </w:r>
    </w:p>
    <w:p>
      <w:pPr>
        <w:spacing w:after="0" w:line="160" w:lineRule="exact"/>
        <w:rPr>
          <w:sz w:val="20"/>
          <w:szCs w:val="20"/>
          <w:color w:val="auto"/>
        </w:rPr>
      </w:pPr>
    </w:p>
    <w:p>
      <w:pPr>
        <w:ind w:left="640" w:right="919" w:firstLine="516"/>
        <w:spacing w:after="0" w:line="265" w:lineRule="auto"/>
        <w:rPr>
          <w:sz w:val="20"/>
          <w:szCs w:val="20"/>
          <w:color w:val="auto"/>
        </w:rPr>
      </w:pPr>
      <w:r>
        <w:rPr>
          <w:rFonts w:ascii="Arial" w:cs="Arial" w:eastAsia="Arial" w:hAnsi="Arial"/>
          <w:sz w:val="13"/>
          <w:szCs w:val="13"/>
          <w:color w:val="auto"/>
        </w:rPr>
        <w:t>Total income from rentals for the three months ended June 30, 2024 increased by $50.8 million, or 7.2%, to $755.2 million, compared to $704.3 million for the three months ended June 30, 2023, as a result of an increase in rental revenues and tenant recoveries, as discussed below.</w:t>
      </w:r>
    </w:p>
    <w:p>
      <w:pPr>
        <w:spacing w:after="0" w:line="119" w:lineRule="exact"/>
        <w:rPr>
          <w:sz w:val="20"/>
          <w:szCs w:val="20"/>
          <w:color w:val="auto"/>
        </w:rPr>
      </w:pPr>
    </w:p>
    <w:p>
      <w:pPr>
        <w:ind w:left="640"/>
        <w:spacing w:after="0"/>
        <w:rPr>
          <w:sz w:val="20"/>
          <w:szCs w:val="20"/>
          <w:color w:val="auto"/>
        </w:rPr>
      </w:pPr>
      <w:r>
        <w:rPr>
          <w:rFonts w:ascii="Arial" w:cs="Arial" w:eastAsia="Arial" w:hAnsi="Arial"/>
          <w:sz w:val="13"/>
          <w:szCs w:val="13"/>
          <w:i w:val="1"/>
          <w:iCs w:val="1"/>
          <w:color w:val="auto"/>
        </w:rPr>
        <w:t>Rental revenues</w:t>
      </w:r>
    </w:p>
    <w:p>
      <w:pPr>
        <w:spacing w:after="0" w:line="160" w:lineRule="exact"/>
        <w:rPr>
          <w:sz w:val="20"/>
          <w:szCs w:val="20"/>
          <w:color w:val="auto"/>
        </w:rPr>
      </w:pPr>
    </w:p>
    <w:p>
      <w:pPr>
        <w:ind w:left="640" w:right="939" w:firstLine="516"/>
        <w:spacing w:after="0" w:line="285" w:lineRule="auto"/>
        <w:rPr>
          <w:sz w:val="20"/>
          <w:szCs w:val="20"/>
          <w:color w:val="auto"/>
        </w:rPr>
      </w:pPr>
      <w:r>
        <w:rPr>
          <w:rFonts w:ascii="Arial" w:cs="Arial" w:eastAsia="Arial" w:hAnsi="Arial"/>
          <w:sz w:val="12"/>
          <w:szCs w:val="12"/>
          <w:color w:val="auto"/>
        </w:rPr>
        <w:t>Total rental revenues for the three months ended June 30, 2024 increased by $38.9 million, or 7.2%, to $576.8 million, compared to $537.9 million for the three months ended June 30, 2023. The increase was primarily due to an increase in rental revenues from our Non-Same Properties related to 2.7 million RSF of development and redevelopment projects placed into service subsequent to April 1, 2023 and four operating properties aggregating 486,610 RSF acquired subsequent to April 1, 2023.</w:t>
      </w:r>
    </w:p>
    <w:p>
      <w:pPr>
        <w:spacing w:after="0" w:line="118" w:lineRule="exact"/>
        <w:rPr>
          <w:sz w:val="20"/>
          <w:szCs w:val="20"/>
          <w:color w:val="auto"/>
        </w:rPr>
      </w:pPr>
    </w:p>
    <w:p>
      <w:pPr>
        <w:ind w:left="640" w:right="759" w:firstLine="516"/>
        <w:spacing w:after="0" w:line="265" w:lineRule="auto"/>
        <w:rPr>
          <w:sz w:val="20"/>
          <w:szCs w:val="20"/>
          <w:color w:val="auto"/>
        </w:rPr>
      </w:pPr>
      <w:r>
        <w:rPr>
          <w:rFonts w:ascii="Arial" w:cs="Arial" w:eastAsia="Arial" w:hAnsi="Arial"/>
          <w:sz w:val="13"/>
          <w:szCs w:val="13"/>
          <w:color w:val="auto"/>
        </w:rPr>
        <w:t>Rental revenues from our Same Properties for the three months ended June 30, 2024 increased by $10.3 million, or 2.3%, to $464.9 million, compared to $454.6 million for the three months ended June 30, 2023. The increase was primarily due to rental rate increases on lease renewals and re-leasing of space since April 1, 2023.</w:t>
      </w:r>
    </w:p>
    <w:p>
      <w:pPr>
        <w:sectPr>
          <w:pgSz w:w="11900" w:h="16838" w:orient="portrait"/>
          <w:cols w:equalWidth="0" w:num="1">
            <w:col w:w="9019"/>
          </w:cols>
          <w:pgMar w:left="1440" w:top="114" w:right="1440" w:bottom="0" w:gutter="0" w:footer="0" w:header="0"/>
        </w:sectPr>
      </w:pPr>
    </w:p>
    <w:bookmarkStart w:id="49" w:name="page50"/>
    <w:bookmarkEnd w:id="49"/>
    <w:p>
      <w:pPr>
        <w:ind w:left="640"/>
        <w:spacing w:after="0"/>
        <w:rPr>
          <w:sz w:val="20"/>
          <w:szCs w:val="20"/>
          <w:color w:val="auto"/>
        </w:rPr>
      </w:pPr>
      <w:r>
        <w:rPr>
          <w:rFonts w:ascii="Arial" w:cs="Arial" w:eastAsia="Arial" w:hAnsi="Arial"/>
          <w:sz w:val="13"/>
          <w:szCs w:val="13"/>
          <w:i w:val="1"/>
          <w:iCs w:val="1"/>
          <w:color w:val="auto"/>
        </w:rPr>
        <w:drawing>
          <wp:anchor simplePos="0" relativeHeight="251657728" behindDoc="1" locked="0" layoutInCell="0" allowOverlap="1">
            <wp:simplePos x="0" y="0"/>
            <wp:positionH relativeFrom="page">
              <wp:posOffset>982345</wp:posOffset>
            </wp:positionH>
            <wp:positionV relativeFrom="page">
              <wp:posOffset>88900</wp:posOffset>
            </wp:positionV>
            <wp:extent cx="5584190" cy="519239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584190" cy="5192395"/>
                    </a:xfrm>
                    <a:prstGeom prst="rect">
                      <a:avLst/>
                    </a:prstGeom>
                    <a:noFill/>
                  </pic:spPr>
                </pic:pic>
              </a:graphicData>
            </a:graphic>
          </wp:anchor>
        </w:drawing>
        <w:t>Tenant recoveries</w:t>
      </w:r>
    </w:p>
    <w:p>
      <w:pPr>
        <w:spacing w:after="0" w:line="160" w:lineRule="exact"/>
        <w:rPr>
          <w:sz w:val="20"/>
          <w:szCs w:val="20"/>
          <w:color w:val="auto"/>
        </w:rPr>
      </w:pPr>
    </w:p>
    <w:p>
      <w:pPr>
        <w:ind w:left="640" w:right="739" w:firstLine="516"/>
        <w:spacing w:after="0" w:line="257" w:lineRule="auto"/>
        <w:rPr>
          <w:sz w:val="20"/>
          <w:szCs w:val="20"/>
          <w:color w:val="auto"/>
        </w:rPr>
      </w:pPr>
      <w:r>
        <w:rPr>
          <w:rFonts w:ascii="Arial" w:cs="Arial" w:eastAsia="Arial" w:hAnsi="Arial"/>
          <w:sz w:val="13"/>
          <w:szCs w:val="13"/>
          <w:color w:val="auto"/>
        </w:rPr>
        <w:t>Tenant recoveries for the three months ended June 30, 2024 increased by $11.9 million, or 7.1%, to $178.3 million, compared to $166.5 million for the three months ended June 30, 2023. This increase was primarily from our Non-Same Properties related to our development and redevelopment projects placed into service and properties acquired subsequent to April 1, 2023, as discussed above under “Rental revenues.”</w:t>
      </w:r>
    </w:p>
    <w:p>
      <w:pPr>
        <w:spacing w:after="0" w:line="133" w:lineRule="exact"/>
        <w:rPr>
          <w:sz w:val="20"/>
          <w:szCs w:val="20"/>
          <w:color w:val="auto"/>
        </w:rPr>
      </w:pPr>
    </w:p>
    <w:p>
      <w:pPr>
        <w:ind w:left="1160"/>
        <w:spacing w:after="0"/>
        <w:rPr>
          <w:sz w:val="20"/>
          <w:szCs w:val="20"/>
          <w:color w:val="auto"/>
        </w:rPr>
      </w:pPr>
      <w:r>
        <w:rPr>
          <w:rFonts w:ascii="Arial" w:cs="Arial" w:eastAsia="Arial" w:hAnsi="Arial"/>
          <w:sz w:val="13"/>
          <w:szCs w:val="13"/>
          <w:color w:val="auto"/>
        </w:rPr>
        <w:t>Same Properties’ tenant recoveries for the three months ended June 30, 2024 increased by $3.1 million, or 2.0%, to</w:t>
      </w:r>
    </w:p>
    <w:p>
      <w:pPr>
        <w:spacing w:after="0" w:line="13" w:lineRule="exact"/>
        <w:rPr>
          <w:sz w:val="20"/>
          <w:szCs w:val="20"/>
          <w:color w:val="auto"/>
        </w:rPr>
      </w:pPr>
    </w:p>
    <w:p>
      <w:pPr>
        <w:ind w:left="640"/>
        <w:spacing w:after="0"/>
        <w:rPr>
          <w:sz w:val="20"/>
          <w:szCs w:val="20"/>
          <w:color w:val="auto"/>
        </w:rPr>
      </w:pPr>
      <w:r>
        <w:rPr>
          <w:rFonts w:ascii="Arial" w:cs="Arial" w:eastAsia="Arial" w:hAnsi="Arial"/>
          <w:sz w:val="13"/>
          <w:szCs w:val="13"/>
          <w:color w:val="auto"/>
        </w:rPr>
        <w:t>$156.9 million, compared to $153.8 million for the three months ended June 30, 2023, primarily due to higher operating expenses</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13"/>
          <w:szCs w:val="13"/>
          <w:color w:val="auto"/>
        </w:rPr>
        <w:t>during the three months ended June 30, 2024, as discussed under “Rental operations” below. As of June 30, 2024, 94% of our leases</w:t>
      </w:r>
    </w:p>
    <w:p>
      <w:pPr>
        <w:spacing w:after="0" w:line="7" w:lineRule="exact"/>
        <w:rPr>
          <w:sz w:val="20"/>
          <w:szCs w:val="20"/>
          <w:color w:val="auto"/>
        </w:rPr>
      </w:pPr>
    </w:p>
    <w:p>
      <w:pPr>
        <w:ind w:left="640"/>
        <w:spacing w:after="0"/>
        <w:rPr>
          <w:sz w:val="20"/>
          <w:szCs w:val="20"/>
          <w:color w:val="auto"/>
        </w:rPr>
      </w:pPr>
      <w:r>
        <w:rPr>
          <w:rFonts w:ascii="Arial" w:cs="Arial" w:eastAsia="Arial" w:hAnsi="Arial"/>
          <w:sz w:val="13"/>
          <w:szCs w:val="13"/>
          <w:color w:val="auto"/>
        </w:rPr>
        <w:t>(on an annual rental revenue basis) were triple net leases, which require tenants to pay substantially all real estate taxes, insurance,</w:t>
      </w:r>
    </w:p>
    <w:p>
      <w:pPr>
        <w:spacing w:after="0" w:line="5" w:lineRule="exact"/>
        <w:rPr>
          <w:sz w:val="20"/>
          <w:szCs w:val="20"/>
          <w:color w:val="auto"/>
        </w:rPr>
      </w:pPr>
    </w:p>
    <w:p>
      <w:pPr>
        <w:ind w:left="640"/>
        <w:spacing w:after="0"/>
        <w:rPr>
          <w:sz w:val="20"/>
          <w:szCs w:val="20"/>
          <w:color w:val="auto"/>
        </w:rPr>
      </w:pPr>
      <w:r>
        <w:rPr>
          <w:rFonts w:ascii="Arial" w:cs="Arial" w:eastAsia="Arial" w:hAnsi="Arial"/>
          <w:sz w:val="13"/>
          <w:szCs w:val="13"/>
          <w:color w:val="auto"/>
        </w:rPr>
        <w:t>utilities, repairs and maintenance, common area expenses, and other operating expenses (including increases thereto) in addition to</w:t>
      </w:r>
    </w:p>
    <w:p>
      <w:pPr>
        <w:spacing w:after="0" w:line="7" w:lineRule="exact"/>
        <w:rPr>
          <w:sz w:val="20"/>
          <w:szCs w:val="20"/>
          <w:color w:val="auto"/>
        </w:rPr>
      </w:pPr>
    </w:p>
    <w:p>
      <w:pPr>
        <w:ind w:left="640"/>
        <w:spacing w:after="0"/>
        <w:rPr>
          <w:sz w:val="20"/>
          <w:szCs w:val="20"/>
          <w:color w:val="auto"/>
        </w:rPr>
      </w:pPr>
      <w:r>
        <w:rPr>
          <w:rFonts w:ascii="Arial" w:cs="Arial" w:eastAsia="Arial" w:hAnsi="Arial"/>
          <w:sz w:val="13"/>
          <w:szCs w:val="13"/>
          <w:color w:val="auto"/>
        </w:rPr>
        <w:t>base rent.</w:t>
      </w:r>
    </w:p>
    <w:p>
      <w:pPr>
        <w:spacing w:after="0" w:line="146" w:lineRule="exact"/>
        <w:rPr>
          <w:sz w:val="20"/>
          <w:szCs w:val="20"/>
          <w:color w:val="auto"/>
        </w:rPr>
      </w:pPr>
    </w:p>
    <w:p>
      <w:pPr>
        <w:ind w:left="640"/>
        <w:spacing w:after="0"/>
        <w:rPr>
          <w:sz w:val="20"/>
          <w:szCs w:val="20"/>
          <w:color w:val="auto"/>
        </w:rPr>
      </w:pPr>
      <w:r>
        <w:rPr>
          <w:rFonts w:ascii="Arial" w:cs="Arial" w:eastAsia="Arial" w:hAnsi="Arial"/>
          <w:sz w:val="13"/>
          <w:szCs w:val="13"/>
          <w:i w:val="1"/>
          <w:iCs w:val="1"/>
          <w:u w:val="single" w:color="auto"/>
          <w:color w:val="auto"/>
        </w:rPr>
        <w:t>Rental operations</w:t>
      </w:r>
    </w:p>
    <w:p>
      <w:pPr>
        <w:spacing w:after="0" w:line="160" w:lineRule="exact"/>
        <w:rPr>
          <w:sz w:val="20"/>
          <w:szCs w:val="20"/>
          <w:color w:val="auto"/>
        </w:rPr>
      </w:pPr>
    </w:p>
    <w:p>
      <w:pPr>
        <w:ind w:left="1160"/>
        <w:spacing w:after="0"/>
        <w:rPr>
          <w:sz w:val="20"/>
          <w:szCs w:val="20"/>
          <w:color w:val="auto"/>
        </w:rPr>
      </w:pPr>
      <w:r>
        <w:rPr>
          <w:rFonts w:ascii="Arial" w:cs="Arial" w:eastAsia="Arial" w:hAnsi="Arial"/>
          <w:sz w:val="13"/>
          <w:szCs w:val="13"/>
          <w:color w:val="auto"/>
        </w:rPr>
        <w:t>Total rental operating expenses for the three months ended June 30, 2024 increased by $5.4 million, or 2.6%, to</w:t>
      </w:r>
    </w:p>
    <w:p>
      <w:pPr>
        <w:spacing w:after="0" w:line="19" w:lineRule="exact"/>
        <w:rPr>
          <w:sz w:val="20"/>
          <w:szCs w:val="20"/>
          <w:color w:val="auto"/>
        </w:rPr>
      </w:pPr>
    </w:p>
    <w:p>
      <w:pPr>
        <w:ind w:left="640" w:right="839"/>
        <w:spacing w:after="0" w:line="259" w:lineRule="auto"/>
        <w:rPr>
          <w:sz w:val="20"/>
          <w:szCs w:val="20"/>
          <w:color w:val="auto"/>
        </w:rPr>
      </w:pPr>
      <w:r>
        <w:rPr>
          <w:rFonts w:ascii="Arial" w:cs="Arial" w:eastAsia="Arial" w:hAnsi="Arial"/>
          <w:sz w:val="13"/>
          <w:szCs w:val="13"/>
          <w:color w:val="auto"/>
        </w:rPr>
        <w:t>$217.3 million, compared to $211.8 million for the three months ended June 30, 2023. The increase was primarily due to incremental expenses related to our Same Properties, as discussed below.</w:t>
      </w:r>
    </w:p>
    <w:p>
      <w:pPr>
        <w:spacing w:after="0" w:line="132" w:lineRule="exact"/>
        <w:rPr>
          <w:sz w:val="20"/>
          <w:szCs w:val="20"/>
          <w:color w:val="auto"/>
        </w:rPr>
      </w:pPr>
    </w:p>
    <w:p>
      <w:pPr>
        <w:ind w:left="640" w:right="959" w:firstLine="516"/>
        <w:spacing w:after="0" w:line="277" w:lineRule="auto"/>
        <w:rPr>
          <w:sz w:val="20"/>
          <w:szCs w:val="20"/>
          <w:color w:val="auto"/>
        </w:rPr>
      </w:pPr>
      <w:r>
        <w:rPr>
          <w:rFonts w:ascii="Arial" w:cs="Arial" w:eastAsia="Arial" w:hAnsi="Arial"/>
          <w:sz w:val="12"/>
          <w:szCs w:val="12"/>
          <w:color w:val="auto"/>
        </w:rPr>
        <w:t>Same Properties’ rental operating expenses increased by $7.2 million, or 4.0%, to $185.7 million during the three months ended June 30, 2024, compared to $178.5 million for the three months ended June 30, 2023, primarily as the result of increases in</w:t>
      </w:r>
    </w:p>
    <w:p>
      <w:pPr>
        <w:ind w:left="640" w:right="719" w:hanging="2"/>
        <w:spacing w:after="0" w:line="259" w:lineRule="auto"/>
        <w:tabs>
          <w:tab w:leader="none" w:pos="790" w:val="left"/>
        </w:tabs>
        <w:numPr>
          <w:ilvl w:val="0"/>
          <w:numId w:val="94"/>
        </w:numPr>
        <w:rPr>
          <w:rFonts w:ascii="Arial" w:cs="Arial" w:eastAsia="Arial" w:hAnsi="Arial"/>
          <w:sz w:val="13"/>
          <w:szCs w:val="13"/>
          <w:color w:val="auto"/>
        </w:rPr>
      </w:pPr>
      <w:r>
        <w:rPr>
          <w:rFonts w:ascii="Arial" w:cs="Arial" w:eastAsia="Arial" w:hAnsi="Arial"/>
          <w:sz w:val="13"/>
          <w:szCs w:val="13"/>
          <w:color w:val="auto"/>
        </w:rPr>
        <w:t>utility expenses aggregating $4.2 million, due to higher rates, and (ii) property taxes aggregating $3.3 million, primarily due to annual regulatory increases of up to 2% in California and increases from reassessments in values due to sales of partial interests.</w:t>
      </w:r>
    </w:p>
    <w:p>
      <w:pPr>
        <w:spacing w:after="0" w:line="134" w:lineRule="exact"/>
        <w:rPr>
          <w:sz w:val="20"/>
          <w:szCs w:val="20"/>
          <w:color w:val="auto"/>
        </w:rPr>
      </w:pPr>
    </w:p>
    <w:p>
      <w:pPr>
        <w:ind w:left="640"/>
        <w:spacing w:after="0"/>
        <w:rPr>
          <w:sz w:val="20"/>
          <w:szCs w:val="20"/>
          <w:color w:val="auto"/>
        </w:rPr>
      </w:pPr>
      <w:r>
        <w:rPr>
          <w:rFonts w:ascii="Arial" w:cs="Arial" w:eastAsia="Arial" w:hAnsi="Arial"/>
          <w:sz w:val="13"/>
          <w:szCs w:val="13"/>
          <w:i w:val="1"/>
          <w:iCs w:val="1"/>
          <w:u w:val="single" w:color="auto"/>
          <w:color w:val="auto"/>
        </w:rPr>
        <w:t>Depreciation and amortization</w:t>
      </w:r>
    </w:p>
    <w:p>
      <w:pPr>
        <w:spacing w:after="0" w:line="160" w:lineRule="exact"/>
        <w:rPr>
          <w:sz w:val="20"/>
          <w:szCs w:val="20"/>
          <w:color w:val="auto"/>
        </w:rPr>
      </w:pPr>
    </w:p>
    <w:p>
      <w:pPr>
        <w:jc w:val="both"/>
        <w:ind w:left="640" w:right="919" w:firstLine="516"/>
        <w:spacing w:after="0" w:line="257" w:lineRule="auto"/>
        <w:rPr>
          <w:sz w:val="20"/>
          <w:szCs w:val="20"/>
          <w:color w:val="auto"/>
        </w:rPr>
      </w:pPr>
      <w:r>
        <w:rPr>
          <w:rFonts w:ascii="Arial" w:cs="Arial" w:eastAsia="Arial" w:hAnsi="Arial"/>
          <w:sz w:val="13"/>
          <w:szCs w:val="13"/>
          <w:color w:val="auto"/>
        </w:rPr>
        <w:t>Depreciation and amortization expense for the three months ended June 30, 2024 increased by $17.2 million, or 6.3%, to $290.7 million, compared to $273.6 million for the three months ended June 30, 2023. The increase was primarily due to additional depreciation from development and redevelopment projects placed into service and properties acquired, as discussed above under “Rental revenues.”</w:t>
      </w:r>
    </w:p>
    <w:p>
      <w:pPr>
        <w:spacing w:after="0" w:line="135" w:lineRule="exact"/>
        <w:rPr>
          <w:sz w:val="20"/>
          <w:szCs w:val="20"/>
          <w:color w:val="auto"/>
        </w:rPr>
      </w:pPr>
    </w:p>
    <w:p>
      <w:pPr>
        <w:ind w:left="640"/>
        <w:spacing w:after="0"/>
        <w:rPr>
          <w:sz w:val="20"/>
          <w:szCs w:val="20"/>
          <w:color w:val="auto"/>
        </w:rPr>
      </w:pPr>
      <w:r>
        <w:rPr>
          <w:rFonts w:ascii="Arial" w:cs="Arial" w:eastAsia="Arial" w:hAnsi="Arial"/>
          <w:sz w:val="13"/>
          <w:szCs w:val="13"/>
          <w:i w:val="1"/>
          <w:iCs w:val="1"/>
          <w:u w:val="single" w:color="auto"/>
          <w:color w:val="auto"/>
        </w:rPr>
        <w:t>General and administrative expenses</w:t>
      </w:r>
    </w:p>
    <w:p>
      <w:pPr>
        <w:spacing w:after="0" w:line="149" w:lineRule="exact"/>
        <w:rPr>
          <w:sz w:val="20"/>
          <w:szCs w:val="20"/>
          <w:color w:val="auto"/>
        </w:rPr>
      </w:pPr>
    </w:p>
    <w:p>
      <w:pPr>
        <w:ind w:left="1160"/>
        <w:spacing w:after="0"/>
        <w:rPr>
          <w:sz w:val="20"/>
          <w:szCs w:val="20"/>
          <w:color w:val="auto"/>
        </w:rPr>
      </w:pPr>
      <w:r>
        <w:rPr>
          <w:rFonts w:ascii="Arial" w:cs="Arial" w:eastAsia="Arial" w:hAnsi="Arial"/>
          <w:sz w:val="13"/>
          <w:szCs w:val="13"/>
          <w:color w:val="auto"/>
        </w:rPr>
        <w:t>General and administrative expenses for the three months ended June 30, 2024 decreased by $1.3 million, or 2.7%, to</w:t>
      </w:r>
    </w:p>
    <w:p>
      <w:pPr>
        <w:spacing w:after="0" w:line="19" w:lineRule="exact"/>
        <w:rPr>
          <w:sz w:val="20"/>
          <w:szCs w:val="20"/>
          <w:color w:val="auto"/>
        </w:rPr>
      </w:pPr>
    </w:p>
    <w:p>
      <w:pPr>
        <w:ind w:left="640"/>
        <w:spacing w:after="0"/>
        <w:rPr>
          <w:sz w:val="20"/>
          <w:szCs w:val="20"/>
          <w:color w:val="auto"/>
        </w:rPr>
      </w:pPr>
      <w:r>
        <w:rPr>
          <w:rFonts w:ascii="Arial" w:cs="Arial" w:eastAsia="Arial" w:hAnsi="Arial"/>
          <w:sz w:val="13"/>
          <w:szCs w:val="13"/>
          <w:color w:val="auto"/>
        </w:rPr>
        <w:t>$44.6 million, compared to $45.9 million for the three months ended June 30, 2023. The decrease was primarily due to reduction in</w:t>
      </w:r>
    </w:p>
    <w:p>
      <w:pPr>
        <w:spacing w:after="0" w:line="5" w:lineRule="exact"/>
        <w:rPr>
          <w:sz w:val="20"/>
          <w:szCs w:val="20"/>
          <w:color w:val="auto"/>
        </w:rPr>
      </w:pPr>
    </w:p>
    <w:p>
      <w:pPr>
        <w:ind w:left="640"/>
        <w:spacing w:after="0"/>
        <w:rPr>
          <w:sz w:val="20"/>
          <w:szCs w:val="20"/>
          <w:color w:val="auto"/>
        </w:rPr>
      </w:pPr>
      <w:r>
        <w:rPr>
          <w:rFonts w:ascii="Arial" w:cs="Arial" w:eastAsia="Arial" w:hAnsi="Arial"/>
          <w:sz w:val="12"/>
          <w:szCs w:val="12"/>
          <w:color w:val="auto"/>
        </w:rPr>
        <w:t>compensation costs due to the resignations of two of our executive officers in the second half of 2023. As a percentage of net operating</w:t>
      </w:r>
    </w:p>
    <w:p>
      <w:pPr>
        <w:spacing w:after="0" w:line="19" w:lineRule="exact"/>
        <w:rPr>
          <w:sz w:val="20"/>
          <w:szCs w:val="20"/>
          <w:color w:val="auto"/>
        </w:rPr>
      </w:pPr>
    </w:p>
    <w:p>
      <w:pPr>
        <w:ind w:left="640"/>
        <w:spacing w:after="0"/>
        <w:rPr>
          <w:sz w:val="20"/>
          <w:szCs w:val="20"/>
          <w:color w:val="auto"/>
        </w:rPr>
      </w:pPr>
      <w:r>
        <w:rPr>
          <w:rFonts w:ascii="Arial" w:cs="Arial" w:eastAsia="Arial" w:hAnsi="Arial"/>
          <w:sz w:val="13"/>
          <w:szCs w:val="13"/>
          <w:color w:val="auto"/>
        </w:rPr>
        <w:t>income, our general and administrative expenses for the trailing twelve months ended June 30, 2024 and 2023 were 9.2% and 9.7%,</w:t>
      </w:r>
    </w:p>
    <w:p>
      <w:pPr>
        <w:spacing w:after="0" w:line="5" w:lineRule="exact"/>
        <w:rPr>
          <w:sz w:val="20"/>
          <w:szCs w:val="20"/>
          <w:color w:val="auto"/>
        </w:rPr>
      </w:pPr>
    </w:p>
    <w:p>
      <w:pPr>
        <w:ind w:left="640"/>
        <w:spacing w:after="0"/>
        <w:rPr>
          <w:sz w:val="20"/>
          <w:szCs w:val="20"/>
          <w:color w:val="auto"/>
        </w:rPr>
      </w:pPr>
      <w:r>
        <w:rPr>
          <w:rFonts w:ascii="Arial" w:cs="Arial" w:eastAsia="Arial" w:hAnsi="Arial"/>
          <w:sz w:val="13"/>
          <w:szCs w:val="13"/>
          <w:color w:val="auto"/>
        </w:rPr>
        <w:t>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188595</wp:posOffset>
            </wp:positionV>
            <wp:extent cx="5584190" cy="526097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584190" cy="5260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640"/>
        <w:spacing w:after="0"/>
        <w:rPr>
          <w:sz w:val="20"/>
          <w:szCs w:val="20"/>
          <w:color w:val="auto"/>
        </w:rPr>
      </w:pPr>
      <w:r>
        <w:rPr>
          <w:rFonts w:ascii="Arial" w:cs="Arial" w:eastAsia="Arial" w:hAnsi="Arial"/>
          <w:sz w:val="13"/>
          <w:szCs w:val="13"/>
          <w:i w:val="1"/>
          <w:iCs w:val="1"/>
          <w:u w:val="single" w:color="auto"/>
          <w:color w:val="auto"/>
        </w:rPr>
        <w:t>Interest expense</w:t>
      </w:r>
    </w:p>
    <w:p>
      <w:pPr>
        <w:spacing w:after="0" w:line="160"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Interest expense for the three months ended June 30, 2024 and 2023 consisted of the following (dollars in thousands):</w:t>
      </w:r>
    </w:p>
    <w:p>
      <w:pPr>
        <w:spacing w:after="0" w:line="226"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3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20" w:type="dxa"/>
            <w:vAlign w:val="bottom"/>
            <w:gridSpan w:val="5"/>
          </w:tcPr>
          <w:p>
            <w:pPr>
              <w:ind w:left="180"/>
              <w:spacing w:after="0"/>
              <w:rPr>
                <w:sz w:val="20"/>
                <w:szCs w:val="20"/>
                <w:color w:val="auto"/>
              </w:rPr>
            </w:pPr>
            <w:r>
              <w:rPr>
                <w:rFonts w:ascii="Arial" w:cs="Arial" w:eastAsia="Arial" w:hAnsi="Arial"/>
                <w:sz w:val="13"/>
                <w:szCs w:val="13"/>
                <w:color w:val="auto"/>
              </w:rPr>
              <w:t>Three Months Ended June 30,</w:t>
            </w: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84"/>
        </w:trPr>
        <w:tc>
          <w:tcPr>
            <w:tcW w:w="376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Component</w:t>
            </w:r>
          </w:p>
        </w:tc>
        <w:tc>
          <w:tcPr>
            <w:tcW w:w="6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3"/>
                <w:szCs w:val="13"/>
                <w:color w:val="auto"/>
              </w:rPr>
              <w:t>2024</w:t>
            </w:r>
          </w:p>
        </w:tc>
        <w:tc>
          <w:tcPr>
            <w:tcW w:w="60" w:type="dxa"/>
            <w:vAlign w:val="bottom"/>
            <w:tcBorders>
              <w:top w:val="single" w:sz="8" w:color="auto"/>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36"/>
              <w:spacing w:after="0"/>
              <w:rPr>
                <w:sz w:val="20"/>
                <w:szCs w:val="20"/>
                <w:color w:val="auto"/>
              </w:rPr>
            </w:pPr>
            <w:r>
              <w:rPr>
                <w:rFonts w:ascii="Arial" w:cs="Arial" w:eastAsia="Arial" w:hAnsi="Arial"/>
                <w:sz w:val="13"/>
                <w:szCs w:val="13"/>
                <w:color w:val="auto"/>
              </w:rPr>
              <w:t>2023</w:t>
            </w:r>
          </w:p>
        </w:tc>
        <w:tc>
          <w:tcPr>
            <w:tcW w:w="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color w:val="auto"/>
              </w:rPr>
              <w:t>Change</w:t>
            </w:r>
          </w:p>
        </w:tc>
      </w:tr>
      <w:tr>
        <w:trPr>
          <w:trHeight w:val="163"/>
        </w:trPr>
        <w:tc>
          <w:tcPr>
            <w:tcW w:w="38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Gross interest</w:t>
            </w:r>
          </w:p>
        </w:tc>
        <w:tc>
          <w:tcPr>
            <w:tcW w:w="28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126,828</w:t>
            </w:r>
          </w:p>
        </w:tc>
        <w:tc>
          <w:tcPr>
            <w:tcW w:w="6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108,746</w:t>
            </w:r>
          </w:p>
        </w:tc>
        <w:tc>
          <w:tcPr>
            <w:tcW w:w="6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18,082</w:t>
            </w:r>
          </w:p>
        </w:tc>
      </w:tr>
      <w:tr>
        <w:trPr>
          <w:trHeight w:val="183"/>
        </w:trPr>
        <w:tc>
          <w:tcPr>
            <w:tcW w:w="3820" w:type="dxa"/>
            <w:vAlign w:val="bottom"/>
            <w:tcBorders>
              <w:bottom w:val="single" w:sz="8" w:color="CCEEFF"/>
            </w:tcBorders>
            <w:gridSpan w:val="2"/>
          </w:tcPr>
          <w:p>
            <w:pPr>
              <w:ind w:left="40"/>
              <w:spacing w:after="0"/>
              <w:rPr>
                <w:sz w:val="20"/>
                <w:szCs w:val="20"/>
                <w:color w:val="auto"/>
              </w:rPr>
            </w:pPr>
            <w:r>
              <w:rPr>
                <w:rFonts w:ascii="Arial" w:cs="Arial" w:eastAsia="Arial" w:hAnsi="Arial"/>
                <w:sz w:val="13"/>
                <w:szCs w:val="13"/>
                <w:color w:val="auto"/>
              </w:rPr>
              <w:t>Capitalized interest</w:t>
            </w: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(81,039)</w:t>
            </w:r>
          </w:p>
        </w:tc>
        <w:tc>
          <w:tcPr>
            <w:tcW w:w="6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(91,674)</w:t>
            </w:r>
          </w:p>
        </w:tc>
        <w:tc>
          <w:tcPr>
            <w:tcW w:w="6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10,635</w:t>
            </w:r>
          </w:p>
        </w:tc>
      </w:tr>
      <w:tr>
        <w:trPr>
          <w:trHeight w:val="166"/>
        </w:trPr>
        <w:tc>
          <w:tcPr>
            <w:tcW w:w="3820" w:type="dxa"/>
            <w:vAlign w:val="bottom"/>
            <w:tcBorders>
              <w:bottom w:val="single" w:sz="8" w:color="CCEEFF"/>
            </w:tcBorders>
            <w:gridSpan w:val="2"/>
            <w:shd w:val="clear" w:color="auto" w:fill="CCEEFF"/>
          </w:tcPr>
          <w:p>
            <w:pPr>
              <w:ind w:left="40"/>
              <w:spacing w:after="0" w:line="141" w:lineRule="exact"/>
              <w:rPr>
                <w:sz w:val="20"/>
                <w:szCs w:val="20"/>
                <w:color w:val="auto"/>
              </w:rPr>
            </w:pPr>
            <w:r>
              <w:rPr>
                <w:rFonts w:ascii="Arial" w:cs="Arial" w:eastAsia="Arial" w:hAnsi="Arial"/>
                <w:sz w:val="13"/>
                <w:szCs w:val="13"/>
                <w:color w:val="auto"/>
              </w:rPr>
              <w:t>Interest expense</w:t>
            </w:r>
          </w:p>
        </w:tc>
        <w:tc>
          <w:tcPr>
            <w:tcW w:w="280" w:type="dxa"/>
            <w:vAlign w:val="bottom"/>
            <w:tcBorders>
              <w:bottom w:val="single" w:sz="8" w:color="auto"/>
            </w:tcBorders>
            <w:shd w:val="clear" w:color="auto" w:fill="CCEEFF"/>
          </w:tcPr>
          <w:p>
            <w:pPr>
              <w:jc w:val="right"/>
              <w:ind w:right="96"/>
              <w:spacing w:after="0" w:line="141" w:lineRule="exact"/>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shd w:val="clear" w:color="auto" w:fill="CCEEFF"/>
          </w:tcPr>
          <w:p>
            <w:pPr>
              <w:jc w:val="right"/>
              <w:ind w:right="96"/>
              <w:spacing w:after="0" w:line="141" w:lineRule="exact"/>
              <w:rPr>
                <w:sz w:val="20"/>
                <w:szCs w:val="20"/>
                <w:color w:val="auto"/>
              </w:rPr>
            </w:pPr>
            <w:r>
              <w:rPr>
                <w:rFonts w:ascii="Arial" w:cs="Arial" w:eastAsia="Arial" w:hAnsi="Arial"/>
                <w:sz w:val="13"/>
                <w:szCs w:val="13"/>
                <w:color w:val="auto"/>
              </w:rPr>
              <w:t>45,789</w:t>
            </w:r>
          </w:p>
        </w:tc>
        <w:tc>
          <w:tcPr>
            <w:tcW w:w="6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ind w:right="116"/>
              <w:spacing w:after="0" w:line="141" w:lineRule="exact"/>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shd w:val="clear" w:color="auto" w:fill="CCEEFF"/>
          </w:tcPr>
          <w:p>
            <w:pPr>
              <w:jc w:val="right"/>
              <w:ind w:right="116"/>
              <w:spacing w:after="0" w:line="141" w:lineRule="exact"/>
              <w:rPr>
                <w:sz w:val="20"/>
                <w:szCs w:val="20"/>
                <w:color w:val="auto"/>
              </w:rPr>
            </w:pPr>
            <w:r>
              <w:rPr>
                <w:rFonts w:ascii="Arial" w:cs="Arial" w:eastAsia="Arial" w:hAnsi="Arial"/>
                <w:sz w:val="13"/>
                <w:szCs w:val="13"/>
                <w:color w:val="auto"/>
              </w:rPr>
              <w:t>17,072</w:t>
            </w:r>
          </w:p>
        </w:tc>
        <w:tc>
          <w:tcPr>
            <w:tcW w:w="6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jc w:val="right"/>
              <w:ind w:right="76"/>
              <w:spacing w:after="0" w:line="141" w:lineRule="exact"/>
              <w:rPr>
                <w:sz w:val="20"/>
                <w:szCs w:val="20"/>
                <w:color w:val="auto"/>
              </w:rPr>
            </w:pPr>
            <w:r>
              <w:rPr>
                <w:rFonts w:ascii="Arial" w:cs="Arial" w:eastAsia="Arial" w:hAnsi="Arial"/>
                <w:sz w:val="13"/>
                <w:szCs w:val="13"/>
                <w:color w:val="auto"/>
              </w:rPr>
              <w:t>$</w:t>
            </w:r>
          </w:p>
        </w:tc>
        <w:tc>
          <w:tcPr>
            <w:tcW w:w="940" w:type="dxa"/>
            <w:vAlign w:val="bottom"/>
            <w:tcBorders>
              <w:bottom w:val="single" w:sz="8" w:color="auto"/>
            </w:tcBorders>
            <w:shd w:val="clear" w:color="auto" w:fill="CCEEFF"/>
          </w:tcPr>
          <w:p>
            <w:pPr>
              <w:jc w:val="right"/>
              <w:ind w:right="96"/>
              <w:spacing w:after="0" w:line="141" w:lineRule="exact"/>
              <w:rPr>
                <w:sz w:val="20"/>
                <w:szCs w:val="20"/>
                <w:color w:val="auto"/>
              </w:rPr>
            </w:pPr>
            <w:r>
              <w:rPr>
                <w:rFonts w:ascii="Arial" w:cs="Arial" w:eastAsia="Arial" w:hAnsi="Arial"/>
                <w:sz w:val="13"/>
                <w:szCs w:val="13"/>
                <w:color w:val="auto"/>
              </w:rPr>
              <w:t>28,717</w:t>
            </w: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124"/>
        </w:trPr>
        <w:tc>
          <w:tcPr>
            <w:tcW w:w="3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tcPr>
          <w:p>
            <w:pPr>
              <w:spacing w:after="0"/>
              <w:rPr>
                <w:sz w:val="10"/>
                <w:szCs w:val="10"/>
                <w:color w:val="auto"/>
              </w:rPr>
            </w:pPr>
          </w:p>
        </w:tc>
      </w:tr>
      <w:tr>
        <w:trPr>
          <w:trHeight w:val="183"/>
        </w:trPr>
        <w:tc>
          <w:tcPr>
            <w:tcW w:w="3820" w:type="dxa"/>
            <w:vAlign w:val="bottom"/>
            <w:gridSpan w:val="2"/>
            <w:shd w:val="clear" w:color="auto" w:fill="CCEEFF"/>
          </w:tcPr>
          <w:p>
            <w:pPr>
              <w:ind w:left="40"/>
              <w:spacing w:after="0" w:line="183" w:lineRule="exact"/>
              <w:rPr>
                <w:sz w:val="20"/>
                <w:szCs w:val="20"/>
                <w:color w:val="auto"/>
              </w:rPr>
            </w:pPr>
            <w:r>
              <w:rPr>
                <w:rFonts w:ascii="Arial" w:cs="Arial" w:eastAsia="Arial" w:hAnsi="Arial"/>
                <w:sz w:val="13"/>
                <w:szCs w:val="13"/>
                <w:color w:val="auto"/>
              </w:rPr>
              <w:t>Average debt balance outstanding</w:t>
            </w:r>
            <w:r>
              <w:rPr>
                <w:rFonts w:ascii="Arial" w:cs="Arial" w:eastAsia="Arial" w:hAnsi="Arial"/>
                <w:sz w:val="16"/>
                <w:szCs w:val="16"/>
                <w:color w:val="auto"/>
                <w:vertAlign w:val="superscript"/>
              </w:rPr>
              <w:t>(1)</w:t>
            </w:r>
          </w:p>
        </w:tc>
        <w:tc>
          <w:tcPr>
            <w:tcW w:w="28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12,454,474</w:t>
            </w:r>
          </w:p>
        </w:tc>
        <w:tc>
          <w:tcPr>
            <w:tcW w:w="6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11,346,604</w:t>
            </w:r>
          </w:p>
        </w:tc>
        <w:tc>
          <w:tcPr>
            <w:tcW w:w="6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1,107,870</w:t>
            </w:r>
          </w:p>
        </w:tc>
      </w:tr>
      <w:tr>
        <w:trPr>
          <w:trHeight w:val="236"/>
        </w:trPr>
        <w:tc>
          <w:tcPr>
            <w:tcW w:w="3820" w:type="dxa"/>
            <w:vAlign w:val="bottom"/>
            <w:gridSpan w:val="2"/>
          </w:tcPr>
          <w:p>
            <w:pPr>
              <w:ind w:left="40"/>
              <w:spacing w:after="0"/>
              <w:rPr>
                <w:sz w:val="20"/>
                <w:szCs w:val="20"/>
                <w:color w:val="auto"/>
              </w:rPr>
            </w:pPr>
            <w:r>
              <w:rPr>
                <w:rFonts w:ascii="Arial" w:cs="Arial" w:eastAsia="Arial" w:hAnsi="Arial"/>
                <w:sz w:val="13"/>
                <w:szCs w:val="13"/>
                <w:color w:val="auto"/>
              </w:rPr>
              <w:t>Weighted-average annual interest rate</w:t>
            </w:r>
            <w:r>
              <w:rPr>
                <w:rFonts w:ascii="Arial" w:cs="Arial" w:eastAsia="Arial" w:hAnsi="Arial"/>
                <w:sz w:val="16"/>
                <w:szCs w:val="16"/>
                <w:color w:val="auto"/>
                <w:vertAlign w:val="superscript"/>
              </w:rPr>
              <w:t>(2)</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4.1%</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3.8%</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0.3%</w:t>
            </w:r>
          </w:p>
        </w:tc>
      </w:tr>
    </w:tbl>
    <w:p>
      <w:pPr>
        <w:ind w:left="900" w:hanging="262"/>
        <w:spacing w:after="0"/>
        <w:tabs>
          <w:tab w:leader="none" w:pos="900" w:val="left"/>
        </w:tabs>
        <w:numPr>
          <w:ilvl w:val="0"/>
          <w:numId w:val="95"/>
        </w:numPr>
        <w:rPr>
          <w:rFonts w:ascii="Arial" w:cs="Arial" w:eastAsia="Arial" w:hAnsi="Arial"/>
          <w:sz w:val="10"/>
          <w:szCs w:val="10"/>
          <w:color w:val="auto"/>
        </w:rPr>
      </w:pPr>
      <w:r>
        <w:rPr>
          <w:rFonts w:ascii="Arial" w:cs="Arial" w:eastAsia="Arial" w:hAnsi="Arial"/>
          <w:sz w:val="10"/>
          <w:szCs w:val="10"/>
          <w:color w:val="auto"/>
        </w:rPr>
        <w:t>Represents the average debt balance outstanding during the respective periods.</w:t>
      </w:r>
    </w:p>
    <w:p>
      <w:pPr>
        <w:spacing w:after="0" w:line="9" w:lineRule="exact"/>
        <w:rPr>
          <w:rFonts w:ascii="Arial" w:cs="Arial" w:eastAsia="Arial" w:hAnsi="Arial"/>
          <w:sz w:val="10"/>
          <w:szCs w:val="10"/>
          <w:color w:val="auto"/>
        </w:rPr>
      </w:pPr>
    </w:p>
    <w:p>
      <w:pPr>
        <w:ind w:left="900" w:hanging="262"/>
        <w:spacing w:after="0"/>
        <w:tabs>
          <w:tab w:leader="none" w:pos="900" w:val="left"/>
        </w:tabs>
        <w:numPr>
          <w:ilvl w:val="0"/>
          <w:numId w:val="95"/>
        </w:numPr>
        <w:rPr>
          <w:rFonts w:ascii="Arial" w:cs="Arial" w:eastAsia="Arial" w:hAnsi="Arial"/>
          <w:sz w:val="10"/>
          <w:szCs w:val="10"/>
          <w:color w:val="auto"/>
        </w:rPr>
      </w:pPr>
      <w:r>
        <w:rPr>
          <w:rFonts w:ascii="Arial" w:cs="Arial" w:eastAsia="Arial" w:hAnsi="Arial"/>
          <w:sz w:val="10"/>
          <w:szCs w:val="10"/>
          <w:color w:val="auto"/>
        </w:rPr>
        <w:t>Represents annualized total interest incurred divided by the average debt balance outstanding during the respective periods.</w:t>
      </w:r>
    </w:p>
    <w:p>
      <w:pPr>
        <w:spacing w:after="0" w:line="148" w:lineRule="exact"/>
        <w:rPr>
          <w:sz w:val="20"/>
          <w:szCs w:val="20"/>
          <w:color w:val="auto"/>
        </w:rPr>
      </w:pPr>
    </w:p>
    <w:p>
      <w:pPr>
        <w:ind w:left="640" w:right="719" w:firstLine="516"/>
        <w:spacing w:after="0" w:line="289" w:lineRule="auto"/>
        <w:rPr>
          <w:sz w:val="20"/>
          <w:szCs w:val="20"/>
          <w:color w:val="auto"/>
        </w:rPr>
      </w:pPr>
      <w:r>
        <w:rPr>
          <w:rFonts w:ascii="Arial" w:cs="Arial" w:eastAsia="Arial" w:hAnsi="Arial"/>
          <w:sz w:val="13"/>
          <w:szCs w:val="13"/>
          <w:color w:val="auto"/>
        </w:rPr>
        <w:t>The net change in interest expense during the three months ended June 30, 2024, compared to the three months ended June 30, 2023, resulted from the following (dollars in thousands):</w:t>
      </w:r>
    </w:p>
    <w:p>
      <w:pPr>
        <w:spacing w:after="0" w:line="79" w:lineRule="exact"/>
        <w:rPr>
          <w:sz w:val="20"/>
          <w:szCs w:val="20"/>
          <w:color w:val="auto"/>
        </w:rPr>
      </w:pPr>
    </w:p>
    <w:tbl>
      <w:tblPr>
        <w:tblLayout w:type="fixed"/>
        <w:tblInd w:w="660" w:type="dxa"/>
        <w:tblCellMar>
          <w:top w:w="0" w:type="dxa"/>
          <w:left w:w="0" w:type="dxa"/>
          <w:bottom w:w="0" w:type="dxa"/>
          <w:right w:w="0" w:type="dxa"/>
        </w:tblCellMar>
      </w:tblPr>
      <w:tr>
        <w:trPr>
          <w:trHeight w:val="184"/>
        </w:trPr>
        <w:tc>
          <w:tcPr>
            <w:tcW w:w="460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Component</w:t>
            </w:r>
          </w:p>
        </w:tc>
        <w:tc>
          <w:tcPr>
            <w:tcW w:w="4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Interest Rate</w:t>
            </w:r>
            <w:r>
              <w:rPr>
                <w:rFonts w:ascii="Arial" w:cs="Arial" w:eastAsia="Arial" w:hAnsi="Arial"/>
                <w:sz w:val="16"/>
                <w:szCs w:val="16"/>
                <w:color w:val="auto"/>
                <w:vertAlign w:val="superscript"/>
              </w:rPr>
              <w:t>(1)</w:t>
            </w:r>
          </w:p>
        </w:tc>
        <w:tc>
          <w:tcPr>
            <w:tcW w:w="4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8"/>
              </w:rPr>
              <w:t>Effective Date</w:t>
            </w:r>
          </w:p>
        </w:tc>
        <w:tc>
          <w:tcPr>
            <w:tcW w:w="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Change</w:t>
            </w:r>
          </w:p>
        </w:tc>
        <w:tc>
          <w:tcPr>
            <w:tcW w:w="0" w:type="dxa"/>
            <w:vAlign w:val="bottom"/>
          </w:tcPr>
          <w:p>
            <w:pPr>
              <w:spacing w:after="0"/>
              <w:rPr>
                <w:sz w:val="1"/>
                <w:szCs w:val="1"/>
                <w:color w:val="auto"/>
              </w:rPr>
            </w:pPr>
          </w:p>
        </w:tc>
      </w:tr>
      <w:tr>
        <w:trPr>
          <w:trHeight w:val="184"/>
        </w:trPr>
        <w:tc>
          <w:tcPr>
            <w:tcW w:w="46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Increases in interest incurred due to:</w:t>
            </w:r>
          </w:p>
        </w:tc>
        <w:tc>
          <w:tcPr>
            <w:tcW w:w="9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640" w:type="dxa"/>
            <w:vAlign w:val="bottom"/>
            <w:gridSpan w:val="2"/>
          </w:tcPr>
          <w:p>
            <w:pPr>
              <w:ind w:left="140"/>
              <w:spacing w:after="0"/>
              <w:rPr>
                <w:sz w:val="20"/>
                <w:szCs w:val="20"/>
                <w:color w:val="auto"/>
              </w:rPr>
            </w:pPr>
            <w:r>
              <w:rPr>
                <w:rFonts w:ascii="Arial" w:cs="Arial" w:eastAsia="Arial" w:hAnsi="Arial"/>
                <w:sz w:val="13"/>
                <w:szCs w:val="13"/>
                <w:color w:val="auto"/>
              </w:rPr>
              <w:t>Issuances of debt:</w:t>
            </w: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640" w:type="dxa"/>
            <w:vAlign w:val="bottom"/>
            <w:gridSpan w:val="2"/>
            <w:shd w:val="clear" w:color="auto" w:fill="CCEEFF"/>
          </w:tcPr>
          <w:p>
            <w:pPr>
              <w:ind w:left="300"/>
              <w:spacing w:after="0"/>
              <w:rPr>
                <w:sz w:val="20"/>
                <w:szCs w:val="20"/>
                <w:color w:val="auto"/>
              </w:rPr>
            </w:pPr>
            <w:r>
              <w:rPr>
                <w:rFonts w:ascii="Arial" w:cs="Arial" w:eastAsia="Arial" w:hAnsi="Arial"/>
                <w:sz w:val="13"/>
                <w:szCs w:val="13"/>
                <w:color w:val="auto"/>
              </w:rPr>
              <w:t>$600 million of unsecured senior notes payable due 2054</w:t>
            </w:r>
          </w:p>
        </w:tc>
        <w:tc>
          <w:tcPr>
            <w:tcW w:w="96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rPr>
              <w:t>5.71%</w:t>
            </w:r>
          </w:p>
        </w:tc>
        <w:tc>
          <w:tcPr>
            <w:tcW w:w="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center"/>
              <w:ind w:right="20"/>
              <w:spacing w:after="0"/>
              <w:rPr>
                <w:sz w:val="20"/>
                <w:szCs w:val="20"/>
                <w:color w:val="auto"/>
              </w:rPr>
            </w:pPr>
            <w:r>
              <w:rPr>
                <w:rFonts w:ascii="Arial" w:cs="Arial" w:eastAsia="Arial" w:hAnsi="Arial"/>
                <w:sz w:val="13"/>
                <w:szCs w:val="13"/>
                <w:color w:val="auto"/>
                <w:w w:val="99"/>
              </w:rPr>
              <w:t>February 2024</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8,440</w:t>
            </w:r>
          </w:p>
        </w:tc>
        <w:tc>
          <w:tcPr>
            <w:tcW w:w="0" w:type="dxa"/>
            <w:vAlign w:val="bottom"/>
          </w:tcPr>
          <w:p>
            <w:pPr>
              <w:spacing w:after="0"/>
              <w:rPr>
                <w:sz w:val="1"/>
                <w:szCs w:val="1"/>
                <w:color w:val="auto"/>
              </w:rPr>
            </w:pPr>
          </w:p>
        </w:tc>
      </w:tr>
      <w:tr>
        <w:trPr>
          <w:trHeight w:val="204"/>
        </w:trPr>
        <w:tc>
          <w:tcPr>
            <w:tcW w:w="4640" w:type="dxa"/>
            <w:vAlign w:val="bottom"/>
            <w:gridSpan w:val="2"/>
          </w:tcPr>
          <w:p>
            <w:pPr>
              <w:ind w:left="300"/>
              <w:spacing w:after="0"/>
              <w:rPr>
                <w:sz w:val="20"/>
                <w:szCs w:val="20"/>
                <w:color w:val="auto"/>
              </w:rPr>
            </w:pPr>
            <w:r>
              <w:rPr>
                <w:rFonts w:ascii="Arial" w:cs="Arial" w:eastAsia="Arial" w:hAnsi="Arial"/>
                <w:sz w:val="13"/>
                <w:szCs w:val="13"/>
                <w:color w:val="auto"/>
              </w:rPr>
              <w:t>$400 million of unsecured senior notes payable due 2036</w:t>
            </w:r>
          </w:p>
        </w:tc>
        <w:tc>
          <w:tcPr>
            <w:tcW w:w="960" w:type="dxa"/>
            <w:vAlign w:val="bottom"/>
          </w:tcPr>
          <w:p>
            <w:pPr>
              <w:jc w:val="right"/>
              <w:ind w:right="156"/>
              <w:spacing w:after="0"/>
              <w:rPr>
                <w:sz w:val="20"/>
                <w:szCs w:val="20"/>
                <w:color w:val="auto"/>
              </w:rPr>
            </w:pPr>
            <w:r>
              <w:rPr>
                <w:rFonts w:ascii="Arial" w:cs="Arial" w:eastAsia="Arial" w:hAnsi="Arial"/>
                <w:sz w:val="13"/>
                <w:szCs w:val="13"/>
                <w:color w:val="auto"/>
              </w:rPr>
              <w:t>5.38%</w:t>
            </w:r>
          </w:p>
        </w:tc>
        <w:tc>
          <w:tcPr>
            <w:tcW w:w="40" w:type="dxa"/>
            <w:vAlign w:val="bottom"/>
          </w:tcPr>
          <w:p>
            <w:pPr>
              <w:spacing w:after="0"/>
              <w:rPr>
                <w:sz w:val="17"/>
                <w:szCs w:val="17"/>
                <w:color w:val="auto"/>
              </w:rPr>
            </w:pPr>
          </w:p>
        </w:tc>
        <w:tc>
          <w:tcPr>
            <w:tcW w:w="1220" w:type="dxa"/>
            <w:vAlign w:val="bottom"/>
            <w:gridSpan w:val="2"/>
          </w:tcPr>
          <w:p>
            <w:pPr>
              <w:jc w:val="center"/>
              <w:ind w:right="20"/>
              <w:spacing w:after="0"/>
              <w:rPr>
                <w:sz w:val="20"/>
                <w:szCs w:val="20"/>
                <w:color w:val="auto"/>
              </w:rPr>
            </w:pPr>
            <w:r>
              <w:rPr>
                <w:rFonts w:ascii="Arial" w:cs="Arial" w:eastAsia="Arial" w:hAnsi="Arial"/>
                <w:sz w:val="13"/>
                <w:szCs w:val="13"/>
                <w:color w:val="auto"/>
                <w:w w:val="99"/>
              </w:rPr>
              <w:t>February 2024</w:t>
            </w: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5,264</w:t>
            </w:r>
          </w:p>
        </w:tc>
        <w:tc>
          <w:tcPr>
            <w:tcW w:w="0" w:type="dxa"/>
            <w:vAlign w:val="bottom"/>
          </w:tcPr>
          <w:p>
            <w:pPr>
              <w:spacing w:after="0"/>
              <w:rPr>
                <w:sz w:val="1"/>
                <w:szCs w:val="1"/>
                <w:color w:val="auto"/>
              </w:rPr>
            </w:pPr>
          </w:p>
        </w:tc>
      </w:tr>
      <w:tr>
        <w:trPr>
          <w:trHeight w:val="172"/>
        </w:trPr>
        <w:tc>
          <w:tcPr>
            <w:tcW w:w="464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Increases in construction borrowings and interest rates under secured notes</w:t>
            </w:r>
          </w:p>
        </w:tc>
        <w:tc>
          <w:tcPr>
            <w:tcW w:w="96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rPr>
              <w:t>8.14%</w:t>
            </w:r>
          </w:p>
        </w:tc>
        <w:tc>
          <w:tcPr>
            <w:tcW w:w="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1,145</w:t>
            </w:r>
          </w:p>
        </w:tc>
        <w:tc>
          <w:tcPr>
            <w:tcW w:w="0" w:type="dxa"/>
            <w:vAlign w:val="bottom"/>
          </w:tcPr>
          <w:p>
            <w:pPr>
              <w:spacing w:after="0"/>
              <w:rPr>
                <w:sz w:val="1"/>
                <w:szCs w:val="1"/>
                <w:color w:val="auto"/>
              </w:rPr>
            </w:pPr>
          </w:p>
        </w:tc>
      </w:tr>
      <w:tr>
        <w:trPr>
          <w:trHeight w:val="161"/>
        </w:trPr>
        <w:tc>
          <w:tcPr>
            <w:tcW w:w="4640" w:type="dxa"/>
            <w:vAlign w:val="bottom"/>
            <w:gridSpan w:val="2"/>
            <w:shd w:val="clear" w:color="auto" w:fill="CCEEFF"/>
          </w:tcPr>
          <w:p>
            <w:pPr>
              <w:ind w:left="340"/>
              <w:spacing w:after="0"/>
              <w:rPr>
                <w:sz w:val="20"/>
                <w:szCs w:val="20"/>
                <w:color w:val="auto"/>
              </w:rPr>
            </w:pPr>
            <w:r>
              <w:rPr>
                <w:rFonts w:ascii="Arial" w:cs="Arial" w:eastAsia="Arial" w:hAnsi="Arial"/>
                <w:sz w:val="13"/>
                <w:szCs w:val="13"/>
                <w:color w:val="auto"/>
              </w:rPr>
              <w:t>payable</w:t>
            </w:r>
          </w:p>
        </w:tc>
        <w:tc>
          <w:tcPr>
            <w:tcW w:w="9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4640" w:type="dxa"/>
            <w:vAlign w:val="bottom"/>
            <w:gridSpan w:val="2"/>
          </w:tcPr>
          <w:p>
            <w:pPr>
              <w:ind w:left="140"/>
              <w:spacing w:after="0"/>
              <w:rPr>
                <w:sz w:val="20"/>
                <w:szCs w:val="20"/>
                <w:color w:val="auto"/>
              </w:rPr>
            </w:pPr>
            <w:r>
              <w:rPr>
                <w:rFonts w:ascii="Arial" w:cs="Arial" w:eastAsia="Arial" w:hAnsi="Arial"/>
                <w:sz w:val="13"/>
                <w:szCs w:val="13"/>
                <w:color w:val="auto"/>
              </w:rPr>
              <w:t>Higher average outstanding balances and/or rate increases on borrowings</w:t>
            </w: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2,382</w:t>
            </w:r>
          </w:p>
        </w:tc>
        <w:tc>
          <w:tcPr>
            <w:tcW w:w="0" w:type="dxa"/>
            <w:vAlign w:val="bottom"/>
          </w:tcPr>
          <w:p>
            <w:pPr>
              <w:spacing w:after="0"/>
              <w:rPr>
                <w:sz w:val="1"/>
                <w:szCs w:val="1"/>
                <w:color w:val="auto"/>
              </w:rPr>
            </w:pPr>
          </w:p>
        </w:tc>
      </w:tr>
      <w:tr>
        <w:trPr>
          <w:trHeight w:val="161"/>
        </w:trPr>
        <w:tc>
          <w:tcPr>
            <w:tcW w:w="4640" w:type="dxa"/>
            <w:vAlign w:val="bottom"/>
            <w:gridSpan w:val="2"/>
          </w:tcPr>
          <w:p>
            <w:pPr>
              <w:ind w:left="340"/>
              <w:spacing w:after="0"/>
              <w:rPr>
                <w:sz w:val="20"/>
                <w:szCs w:val="20"/>
                <w:color w:val="auto"/>
              </w:rPr>
            </w:pPr>
            <w:r>
              <w:rPr>
                <w:rFonts w:ascii="Arial" w:cs="Arial" w:eastAsia="Arial" w:hAnsi="Arial"/>
                <w:sz w:val="13"/>
                <w:szCs w:val="13"/>
                <w:color w:val="auto"/>
              </w:rPr>
              <w:t>under commercial paper program and unsecured senior line of credit</w:t>
            </w: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464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Other increase in interest</w:t>
            </w: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851</w:t>
            </w:r>
          </w:p>
        </w:tc>
        <w:tc>
          <w:tcPr>
            <w:tcW w:w="0" w:type="dxa"/>
            <w:vAlign w:val="bottom"/>
          </w:tcPr>
          <w:p>
            <w:pPr>
              <w:spacing w:after="0"/>
              <w:rPr>
                <w:sz w:val="1"/>
                <w:szCs w:val="1"/>
                <w:color w:val="auto"/>
              </w:rPr>
            </w:pPr>
          </w:p>
        </w:tc>
      </w:tr>
      <w:tr>
        <w:trPr>
          <w:trHeight w:val="184"/>
        </w:trPr>
        <w:tc>
          <w:tcPr>
            <w:tcW w:w="4640" w:type="dxa"/>
            <w:vAlign w:val="bottom"/>
            <w:gridSpan w:val="2"/>
          </w:tcPr>
          <w:p>
            <w:pPr>
              <w:ind w:left="40"/>
              <w:spacing w:after="0"/>
              <w:rPr>
                <w:sz w:val="20"/>
                <w:szCs w:val="20"/>
                <w:color w:val="auto"/>
              </w:rPr>
            </w:pPr>
            <w:r>
              <w:rPr>
                <w:rFonts w:ascii="Arial" w:cs="Arial" w:eastAsia="Arial" w:hAnsi="Arial"/>
                <w:sz w:val="13"/>
                <w:szCs w:val="13"/>
                <w:color w:val="auto"/>
              </w:rPr>
              <w:t>Change in gross interest</w:t>
            </w: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18,082</w:t>
            </w:r>
          </w:p>
        </w:tc>
        <w:tc>
          <w:tcPr>
            <w:tcW w:w="0" w:type="dxa"/>
            <w:vAlign w:val="bottom"/>
          </w:tcPr>
          <w:p>
            <w:pPr>
              <w:spacing w:after="0"/>
              <w:rPr>
                <w:sz w:val="1"/>
                <w:szCs w:val="1"/>
                <w:color w:val="auto"/>
              </w:rPr>
            </w:pPr>
          </w:p>
        </w:tc>
      </w:tr>
      <w:tr>
        <w:trPr>
          <w:trHeight w:val="204"/>
        </w:trPr>
        <w:tc>
          <w:tcPr>
            <w:tcW w:w="46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Decrease in capitalized interest</w:t>
            </w: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10,635</w:t>
            </w:r>
          </w:p>
        </w:tc>
        <w:tc>
          <w:tcPr>
            <w:tcW w:w="0" w:type="dxa"/>
            <w:vAlign w:val="bottom"/>
          </w:tcPr>
          <w:p>
            <w:pPr>
              <w:spacing w:after="0"/>
              <w:rPr>
                <w:sz w:val="1"/>
                <w:szCs w:val="1"/>
                <w:color w:val="auto"/>
              </w:rPr>
            </w:pPr>
          </w:p>
        </w:tc>
      </w:tr>
      <w:tr>
        <w:trPr>
          <w:trHeight w:val="163"/>
        </w:trPr>
        <w:tc>
          <w:tcPr>
            <w:tcW w:w="4640" w:type="dxa"/>
            <w:vAlign w:val="bottom"/>
            <w:gridSpan w:val="2"/>
          </w:tcPr>
          <w:p>
            <w:pPr>
              <w:ind w:left="40"/>
              <w:spacing w:after="0"/>
              <w:rPr>
                <w:sz w:val="20"/>
                <w:szCs w:val="20"/>
                <w:color w:val="auto"/>
              </w:rPr>
            </w:pPr>
            <w:r>
              <w:rPr>
                <w:rFonts w:ascii="Arial" w:cs="Arial" w:eastAsia="Arial" w:hAnsi="Arial"/>
                <w:sz w:val="13"/>
                <w:szCs w:val="13"/>
                <w:b w:val="1"/>
                <w:bCs w:val="1"/>
                <w:color w:val="auto"/>
              </w:rPr>
              <w:t>Total change in interest expense</w:t>
            </w: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28,717</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2" w:lineRule="exact"/>
        <w:rPr>
          <w:sz w:val="20"/>
          <w:szCs w:val="20"/>
          <w:color w:val="auto"/>
        </w:rPr>
      </w:pPr>
    </w:p>
    <w:p>
      <w:pPr>
        <w:ind w:left="900" w:right="679" w:hanging="262"/>
        <w:spacing w:after="0" w:line="283" w:lineRule="auto"/>
        <w:tabs>
          <w:tab w:leader="none" w:pos="900" w:val="left"/>
        </w:tabs>
        <w:numPr>
          <w:ilvl w:val="0"/>
          <w:numId w:val="96"/>
        </w:numPr>
        <w:rPr>
          <w:rFonts w:ascii="Arial" w:cs="Arial" w:eastAsia="Arial" w:hAnsi="Arial"/>
          <w:sz w:val="10"/>
          <w:szCs w:val="10"/>
          <w:color w:val="auto"/>
        </w:rPr>
      </w:pPr>
      <w:r>
        <w:rPr>
          <w:rFonts w:ascii="Arial" w:cs="Arial" w:eastAsia="Arial" w:hAnsi="Arial"/>
          <w:sz w:val="10"/>
          <w:szCs w:val="10"/>
          <w:color w:val="auto"/>
        </w:rPr>
        <w:t>Represents the weighted-average interest rate as of the end of the applicable period, including amortization of loan fees, amortization of debt premiums (discounts), and other bank fees.</w:t>
      </w:r>
    </w:p>
    <w:p>
      <w:pPr>
        <w:spacing w:after="0" w:line="132" w:lineRule="exact"/>
        <w:rPr>
          <w:sz w:val="20"/>
          <w:szCs w:val="20"/>
          <w:color w:val="auto"/>
        </w:rPr>
      </w:pPr>
    </w:p>
    <w:p>
      <w:pPr>
        <w:ind w:left="640"/>
        <w:spacing w:after="0"/>
        <w:rPr>
          <w:sz w:val="20"/>
          <w:szCs w:val="20"/>
          <w:color w:val="auto"/>
        </w:rPr>
      </w:pPr>
      <w:r>
        <w:rPr>
          <w:rFonts w:ascii="Arial" w:cs="Arial" w:eastAsia="Arial" w:hAnsi="Arial"/>
          <w:sz w:val="13"/>
          <w:szCs w:val="13"/>
          <w:i w:val="1"/>
          <w:iCs w:val="1"/>
          <w:u w:val="single" w:color="auto"/>
          <w:color w:val="auto"/>
        </w:rPr>
        <w:t>Impairment of real estate</w:t>
      </w:r>
    </w:p>
    <w:p>
      <w:pPr>
        <w:spacing w:after="0" w:line="160" w:lineRule="exact"/>
        <w:rPr>
          <w:sz w:val="20"/>
          <w:szCs w:val="20"/>
          <w:color w:val="auto"/>
        </w:rPr>
      </w:pPr>
    </w:p>
    <w:p>
      <w:pPr>
        <w:ind w:left="640" w:right="719" w:firstLine="516"/>
        <w:spacing w:after="0" w:line="252" w:lineRule="auto"/>
        <w:rPr>
          <w:sz w:val="20"/>
          <w:szCs w:val="20"/>
          <w:color w:val="auto"/>
        </w:rPr>
      </w:pPr>
      <w:r>
        <w:rPr>
          <w:rFonts w:ascii="Arial" w:cs="Arial" w:eastAsia="Arial" w:hAnsi="Arial"/>
          <w:sz w:val="13"/>
          <w:szCs w:val="13"/>
          <w:color w:val="auto"/>
        </w:rPr>
        <w:t>In 2020 and 2022, we executed purchase agreements for two potential acquisitions in our Greater Boston market, which aggregated 1.4 million of future development RSF. The total purchase price aggregated $366.8 million, and we initially expected to close these acquisitions after 2024. Our intent for each site included the demolition of existing buildings upon expiration of the existing in-place leases and the development of life science properties. During the three months ended June 30, 2024, we decided to no longer proceed with these acquisitions as a result of the current macroeconomic environment that negatively impacted the financial outlooks for these projects. As a result, we recognized impairment charges aggregating $30.8 million, primarily consisting of the pre-acquisition costs related to these potential acquisitions.</w:t>
      </w:r>
    </w:p>
    <w:p>
      <w:pPr>
        <w:sectPr>
          <w:pgSz w:w="11900" w:h="16838" w:orient="portrait"/>
          <w:cols w:equalWidth="0" w:num="1">
            <w:col w:w="9019"/>
          </w:cols>
          <w:pgMar w:left="1440" w:top="185" w:right="1440" w:bottom="0" w:gutter="0" w:footer="0" w:header="0"/>
        </w:sectPr>
      </w:pPr>
    </w:p>
    <w:bookmarkStart w:id="50" w:name="page51"/>
    <w:bookmarkEnd w:id="50"/>
    <w:p>
      <w:pPr>
        <w:ind w:left="640" w:right="719" w:firstLine="516"/>
        <w:spacing w:after="0" w:line="265"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982345</wp:posOffset>
            </wp:positionH>
            <wp:positionV relativeFrom="page">
              <wp:posOffset>88900</wp:posOffset>
            </wp:positionV>
            <wp:extent cx="5584190" cy="195326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584190" cy="1953260"/>
                    </a:xfrm>
                    <a:prstGeom prst="rect">
                      <a:avLst/>
                    </a:prstGeom>
                    <a:noFill/>
                  </pic:spPr>
                </pic:pic>
              </a:graphicData>
            </a:graphic>
          </wp:anchor>
        </w:drawing>
        <w:t>During the three months ended June 30, 2023, we recognized real estate impairment charges aggregating $168.6 million, primarily to reduce the carrying amount of a three-building office campus in our Route 128 submarket to its current fair value less costs to sell.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188595</wp:posOffset>
            </wp:positionV>
            <wp:extent cx="5584190" cy="722058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640"/>
        <w:spacing w:after="0"/>
        <w:rPr>
          <w:sz w:val="20"/>
          <w:szCs w:val="20"/>
          <w:color w:val="auto"/>
        </w:rPr>
      </w:pPr>
      <w:r>
        <w:rPr>
          <w:rFonts w:ascii="Arial" w:cs="Arial" w:eastAsia="Arial" w:hAnsi="Arial"/>
          <w:sz w:val="13"/>
          <w:szCs w:val="13"/>
          <w:i w:val="1"/>
          <w:iCs w:val="1"/>
          <w:u w:val="single" w:color="auto"/>
          <w:color w:val="auto"/>
        </w:rPr>
        <w:t>Investment loss</w:t>
      </w:r>
    </w:p>
    <w:p>
      <w:pPr>
        <w:spacing w:after="0" w:line="160" w:lineRule="exact"/>
        <w:rPr>
          <w:sz w:val="20"/>
          <w:szCs w:val="20"/>
          <w:color w:val="auto"/>
        </w:rPr>
      </w:pPr>
    </w:p>
    <w:p>
      <w:pPr>
        <w:ind w:left="640" w:right="679" w:firstLine="516"/>
        <w:spacing w:after="0" w:line="254" w:lineRule="auto"/>
        <w:rPr>
          <w:sz w:val="20"/>
          <w:szCs w:val="20"/>
          <w:color w:val="auto"/>
        </w:rPr>
      </w:pPr>
      <w:r>
        <w:rPr>
          <w:rFonts w:ascii="Arial" w:cs="Arial" w:eastAsia="Arial" w:hAnsi="Arial"/>
          <w:sz w:val="13"/>
          <w:szCs w:val="13"/>
          <w:color w:val="auto"/>
        </w:rPr>
        <w:t>During the three months ended June 30, 2024, we recognized investment loss aggregating $43.7 million. This loss consisted of unrealized losses of $20.2 million primarily resulting from the decrease in fair values of our investments in publicly traded entities and a $44.1 million resulting from reclassifications of unrealized gains recognized in prior periods into realized gains upon the sales of investments during the three months ended June 30, 2024. The investment loss also included realized gains of $33.4 million, partially offset by impairment charges of $12.8 million primarily related to two non-real estate investments in privately held entities that do not report NAV.</w:t>
      </w:r>
    </w:p>
    <w:p>
      <w:pPr>
        <w:spacing w:after="0" w:line="135" w:lineRule="exact"/>
        <w:rPr>
          <w:sz w:val="20"/>
          <w:szCs w:val="20"/>
          <w:color w:val="auto"/>
        </w:rPr>
      </w:pPr>
    </w:p>
    <w:p>
      <w:pPr>
        <w:ind w:left="640" w:right="779" w:firstLine="516"/>
        <w:spacing w:after="0" w:line="272" w:lineRule="auto"/>
        <w:rPr>
          <w:sz w:val="20"/>
          <w:szCs w:val="20"/>
          <w:color w:val="auto"/>
        </w:rPr>
      </w:pPr>
      <w:r>
        <w:rPr>
          <w:rFonts w:ascii="Arial" w:cs="Arial" w:eastAsia="Arial" w:hAnsi="Arial"/>
          <w:sz w:val="13"/>
          <w:szCs w:val="13"/>
          <w:color w:val="auto"/>
        </w:rPr>
        <w:t>During the three months ended June 30, 2023, we recognized an investment loss aggregating $78.3 million, which consisted of $77.9 million of unrealized losses and $371 thousand of realized losses.</w:t>
      </w:r>
    </w:p>
    <w:p>
      <w:pPr>
        <w:spacing w:after="0" w:line="123" w:lineRule="exact"/>
        <w:rPr>
          <w:sz w:val="20"/>
          <w:szCs w:val="20"/>
          <w:color w:val="auto"/>
        </w:rPr>
      </w:pPr>
    </w:p>
    <w:p>
      <w:pPr>
        <w:ind w:left="640" w:right="639" w:firstLine="516"/>
        <w:spacing w:after="0" w:line="265" w:lineRule="auto"/>
        <w:rPr>
          <w:sz w:val="20"/>
          <w:szCs w:val="20"/>
          <w:color w:val="auto"/>
        </w:rPr>
      </w:pPr>
      <w:r>
        <w:rPr>
          <w:rFonts w:ascii="Arial" w:cs="Arial" w:eastAsia="Arial" w:hAnsi="Arial"/>
          <w:sz w:val="13"/>
          <w:szCs w:val="13"/>
          <w:color w:val="auto"/>
        </w:rPr>
        <w:t>For more information about our investments, refer to Note 7 – “Investments” to our unaudited consolidated financial statements in Item 1. For our impairments accounting policy, refer to “Investments” in Note 2 – “Summary of significant accounting policies” to our unaudited consolidated financial statements in Item 1.</w:t>
      </w:r>
    </w:p>
    <w:p>
      <w:pPr>
        <w:spacing w:after="0" w:line="119" w:lineRule="exact"/>
        <w:rPr>
          <w:sz w:val="20"/>
          <w:szCs w:val="20"/>
          <w:color w:val="auto"/>
        </w:rPr>
      </w:pPr>
    </w:p>
    <w:p>
      <w:pPr>
        <w:ind w:left="640"/>
        <w:spacing w:after="0"/>
        <w:rPr>
          <w:sz w:val="20"/>
          <w:szCs w:val="20"/>
          <w:color w:val="auto"/>
        </w:rPr>
      </w:pPr>
      <w:r>
        <w:rPr>
          <w:rFonts w:ascii="Arial" w:cs="Arial" w:eastAsia="Arial" w:hAnsi="Arial"/>
          <w:sz w:val="13"/>
          <w:szCs w:val="13"/>
          <w:i w:val="1"/>
          <w:iCs w:val="1"/>
          <w:u w:val="single" w:color="auto"/>
          <w:color w:val="auto"/>
        </w:rPr>
        <w:t>Gain on sales of real estate</w:t>
      </w:r>
    </w:p>
    <w:p>
      <w:pPr>
        <w:spacing w:after="0" w:line="160" w:lineRule="exact"/>
        <w:rPr>
          <w:sz w:val="20"/>
          <w:szCs w:val="20"/>
          <w:color w:val="auto"/>
        </w:rPr>
      </w:pPr>
    </w:p>
    <w:p>
      <w:pPr>
        <w:ind w:left="640" w:right="899" w:firstLine="516"/>
        <w:spacing w:after="0" w:line="265" w:lineRule="auto"/>
        <w:rPr>
          <w:sz w:val="20"/>
          <w:szCs w:val="20"/>
          <w:color w:val="auto"/>
        </w:rPr>
      </w:pPr>
      <w:r>
        <w:rPr>
          <w:rFonts w:ascii="Arial" w:cs="Arial" w:eastAsia="Arial" w:hAnsi="Arial"/>
          <w:sz w:val="13"/>
          <w:szCs w:val="13"/>
          <w:color w:val="auto"/>
        </w:rPr>
        <w:t>During the three months ended June 30, 2023, we recognized $214.8 million of gains related to the completion of six real estate dispositions. The gains were classified in gain on sales of real estate within our consolidated statements of operations for the three months ended June 30, 2023.</w:t>
      </w:r>
    </w:p>
    <w:p>
      <w:pPr>
        <w:spacing w:after="0" w:line="130" w:lineRule="exact"/>
        <w:rPr>
          <w:sz w:val="20"/>
          <w:szCs w:val="20"/>
          <w:color w:val="auto"/>
        </w:rPr>
      </w:pPr>
    </w:p>
    <w:p>
      <w:pPr>
        <w:ind w:left="640"/>
        <w:spacing w:after="0"/>
        <w:rPr>
          <w:sz w:val="20"/>
          <w:szCs w:val="20"/>
          <w:color w:val="auto"/>
        </w:rPr>
      </w:pPr>
      <w:r>
        <w:rPr>
          <w:rFonts w:ascii="Arial" w:cs="Arial" w:eastAsia="Arial" w:hAnsi="Arial"/>
          <w:sz w:val="13"/>
          <w:szCs w:val="13"/>
          <w:i w:val="1"/>
          <w:iCs w:val="1"/>
          <w:u w:val="single" w:color="auto"/>
          <w:color w:val="auto"/>
        </w:rPr>
        <w:t>Other comprehensive loss</w:t>
      </w:r>
    </w:p>
    <w:p>
      <w:pPr>
        <w:spacing w:after="0" w:line="160" w:lineRule="exact"/>
        <w:rPr>
          <w:sz w:val="20"/>
          <w:szCs w:val="20"/>
          <w:color w:val="auto"/>
        </w:rPr>
      </w:pPr>
    </w:p>
    <w:p>
      <w:pPr>
        <w:ind w:left="640" w:right="759" w:firstLine="516"/>
        <w:spacing w:after="0" w:line="256" w:lineRule="auto"/>
        <w:rPr>
          <w:sz w:val="20"/>
          <w:szCs w:val="20"/>
          <w:color w:val="auto"/>
        </w:rPr>
      </w:pPr>
      <w:r>
        <w:rPr>
          <w:rFonts w:ascii="Arial" w:cs="Arial" w:eastAsia="Arial" w:hAnsi="Arial"/>
          <w:sz w:val="13"/>
          <w:szCs w:val="13"/>
          <w:color w:val="auto"/>
        </w:rPr>
        <w:t>Total other comprehensive loss for the three months ended June 30, 2024 decreased by $7.8 million to aggregate net unrealized losses of $3.9 million, compared to net unrealized gains of $3.9 million for the three months ended June 30, 2023, primarily in connection with the foreign currency translation related to our operations in Canada.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188595</wp:posOffset>
            </wp:positionV>
            <wp:extent cx="5584190" cy="121666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584190" cy="1216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640"/>
        <w:spacing w:after="0"/>
        <w:rPr>
          <w:sz w:val="20"/>
          <w:szCs w:val="20"/>
          <w:color w:val="auto"/>
        </w:rPr>
      </w:pPr>
      <w:r>
        <w:rPr>
          <w:rFonts w:ascii="Arial" w:cs="Arial" w:eastAsia="Arial" w:hAnsi="Arial"/>
          <w:sz w:val="13"/>
          <w:szCs w:val="13"/>
          <w:u w:val="single" w:color="auto"/>
          <w:color w:val="auto"/>
        </w:rPr>
        <w:t>Comparison of results for the six months ended June 30, 2024 to the six months ended June 30, 2023</w:t>
      </w:r>
    </w:p>
    <w:p>
      <w:pPr>
        <w:spacing w:after="0" w:line="162" w:lineRule="exact"/>
        <w:rPr>
          <w:sz w:val="20"/>
          <w:szCs w:val="20"/>
          <w:color w:val="auto"/>
        </w:rPr>
      </w:pPr>
    </w:p>
    <w:p>
      <w:pPr>
        <w:ind w:left="640" w:right="659" w:firstLine="516"/>
        <w:spacing w:after="0" w:line="253" w:lineRule="auto"/>
        <w:rPr>
          <w:sz w:val="20"/>
          <w:szCs w:val="20"/>
          <w:color w:val="auto"/>
        </w:rPr>
      </w:pPr>
      <w:r>
        <w:rPr>
          <w:rFonts w:ascii="Arial" w:cs="Arial" w:eastAsia="Arial" w:hAnsi="Arial"/>
          <w:sz w:val="13"/>
          <w:szCs w:val="13"/>
          <w:color w:val="auto"/>
        </w:rPr>
        <w:t>The following table presents a comparison of the components of net operating income for our Same Properties and Non-Same Properties for the six months ended June 30, 2024, compared to the six months ended June 30, 2023 (dollars in thousands). Refer to “Definitions and reconciliations” in Item 2 for definitions of “Tenant recoveries” and “Net operating income” and their reconciliations from the most directly comparable financial measures presented in accordance with GAAP, income from rentals and net income, respectively.</w:t>
      </w:r>
    </w:p>
    <w:p>
      <w:pPr>
        <w:sectPr>
          <w:pgSz w:w="11900" w:h="16838" w:orient="portrait"/>
          <w:cols w:equalWidth="0" w:num="1">
            <w:col w:w="9019"/>
          </w:cols>
          <w:pgMar w:left="1440" w:top="161" w:right="1440" w:bottom="0" w:gutter="0" w:footer="0" w:header="0"/>
        </w:sectPr>
      </w:pPr>
    </w:p>
    <w:bookmarkStart w:id="51" w:name="page52"/>
    <w:bookmarkEnd w:id="51"/>
    <w:tbl>
      <w:tblPr>
        <w:tblLayout w:type="fixed"/>
        <w:tblInd w:w="640" w:type="dxa"/>
        <w:tblCellMar>
          <w:top w:w="0" w:type="dxa"/>
          <w:left w:w="0" w:type="dxa"/>
          <w:bottom w:w="0" w:type="dxa"/>
          <w:right w:w="0" w:type="dxa"/>
        </w:tblCellMar>
      </w:tblPr>
      <w:tr>
        <w:trPr>
          <w:trHeight w:val="169"/>
        </w:trPr>
        <w:tc>
          <w:tcPr>
            <w:tcW w:w="3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920" w:type="dxa"/>
            <w:vAlign w:val="bottom"/>
            <w:gridSpan w:val="6"/>
          </w:tcPr>
          <w:p>
            <w:pPr>
              <w:ind w:left="100"/>
              <w:spacing w:after="0"/>
              <w:rPr>
                <w:sz w:val="20"/>
                <w:szCs w:val="20"/>
                <w:color w:val="auto"/>
              </w:rPr>
            </w:pPr>
            <w:r>
              <w:rPr>
                <w:rFonts w:ascii="Arial" w:cs="Arial" w:eastAsia="Arial" w:hAnsi="Arial"/>
                <w:sz w:val="13"/>
                <w:szCs w:val="13"/>
                <w:color w:val="auto"/>
              </w:rPr>
              <w:t>Six Months Ended June 30,</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7"/>
        </w:trPr>
        <w:tc>
          <w:tcPr>
            <w:tcW w:w="386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gridSpan w:val="2"/>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9"/>
        </w:trPr>
        <w:tc>
          <w:tcPr>
            <w:tcW w:w="3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ind w:right="256"/>
              <w:spacing w:after="0"/>
              <w:rPr>
                <w:sz w:val="20"/>
                <w:szCs w:val="20"/>
                <w:color w:val="auto"/>
              </w:rPr>
            </w:pPr>
            <w:r>
              <w:rPr>
                <w:rFonts w:ascii="Arial" w:cs="Arial" w:eastAsia="Arial" w:hAnsi="Arial"/>
                <w:sz w:val="13"/>
                <w:szCs w:val="13"/>
                <w:color w:val="auto"/>
              </w:rPr>
              <w:t>2024</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jc w:val="right"/>
              <w:ind w:right="276"/>
              <w:spacing w:after="0"/>
              <w:rPr>
                <w:sz w:val="20"/>
                <w:szCs w:val="20"/>
                <w:color w:val="auto"/>
              </w:rPr>
            </w:pPr>
            <w:r>
              <w:rPr>
                <w:rFonts w:ascii="Arial" w:cs="Arial" w:eastAsia="Arial" w:hAnsi="Arial"/>
                <w:sz w:val="13"/>
                <w:szCs w:val="13"/>
                <w:color w:val="auto"/>
              </w:rPr>
              <w:t>2023</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ind w:left="20"/>
              <w:spacing w:after="0"/>
              <w:rPr>
                <w:sz w:val="20"/>
                <w:szCs w:val="20"/>
                <w:color w:val="auto"/>
              </w:rPr>
            </w:pPr>
            <w:r>
              <w:rPr>
                <w:rFonts w:ascii="Arial" w:cs="Arial" w:eastAsia="Arial" w:hAnsi="Arial"/>
                <w:sz w:val="13"/>
                <w:szCs w:val="13"/>
                <w:color w:val="auto"/>
              </w:rPr>
              <w:t>$ Change</w:t>
            </w:r>
          </w:p>
        </w:tc>
        <w:tc>
          <w:tcPr>
            <w:tcW w:w="860" w:type="dxa"/>
            <w:vAlign w:val="bottom"/>
          </w:tcPr>
          <w:p>
            <w:pPr>
              <w:jc w:val="right"/>
              <w:ind w:right="56"/>
              <w:spacing w:after="0"/>
              <w:rPr>
                <w:sz w:val="20"/>
                <w:szCs w:val="20"/>
                <w:color w:val="auto"/>
              </w:rPr>
            </w:pPr>
            <w:r>
              <w:rPr>
                <w:rFonts w:ascii="Arial" w:cs="Arial" w:eastAsia="Arial" w:hAnsi="Arial"/>
                <w:sz w:val="13"/>
                <w:szCs w:val="13"/>
                <w:color w:val="auto"/>
              </w:rPr>
              <w:t>% Change</w:t>
            </w:r>
          </w:p>
        </w:tc>
        <w:tc>
          <w:tcPr>
            <w:tcW w:w="0" w:type="dxa"/>
            <w:vAlign w:val="bottom"/>
          </w:tcPr>
          <w:p>
            <w:pPr>
              <w:spacing w:after="0"/>
              <w:rPr>
                <w:sz w:val="1"/>
                <w:szCs w:val="1"/>
                <w:color w:val="auto"/>
              </w:rPr>
            </w:pPr>
          </w:p>
        </w:tc>
      </w:tr>
      <w:tr>
        <w:trPr>
          <w:trHeight w:val="35"/>
        </w:trPr>
        <w:tc>
          <w:tcPr>
            <w:tcW w:w="386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Income from rentals:</w:t>
            </w:r>
          </w:p>
        </w:tc>
        <w:tc>
          <w:tcPr>
            <w:tcW w:w="2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860" w:type="dxa"/>
            <w:vAlign w:val="bottom"/>
          </w:tcPr>
          <w:p>
            <w:pPr>
              <w:ind w:left="200"/>
              <w:spacing w:after="0"/>
              <w:rPr>
                <w:sz w:val="20"/>
                <w:szCs w:val="20"/>
                <w:color w:val="auto"/>
              </w:rPr>
            </w:pPr>
            <w:r>
              <w:rPr>
                <w:rFonts w:ascii="Arial" w:cs="Arial" w:eastAsia="Arial" w:hAnsi="Arial"/>
                <w:sz w:val="13"/>
                <w:szCs w:val="13"/>
                <w:color w:val="auto"/>
              </w:rPr>
              <w:t>Same Properties</w:t>
            </w:r>
          </w:p>
        </w:tc>
        <w:tc>
          <w:tcPr>
            <w:tcW w:w="22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910,423</w:t>
            </w:r>
          </w:p>
        </w:tc>
        <w:tc>
          <w:tcPr>
            <w:tcW w:w="60" w:type="dxa"/>
            <w:vAlign w:val="bottom"/>
          </w:tcPr>
          <w:p>
            <w:pPr>
              <w:spacing w:after="0"/>
              <w:rPr>
                <w:sz w:val="14"/>
                <w:szCs w:val="14"/>
                <w:color w:val="auto"/>
              </w:rPr>
            </w:pPr>
          </w:p>
        </w:tc>
        <w:tc>
          <w:tcPr>
            <w:tcW w:w="22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893,008</w:t>
            </w:r>
          </w:p>
        </w:tc>
        <w:tc>
          <w:tcPr>
            <w:tcW w:w="6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17,415</w:t>
            </w:r>
          </w:p>
        </w:tc>
        <w:tc>
          <w:tcPr>
            <w:tcW w:w="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2.0%</w:t>
            </w:r>
          </w:p>
        </w:tc>
        <w:tc>
          <w:tcPr>
            <w:tcW w:w="0" w:type="dxa"/>
            <w:vAlign w:val="bottom"/>
          </w:tcPr>
          <w:p>
            <w:pPr>
              <w:spacing w:after="0"/>
              <w:rPr>
                <w:sz w:val="1"/>
                <w:szCs w:val="1"/>
                <w:color w:val="auto"/>
              </w:rPr>
            </w:pPr>
          </w:p>
        </w:tc>
      </w:tr>
      <w:tr>
        <w:trPr>
          <w:trHeight w:val="46"/>
        </w:trPr>
        <w:tc>
          <w:tcPr>
            <w:tcW w:w="3860" w:type="dxa"/>
            <w:vAlign w:val="bottom"/>
          </w:tcPr>
          <w:p>
            <w:pPr>
              <w:spacing w:after="0"/>
              <w:rPr>
                <w:sz w:val="4"/>
                <w:szCs w:val="4"/>
                <w:color w:val="auto"/>
              </w:rPr>
            </w:pPr>
          </w:p>
        </w:tc>
        <w:tc>
          <w:tcPr>
            <w:tcW w:w="22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4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5"/>
        </w:trPr>
        <w:tc>
          <w:tcPr>
            <w:tcW w:w="38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3"/>
                <w:szCs w:val="13"/>
                <w:color w:val="auto"/>
              </w:rPr>
              <w:t>Non-Same Properties</w:t>
            </w:r>
          </w:p>
        </w:tc>
        <w:tc>
          <w:tcPr>
            <w:tcW w:w="2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247,812</w:t>
            </w:r>
          </w:p>
        </w:tc>
        <w:tc>
          <w:tcPr>
            <w:tcW w:w="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163,183</w:t>
            </w: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84,629</w:t>
            </w:r>
          </w:p>
        </w:tc>
        <w:tc>
          <w:tcPr>
            <w:tcW w:w="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3"/>
                <w:szCs w:val="13"/>
                <w:color w:val="auto"/>
              </w:rPr>
              <w:t>51.9</w:t>
            </w:r>
          </w:p>
        </w:tc>
        <w:tc>
          <w:tcPr>
            <w:tcW w:w="0" w:type="dxa"/>
            <w:vAlign w:val="bottom"/>
          </w:tcPr>
          <w:p>
            <w:pPr>
              <w:spacing w:after="0"/>
              <w:rPr>
                <w:sz w:val="1"/>
                <w:szCs w:val="1"/>
                <w:color w:val="auto"/>
              </w:rPr>
            </w:pPr>
          </w:p>
        </w:tc>
      </w:tr>
      <w:tr>
        <w:trPr>
          <w:trHeight w:val="159"/>
        </w:trPr>
        <w:tc>
          <w:tcPr>
            <w:tcW w:w="3860" w:type="dxa"/>
            <w:vAlign w:val="bottom"/>
          </w:tcPr>
          <w:p>
            <w:pPr>
              <w:ind w:left="380"/>
              <w:spacing w:after="0"/>
              <w:rPr>
                <w:sz w:val="20"/>
                <w:szCs w:val="20"/>
                <w:color w:val="auto"/>
              </w:rPr>
            </w:pPr>
            <w:r>
              <w:rPr>
                <w:rFonts w:ascii="Arial" w:cs="Arial" w:eastAsia="Arial" w:hAnsi="Arial"/>
                <w:sz w:val="13"/>
                <w:szCs w:val="13"/>
                <w:color w:val="auto"/>
              </w:rPr>
              <w:t>Rental revenues</w:t>
            </w:r>
          </w:p>
        </w:tc>
        <w:tc>
          <w:tcPr>
            <w:tcW w:w="2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1,158,235</w:t>
            </w:r>
          </w:p>
        </w:tc>
        <w:tc>
          <w:tcPr>
            <w:tcW w:w="6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1,056,191</w:t>
            </w:r>
          </w:p>
        </w:tc>
        <w:tc>
          <w:tcPr>
            <w:tcW w:w="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102,044</w:t>
            </w:r>
          </w:p>
        </w:tc>
        <w:tc>
          <w:tcPr>
            <w:tcW w:w="40" w:type="dxa"/>
            <w:vAlign w:val="bottom"/>
          </w:tcPr>
          <w:p>
            <w:pPr>
              <w:spacing w:after="0"/>
              <w:rPr>
                <w:sz w:val="13"/>
                <w:szCs w:val="13"/>
                <w:color w:val="auto"/>
              </w:rPr>
            </w:pPr>
          </w:p>
        </w:tc>
        <w:tc>
          <w:tcPr>
            <w:tcW w:w="860" w:type="dxa"/>
            <w:vAlign w:val="bottom"/>
            <w:tcBorders>
              <w:top w:val="single" w:sz="8" w:color="auto"/>
            </w:tcBorders>
          </w:tcPr>
          <w:p>
            <w:pPr>
              <w:jc w:val="right"/>
              <w:ind w:right="96"/>
              <w:spacing w:after="0"/>
              <w:rPr>
                <w:sz w:val="20"/>
                <w:szCs w:val="20"/>
                <w:color w:val="auto"/>
              </w:rPr>
            </w:pPr>
            <w:r>
              <w:rPr>
                <w:rFonts w:ascii="Arial" w:cs="Arial" w:eastAsia="Arial" w:hAnsi="Arial"/>
                <w:sz w:val="13"/>
                <w:szCs w:val="13"/>
                <w:color w:val="auto"/>
              </w:rPr>
              <w:t>9.7</w:t>
            </w:r>
          </w:p>
        </w:tc>
        <w:tc>
          <w:tcPr>
            <w:tcW w:w="0" w:type="dxa"/>
            <w:vAlign w:val="bottom"/>
          </w:tcPr>
          <w:p>
            <w:pPr>
              <w:spacing w:after="0"/>
              <w:rPr>
                <w:sz w:val="1"/>
                <w:szCs w:val="1"/>
                <w:color w:val="auto"/>
              </w:rPr>
            </w:pPr>
          </w:p>
        </w:tc>
      </w:tr>
      <w:tr>
        <w:trPr>
          <w:trHeight w:val="89"/>
        </w:trPr>
        <w:tc>
          <w:tcPr>
            <w:tcW w:w="3860" w:type="dxa"/>
            <w:vAlign w:val="bottom"/>
          </w:tcPr>
          <w:p>
            <w:pPr>
              <w:spacing w:after="0"/>
              <w:rPr>
                <w:sz w:val="7"/>
                <w:szCs w:val="7"/>
                <w:color w:val="auto"/>
              </w:rPr>
            </w:pPr>
          </w:p>
        </w:tc>
        <w:tc>
          <w:tcPr>
            <w:tcW w:w="22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40" w:type="dxa"/>
            <w:vAlign w:val="bottom"/>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5"/>
        </w:trPr>
        <w:tc>
          <w:tcPr>
            <w:tcW w:w="38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3"/>
                <w:szCs w:val="13"/>
                <w:color w:val="auto"/>
              </w:rPr>
              <w:t>Same Properties</w:t>
            </w:r>
          </w:p>
        </w:tc>
        <w:tc>
          <w:tcPr>
            <w:tcW w:w="2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311,894</w:t>
            </w:r>
          </w:p>
        </w:tc>
        <w:tc>
          <w:tcPr>
            <w:tcW w:w="6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303,702</w:t>
            </w:r>
          </w:p>
        </w:tc>
        <w:tc>
          <w:tcPr>
            <w:tcW w:w="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8,192</w:t>
            </w:r>
          </w:p>
        </w:tc>
        <w:tc>
          <w:tcPr>
            <w:tcW w:w="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3"/>
                <w:szCs w:val="13"/>
                <w:color w:val="auto"/>
              </w:rPr>
              <w:t>2.7</w:t>
            </w:r>
          </w:p>
        </w:tc>
        <w:tc>
          <w:tcPr>
            <w:tcW w:w="0" w:type="dxa"/>
            <w:vAlign w:val="bottom"/>
          </w:tcPr>
          <w:p>
            <w:pPr>
              <w:spacing w:after="0"/>
              <w:rPr>
                <w:sz w:val="1"/>
                <w:szCs w:val="1"/>
                <w:color w:val="auto"/>
              </w:rPr>
            </w:pPr>
          </w:p>
        </w:tc>
      </w:tr>
      <w:tr>
        <w:trPr>
          <w:trHeight w:val="169"/>
        </w:trPr>
        <w:tc>
          <w:tcPr>
            <w:tcW w:w="3860" w:type="dxa"/>
            <w:vAlign w:val="bottom"/>
          </w:tcPr>
          <w:p>
            <w:pPr>
              <w:ind w:left="200"/>
              <w:spacing w:after="0"/>
              <w:rPr>
                <w:sz w:val="20"/>
                <w:szCs w:val="20"/>
                <w:color w:val="auto"/>
              </w:rPr>
            </w:pPr>
            <w:r>
              <w:rPr>
                <w:rFonts w:ascii="Arial" w:cs="Arial" w:eastAsia="Arial" w:hAnsi="Arial"/>
                <w:sz w:val="13"/>
                <w:szCs w:val="13"/>
                <w:color w:val="auto"/>
              </w:rPr>
              <w:t>Non-Same Properties</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40,584</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32,395</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8,189</w:t>
            </w:r>
          </w:p>
        </w:tc>
        <w:tc>
          <w:tcPr>
            <w:tcW w:w="40" w:type="dxa"/>
            <w:vAlign w:val="bottom"/>
          </w:tcPr>
          <w:p>
            <w:pPr>
              <w:spacing w:after="0"/>
              <w:rPr>
                <w:sz w:val="14"/>
                <w:szCs w:val="14"/>
                <w:color w:val="auto"/>
              </w:rPr>
            </w:pPr>
          </w:p>
        </w:tc>
        <w:tc>
          <w:tcPr>
            <w:tcW w:w="860" w:type="dxa"/>
            <w:vAlign w:val="bottom"/>
          </w:tcPr>
          <w:p>
            <w:pPr>
              <w:jc w:val="right"/>
              <w:ind w:right="96"/>
              <w:spacing w:after="0"/>
              <w:rPr>
                <w:sz w:val="20"/>
                <w:szCs w:val="20"/>
                <w:color w:val="auto"/>
              </w:rPr>
            </w:pPr>
            <w:r>
              <w:rPr>
                <w:rFonts w:ascii="Arial" w:cs="Arial" w:eastAsia="Arial" w:hAnsi="Arial"/>
                <w:sz w:val="13"/>
                <w:szCs w:val="13"/>
                <w:color w:val="auto"/>
              </w:rPr>
              <w:t>25.3</w:t>
            </w:r>
          </w:p>
        </w:tc>
        <w:tc>
          <w:tcPr>
            <w:tcW w:w="0" w:type="dxa"/>
            <w:vAlign w:val="bottom"/>
          </w:tcPr>
          <w:p>
            <w:pPr>
              <w:spacing w:after="0"/>
              <w:rPr>
                <w:sz w:val="1"/>
                <w:szCs w:val="1"/>
                <w:color w:val="auto"/>
              </w:rPr>
            </w:pPr>
          </w:p>
        </w:tc>
      </w:tr>
      <w:tr>
        <w:trPr>
          <w:trHeight w:val="46"/>
        </w:trPr>
        <w:tc>
          <w:tcPr>
            <w:tcW w:w="386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3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3"/>
                <w:szCs w:val="13"/>
                <w:color w:val="auto"/>
              </w:rPr>
              <w:t>Tenant recoveries</w:t>
            </w:r>
          </w:p>
        </w:tc>
        <w:tc>
          <w:tcPr>
            <w:tcW w:w="2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352,478</w:t>
            </w:r>
          </w:p>
        </w:tc>
        <w:tc>
          <w:tcPr>
            <w:tcW w:w="6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336,097</w:t>
            </w:r>
          </w:p>
        </w:tc>
        <w:tc>
          <w:tcPr>
            <w:tcW w:w="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16,381</w:t>
            </w:r>
          </w:p>
        </w:tc>
        <w:tc>
          <w:tcPr>
            <w:tcW w:w="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3"/>
                <w:szCs w:val="13"/>
                <w:color w:val="auto"/>
              </w:rPr>
              <w:t>4.9</w:t>
            </w:r>
          </w:p>
        </w:tc>
        <w:tc>
          <w:tcPr>
            <w:tcW w:w="0" w:type="dxa"/>
            <w:vAlign w:val="bottom"/>
          </w:tcPr>
          <w:p>
            <w:pPr>
              <w:spacing w:after="0"/>
              <w:rPr>
                <w:sz w:val="1"/>
                <w:szCs w:val="1"/>
                <w:color w:val="auto"/>
              </w:rPr>
            </w:pPr>
          </w:p>
        </w:tc>
      </w:tr>
      <w:tr>
        <w:trPr>
          <w:trHeight w:val="54"/>
        </w:trPr>
        <w:tc>
          <w:tcPr>
            <w:tcW w:w="3860" w:type="dxa"/>
            <w:vAlign w:val="bottom"/>
            <w:vMerge w:val="restart"/>
          </w:tcPr>
          <w:p>
            <w:pPr>
              <w:ind w:left="560"/>
              <w:spacing w:after="0"/>
              <w:rPr>
                <w:sz w:val="20"/>
                <w:szCs w:val="20"/>
                <w:color w:val="auto"/>
              </w:rPr>
            </w:pPr>
            <w:r>
              <w:rPr>
                <w:rFonts w:ascii="Arial" w:cs="Arial" w:eastAsia="Arial" w:hAnsi="Arial"/>
                <w:sz w:val="13"/>
                <w:szCs w:val="13"/>
                <w:color w:val="auto"/>
              </w:rPr>
              <w:t>Income from rentals</w:t>
            </w:r>
          </w:p>
        </w:tc>
        <w:tc>
          <w:tcPr>
            <w:tcW w:w="2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9"/>
        </w:trPr>
        <w:tc>
          <w:tcPr>
            <w:tcW w:w="386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1,510,713</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1,392,288</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ind w:right="16"/>
              <w:spacing w:after="0"/>
              <w:rPr>
                <w:sz w:val="20"/>
                <w:szCs w:val="20"/>
                <w:color w:val="auto"/>
              </w:rPr>
            </w:pPr>
            <w:r>
              <w:rPr>
                <w:rFonts w:ascii="Arial" w:cs="Arial" w:eastAsia="Arial" w:hAnsi="Arial"/>
                <w:sz w:val="13"/>
                <w:szCs w:val="13"/>
                <w:color w:val="auto"/>
              </w:rPr>
              <w:t>118,425</w:t>
            </w:r>
          </w:p>
        </w:tc>
        <w:tc>
          <w:tcPr>
            <w:tcW w:w="40" w:type="dxa"/>
            <w:vAlign w:val="bottom"/>
          </w:tcPr>
          <w:p>
            <w:pPr>
              <w:spacing w:after="0"/>
              <w:rPr>
                <w:sz w:val="13"/>
                <w:szCs w:val="13"/>
                <w:color w:val="auto"/>
              </w:rPr>
            </w:pPr>
          </w:p>
        </w:tc>
        <w:tc>
          <w:tcPr>
            <w:tcW w:w="860" w:type="dxa"/>
            <w:vAlign w:val="bottom"/>
          </w:tcPr>
          <w:p>
            <w:pPr>
              <w:jc w:val="right"/>
              <w:ind w:right="96"/>
              <w:spacing w:after="0"/>
              <w:rPr>
                <w:sz w:val="20"/>
                <w:szCs w:val="20"/>
                <w:color w:val="auto"/>
              </w:rPr>
            </w:pPr>
            <w:r>
              <w:rPr>
                <w:rFonts w:ascii="Arial" w:cs="Arial" w:eastAsia="Arial" w:hAnsi="Arial"/>
                <w:sz w:val="13"/>
                <w:szCs w:val="13"/>
                <w:color w:val="auto"/>
              </w:rPr>
              <w:t>8.5</w:t>
            </w:r>
          </w:p>
        </w:tc>
        <w:tc>
          <w:tcPr>
            <w:tcW w:w="0" w:type="dxa"/>
            <w:vAlign w:val="bottom"/>
          </w:tcPr>
          <w:p>
            <w:pPr>
              <w:spacing w:after="0"/>
              <w:rPr>
                <w:sz w:val="1"/>
                <w:szCs w:val="1"/>
                <w:color w:val="auto"/>
              </w:rPr>
            </w:pPr>
          </w:p>
        </w:tc>
      </w:tr>
      <w:tr>
        <w:trPr>
          <w:trHeight w:val="89"/>
        </w:trPr>
        <w:tc>
          <w:tcPr>
            <w:tcW w:w="3860" w:type="dxa"/>
            <w:vAlign w:val="bottom"/>
          </w:tcPr>
          <w:p>
            <w:pPr>
              <w:spacing w:after="0"/>
              <w:rPr>
                <w:sz w:val="7"/>
                <w:szCs w:val="7"/>
                <w:color w:val="auto"/>
              </w:rPr>
            </w:pPr>
          </w:p>
        </w:tc>
        <w:tc>
          <w:tcPr>
            <w:tcW w:w="22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40" w:type="dxa"/>
            <w:vAlign w:val="bottom"/>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5"/>
        </w:trPr>
        <w:tc>
          <w:tcPr>
            <w:tcW w:w="3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3"/>
                <w:szCs w:val="13"/>
                <w:color w:val="auto"/>
              </w:rPr>
              <w:t>Same Properties</w:t>
            </w:r>
          </w:p>
        </w:tc>
        <w:tc>
          <w:tcPr>
            <w:tcW w:w="2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715</w:t>
            </w:r>
          </w:p>
        </w:tc>
        <w:tc>
          <w:tcPr>
            <w:tcW w:w="6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737</w:t>
            </w:r>
          </w:p>
        </w:tc>
        <w:tc>
          <w:tcPr>
            <w:tcW w:w="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(22)</w:t>
            </w:r>
          </w:p>
        </w:tc>
        <w:tc>
          <w:tcPr>
            <w:tcW w:w="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(3.0)</w:t>
            </w:r>
          </w:p>
        </w:tc>
        <w:tc>
          <w:tcPr>
            <w:tcW w:w="0" w:type="dxa"/>
            <w:vAlign w:val="bottom"/>
          </w:tcPr>
          <w:p>
            <w:pPr>
              <w:spacing w:after="0"/>
              <w:rPr>
                <w:sz w:val="1"/>
                <w:szCs w:val="1"/>
                <w:color w:val="auto"/>
              </w:rPr>
            </w:pPr>
          </w:p>
        </w:tc>
      </w:tr>
      <w:tr>
        <w:trPr>
          <w:trHeight w:val="169"/>
        </w:trPr>
        <w:tc>
          <w:tcPr>
            <w:tcW w:w="3860" w:type="dxa"/>
            <w:vAlign w:val="bottom"/>
          </w:tcPr>
          <w:p>
            <w:pPr>
              <w:ind w:left="380"/>
              <w:spacing w:after="0"/>
              <w:rPr>
                <w:sz w:val="20"/>
                <w:szCs w:val="20"/>
                <w:color w:val="auto"/>
              </w:rPr>
            </w:pPr>
            <w:r>
              <w:rPr>
                <w:rFonts w:ascii="Arial" w:cs="Arial" w:eastAsia="Arial" w:hAnsi="Arial"/>
                <w:sz w:val="13"/>
                <w:szCs w:val="13"/>
                <w:color w:val="auto"/>
              </w:rPr>
              <w:t>Non-Same Properties</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24,414</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21,670</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2,744</w:t>
            </w:r>
          </w:p>
        </w:tc>
        <w:tc>
          <w:tcPr>
            <w:tcW w:w="40" w:type="dxa"/>
            <w:vAlign w:val="bottom"/>
          </w:tcPr>
          <w:p>
            <w:pPr>
              <w:spacing w:after="0"/>
              <w:rPr>
                <w:sz w:val="14"/>
                <w:szCs w:val="14"/>
                <w:color w:val="auto"/>
              </w:rPr>
            </w:pPr>
          </w:p>
        </w:tc>
        <w:tc>
          <w:tcPr>
            <w:tcW w:w="860" w:type="dxa"/>
            <w:vAlign w:val="bottom"/>
          </w:tcPr>
          <w:p>
            <w:pPr>
              <w:jc w:val="right"/>
              <w:ind w:right="96"/>
              <w:spacing w:after="0"/>
              <w:rPr>
                <w:sz w:val="20"/>
                <w:szCs w:val="20"/>
                <w:color w:val="auto"/>
              </w:rPr>
            </w:pPr>
            <w:r>
              <w:rPr>
                <w:rFonts w:ascii="Arial" w:cs="Arial" w:eastAsia="Arial" w:hAnsi="Arial"/>
                <w:sz w:val="13"/>
                <w:szCs w:val="13"/>
                <w:color w:val="auto"/>
              </w:rPr>
              <w:t>12.7</w:t>
            </w:r>
          </w:p>
        </w:tc>
        <w:tc>
          <w:tcPr>
            <w:tcW w:w="0" w:type="dxa"/>
            <w:vAlign w:val="bottom"/>
          </w:tcPr>
          <w:p>
            <w:pPr>
              <w:spacing w:after="0"/>
              <w:rPr>
                <w:sz w:val="1"/>
                <w:szCs w:val="1"/>
                <w:color w:val="auto"/>
              </w:rPr>
            </w:pPr>
          </w:p>
        </w:tc>
      </w:tr>
      <w:tr>
        <w:trPr>
          <w:trHeight w:val="46"/>
        </w:trPr>
        <w:tc>
          <w:tcPr>
            <w:tcW w:w="386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386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3"/>
                <w:szCs w:val="13"/>
                <w:color w:val="auto"/>
              </w:rPr>
              <w:t>Other income</w:t>
            </w:r>
          </w:p>
        </w:tc>
        <w:tc>
          <w:tcPr>
            <w:tcW w:w="2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25,129</w:t>
            </w:r>
          </w:p>
        </w:tc>
        <w:tc>
          <w:tcPr>
            <w:tcW w:w="6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22,407</w:t>
            </w:r>
          </w:p>
        </w:tc>
        <w:tc>
          <w:tcPr>
            <w:tcW w:w="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2,722</w:t>
            </w:r>
          </w:p>
        </w:tc>
        <w:tc>
          <w:tcPr>
            <w:tcW w:w="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3"/>
                <w:szCs w:val="13"/>
                <w:color w:val="auto"/>
              </w:rPr>
              <w:t>12.1</w:t>
            </w:r>
          </w:p>
        </w:tc>
        <w:tc>
          <w:tcPr>
            <w:tcW w:w="0" w:type="dxa"/>
            <w:vAlign w:val="bottom"/>
          </w:tcPr>
          <w:p>
            <w:pPr>
              <w:spacing w:after="0"/>
              <w:rPr>
                <w:sz w:val="1"/>
                <w:szCs w:val="1"/>
                <w:color w:val="auto"/>
              </w:rPr>
            </w:pPr>
          </w:p>
        </w:tc>
      </w:tr>
      <w:tr>
        <w:trPr>
          <w:trHeight w:val="233"/>
        </w:trPr>
        <w:tc>
          <w:tcPr>
            <w:tcW w:w="3860" w:type="dxa"/>
            <w:vAlign w:val="bottom"/>
          </w:tcPr>
          <w:p>
            <w:pPr>
              <w:ind w:left="720"/>
              <w:spacing w:after="0"/>
              <w:rPr>
                <w:sz w:val="20"/>
                <w:szCs w:val="20"/>
                <w:color w:val="auto"/>
              </w:rPr>
            </w:pPr>
            <w:r>
              <w:rPr>
                <w:rFonts w:ascii="Arial" w:cs="Arial" w:eastAsia="Arial" w:hAnsi="Arial"/>
                <w:sz w:val="13"/>
                <w:szCs w:val="13"/>
                <w:color w:val="auto"/>
              </w:rPr>
              <w:t>Same Properties</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1,223,032</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1,197,447</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25,585</w:t>
            </w:r>
          </w:p>
        </w:tc>
        <w:tc>
          <w:tcPr>
            <w:tcW w:w="40" w:type="dxa"/>
            <w:vAlign w:val="bottom"/>
          </w:tcPr>
          <w:p>
            <w:pPr>
              <w:spacing w:after="0"/>
              <w:rPr>
                <w:sz w:val="20"/>
                <w:szCs w:val="20"/>
                <w:color w:val="auto"/>
              </w:rPr>
            </w:pPr>
          </w:p>
        </w:tc>
        <w:tc>
          <w:tcPr>
            <w:tcW w:w="860" w:type="dxa"/>
            <w:vAlign w:val="bottom"/>
          </w:tcPr>
          <w:p>
            <w:pPr>
              <w:jc w:val="right"/>
              <w:ind w:right="96"/>
              <w:spacing w:after="0"/>
              <w:rPr>
                <w:sz w:val="20"/>
                <w:szCs w:val="20"/>
                <w:color w:val="auto"/>
              </w:rPr>
            </w:pPr>
            <w:r>
              <w:rPr>
                <w:rFonts w:ascii="Arial" w:cs="Arial" w:eastAsia="Arial" w:hAnsi="Arial"/>
                <w:sz w:val="13"/>
                <w:szCs w:val="13"/>
                <w:color w:val="auto"/>
              </w:rPr>
              <w:t>2.1</w:t>
            </w:r>
          </w:p>
        </w:tc>
        <w:tc>
          <w:tcPr>
            <w:tcW w:w="0" w:type="dxa"/>
            <w:vAlign w:val="bottom"/>
          </w:tcPr>
          <w:p>
            <w:pPr>
              <w:spacing w:after="0"/>
              <w:rPr>
                <w:sz w:val="1"/>
                <w:szCs w:val="1"/>
                <w:color w:val="auto"/>
              </w:rPr>
            </w:pPr>
          </w:p>
        </w:tc>
      </w:tr>
      <w:tr>
        <w:trPr>
          <w:trHeight w:val="57"/>
        </w:trPr>
        <w:tc>
          <w:tcPr>
            <w:tcW w:w="3860" w:type="dxa"/>
            <w:vAlign w:val="bottom"/>
          </w:tcPr>
          <w:p>
            <w:pPr>
              <w:spacing w:after="0"/>
              <w:rPr>
                <w:sz w:val="4"/>
                <w:szCs w:val="4"/>
                <w:color w:val="auto"/>
              </w:rPr>
            </w:pPr>
          </w:p>
        </w:tc>
        <w:tc>
          <w:tcPr>
            <w:tcW w:w="22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4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5"/>
        </w:trPr>
        <w:tc>
          <w:tcPr>
            <w:tcW w:w="38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3"/>
                <w:szCs w:val="13"/>
                <w:color w:val="auto"/>
              </w:rPr>
              <w:t>Non-Same Properties</w:t>
            </w:r>
          </w:p>
        </w:tc>
        <w:tc>
          <w:tcPr>
            <w:tcW w:w="2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312,810</w:t>
            </w:r>
          </w:p>
        </w:tc>
        <w:tc>
          <w:tcPr>
            <w:tcW w:w="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217,248</w:t>
            </w: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95,562</w:t>
            </w:r>
          </w:p>
        </w:tc>
        <w:tc>
          <w:tcPr>
            <w:tcW w:w="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3"/>
                <w:szCs w:val="13"/>
                <w:color w:val="auto"/>
              </w:rPr>
              <w:t>44.0</w:t>
            </w:r>
          </w:p>
        </w:tc>
        <w:tc>
          <w:tcPr>
            <w:tcW w:w="0" w:type="dxa"/>
            <w:vAlign w:val="bottom"/>
          </w:tcPr>
          <w:p>
            <w:pPr>
              <w:spacing w:after="0"/>
              <w:rPr>
                <w:sz w:val="1"/>
                <w:szCs w:val="1"/>
                <w:color w:val="auto"/>
              </w:rPr>
            </w:pPr>
          </w:p>
        </w:tc>
      </w:tr>
      <w:tr>
        <w:trPr>
          <w:trHeight w:val="159"/>
        </w:trPr>
        <w:tc>
          <w:tcPr>
            <w:tcW w:w="3860" w:type="dxa"/>
            <w:vAlign w:val="bottom"/>
          </w:tcPr>
          <w:p>
            <w:pPr>
              <w:ind w:left="900"/>
              <w:spacing w:after="0"/>
              <w:rPr>
                <w:sz w:val="20"/>
                <w:szCs w:val="20"/>
                <w:color w:val="auto"/>
              </w:rPr>
            </w:pPr>
            <w:r>
              <w:rPr>
                <w:rFonts w:ascii="Arial" w:cs="Arial" w:eastAsia="Arial" w:hAnsi="Arial"/>
                <w:sz w:val="13"/>
                <w:szCs w:val="13"/>
                <w:color w:val="auto"/>
              </w:rPr>
              <w:t>Total revenues</w:t>
            </w:r>
          </w:p>
        </w:tc>
        <w:tc>
          <w:tcPr>
            <w:tcW w:w="2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1,535,842</w:t>
            </w:r>
          </w:p>
        </w:tc>
        <w:tc>
          <w:tcPr>
            <w:tcW w:w="6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1,414,695</w:t>
            </w:r>
          </w:p>
        </w:tc>
        <w:tc>
          <w:tcPr>
            <w:tcW w:w="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121,147</w:t>
            </w:r>
          </w:p>
        </w:tc>
        <w:tc>
          <w:tcPr>
            <w:tcW w:w="40" w:type="dxa"/>
            <w:vAlign w:val="bottom"/>
          </w:tcPr>
          <w:p>
            <w:pPr>
              <w:spacing w:after="0"/>
              <w:rPr>
                <w:sz w:val="13"/>
                <w:szCs w:val="13"/>
                <w:color w:val="auto"/>
              </w:rPr>
            </w:pPr>
          </w:p>
        </w:tc>
        <w:tc>
          <w:tcPr>
            <w:tcW w:w="860" w:type="dxa"/>
            <w:vAlign w:val="bottom"/>
            <w:tcBorders>
              <w:top w:val="single" w:sz="8" w:color="auto"/>
            </w:tcBorders>
          </w:tcPr>
          <w:p>
            <w:pPr>
              <w:jc w:val="right"/>
              <w:ind w:right="96"/>
              <w:spacing w:after="0"/>
              <w:rPr>
                <w:sz w:val="20"/>
                <w:szCs w:val="20"/>
                <w:color w:val="auto"/>
              </w:rPr>
            </w:pPr>
            <w:r>
              <w:rPr>
                <w:rFonts w:ascii="Arial" w:cs="Arial" w:eastAsia="Arial" w:hAnsi="Arial"/>
                <w:sz w:val="13"/>
                <w:szCs w:val="13"/>
                <w:color w:val="auto"/>
              </w:rPr>
              <w:t>8.6</w:t>
            </w:r>
          </w:p>
        </w:tc>
        <w:tc>
          <w:tcPr>
            <w:tcW w:w="0" w:type="dxa"/>
            <w:vAlign w:val="bottom"/>
          </w:tcPr>
          <w:p>
            <w:pPr>
              <w:spacing w:after="0"/>
              <w:rPr>
                <w:sz w:val="1"/>
                <w:szCs w:val="1"/>
                <w:color w:val="auto"/>
              </w:rPr>
            </w:pPr>
          </w:p>
        </w:tc>
      </w:tr>
      <w:tr>
        <w:trPr>
          <w:trHeight w:val="89"/>
        </w:trPr>
        <w:tc>
          <w:tcPr>
            <w:tcW w:w="3860" w:type="dxa"/>
            <w:vAlign w:val="bottom"/>
          </w:tcPr>
          <w:p>
            <w:pPr>
              <w:spacing w:after="0"/>
              <w:rPr>
                <w:sz w:val="7"/>
                <w:szCs w:val="7"/>
                <w:color w:val="auto"/>
              </w:rPr>
            </w:pPr>
          </w:p>
        </w:tc>
        <w:tc>
          <w:tcPr>
            <w:tcW w:w="22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40" w:type="dxa"/>
            <w:vAlign w:val="bottom"/>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5"/>
        </w:trPr>
        <w:tc>
          <w:tcPr>
            <w:tcW w:w="38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3"/>
                <w:szCs w:val="13"/>
                <w:color w:val="auto"/>
              </w:rPr>
              <w:t>Same Properties</w:t>
            </w:r>
          </w:p>
        </w:tc>
        <w:tc>
          <w:tcPr>
            <w:tcW w:w="2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366,985</w:t>
            </w:r>
          </w:p>
        </w:tc>
        <w:tc>
          <w:tcPr>
            <w:tcW w:w="6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350,672</w:t>
            </w:r>
          </w:p>
        </w:tc>
        <w:tc>
          <w:tcPr>
            <w:tcW w:w="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16,313</w:t>
            </w:r>
          </w:p>
        </w:tc>
        <w:tc>
          <w:tcPr>
            <w:tcW w:w="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3"/>
                <w:szCs w:val="13"/>
                <w:color w:val="auto"/>
              </w:rPr>
              <w:t>4.7</w:t>
            </w:r>
          </w:p>
        </w:tc>
        <w:tc>
          <w:tcPr>
            <w:tcW w:w="0" w:type="dxa"/>
            <w:vAlign w:val="bottom"/>
          </w:tcPr>
          <w:p>
            <w:pPr>
              <w:spacing w:after="0"/>
              <w:rPr>
                <w:sz w:val="1"/>
                <w:szCs w:val="1"/>
                <w:color w:val="auto"/>
              </w:rPr>
            </w:pPr>
          </w:p>
        </w:tc>
      </w:tr>
      <w:tr>
        <w:trPr>
          <w:trHeight w:val="169"/>
        </w:trPr>
        <w:tc>
          <w:tcPr>
            <w:tcW w:w="3860" w:type="dxa"/>
            <w:vAlign w:val="bottom"/>
          </w:tcPr>
          <w:p>
            <w:pPr>
              <w:ind w:left="720"/>
              <w:spacing w:after="0"/>
              <w:rPr>
                <w:sz w:val="20"/>
                <w:szCs w:val="20"/>
                <w:color w:val="auto"/>
              </w:rPr>
            </w:pPr>
            <w:r>
              <w:rPr>
                <w:rFonts w:ascii="Arial" w:cs="Arial" w:eastAsia="Arial" w:hAnsi="Arial"/>
                <w:sz w:val="13"/>
                <w:szCs w:val="13"/>
                <w:color w:val="auto"/>
              </w:rPr>
              <w:t>Non-Same Properties</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68,583</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68,095</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488</w:t>
            </w:r>
          </w:p>
        </w:tc>
        <w:tc>
          <w:tcPr>
            <w:tcW w:w="40" w:type="dxa"/>
            <w:vAlign w:val="bottom"/>
          </w:tcPr>
          <w:p>
            <w:pPr>
              <w:spacing w:after="0"/>
              <w:rPr>
                <w:sz w:val="14"/>
                <w:szCs w:val="14"/>
                <w:color w:val="auto"/>
              </w:rPr>
            </w:pPr>
          </w:p>
        </w:tc>
        <w:tc>
          <w:tcPr>
            <w:tcW w:w="860" w:type="dxa"/>
            <w:vAlign w:val="bottom"/>
          </w:tcPr>
          <w:p>
            <w:pPr>
              <w:jc w:val="right"/>
              <w:ind w:right="96"/>
              <w:spacing w:after="0"/>
              <w:rPr>
                <w:sz w:val="20"/>
                <w:szCs w:val="20"/>
                <w:color w:val="auto"/>
              </w:rPr>
            </w:pPr>
            <w:r>
              <w:rPr>
                <w:rFonts w:ascii="Arial" w:cs="Arial" w:eastAsia="Arial" w:hAnsi="Arial"/>
                <w:sz w:val="13"/>
                <w:szCs w:val="13"/>
                <w:color w:val="auto"/>
              </w:rPr>
              <w:t>0.7</w:t>
            </w:r>
          </w:p>
        </w:tc>
        <w:tc>
          <w:tcPr>
            <w:tcW w:w="0" w:type="dxa"/>
            <w:vAlign w:val="bottom"/>
          </w:tcPr>
          <w:p>
            <w:pPr>
              <w:spacing w:after="0"/>
              <w:rPr>
                <w:sz w:val="1"/>
                <w:szCs w:val="1"/>
                <w:color w:val="auto"/>
              </w:rPr>
            </w:pPr>
          </w:p>
        </w:tc>
      </w:tr>
      <w:tr>
        <w:trPr>
          <w:trHeight w:val="46"/>
        </w:trPr>
        <w:tc>
          <w:tcPr>
            <w:tcW w:w="386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386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3"/>
                <w:szCs w:val="13"/>
                <w:color w:val="auto"/>
              </w:rPr>
              <w:t>Rental operations</w:t>
            </w:r>
          </w:p>
        </w:tc>
        <w:tc>
          <w:tcPr>
            <w:tcW w:w="2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435,568</w:t>
            </w:r>
          </w:p>
        </w:tc>
        <w:tc>
          <w:tcPr>
            <w:tcW w:w="6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418,767</w:t>
            </w:r>
          </w:p>
        </w:tc>
        <w:tc>
          <w:tcPr>
            <w:tcW w:w="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16,801</w:t>
            </w:r>
          </w:p>
        </w:tc>
        <w:tc>
          <w:tcPr>
            <w:tcW w:w="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3"/>
                <w:szCs w:val="13"/>
                <w:color w:val="auto"/>
              </w:rPr>
              <w:t>4.0</w:t>
            </w:r>
          </w:p>
        </w:tc>
        <w:tc>
          <w:tcPr>
            <w:tcW w:w="0" w:type="dxa"/>
            <w:vAlign w:val="bottom"/>
          </w:tcPr>
          <w:p>
            <w:pPr>
              <w:spacing w:after="0"/>
              <w:rPr>
                <w:sz w:val="1"/>
                <w:szCs w:val="1"/>
                <w:color w:val="auto"/>
              </w:rPr>
            </w:pPr>
          </w:p>
        </w:tc>
      </w:tr>
      <w:tr>
        <w:trPr>
          <w:trHeight w:val="212"/>
        </w:trPr>
        <w:tc>
          <w:tcPr>
            <w:tcW w:w="3860" w:type="dxa"/>
            <w:vAlign w:val="bottom"/>
          </w:tcPr>
          <w:p>
            <w:pPr>
              <w:ind w:left="1060"/>
              <w:spacing w:after="0"/>
              <w:rPr>
                <w:sz w:val="20"/>
                <w:szCs w:val="20"/>
                <w:color w:val="auto"/>
              </w:rPr>
            </w:pPr>
            <w:r>
              <w:rPr>
                <w:rFonts w:ascii="Arial" w:cs="Arial" w:eastAsia="Arial" w:hAnsi="Arial"/>
                <w:sz w:val="13"/>
                <w:szCs w:val="13"/>
                <w:color w:val="auto"/>
              </w:rPr>
              <w:t>Same Properties</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856,047</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846,775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9,272</w:t>
            </w:r>
          </w:p>
        </w:tc>
        <w:tc>
          <w:tcPr>
            <w:tcW w:w="40" w:type="dxa"/>
            <w:vAlign w:val="bottom"/>
          </w:tcPr>
          <w:p>
            <w:pPr>
              <w:spacing w:after="0"/>
              <w:rPr>
                <w:sz w:val="18"/>
                <w:szCs w:val="18"/>
                <w:color w:val="auto"/>
              </w:rPr>
            </w:pPr>
          </w:p>
        </w:tc>
        <w:tc>
          <w:tcPr>
            <w:tcW w:w="860" w:type="dxa"/>
            <w:vAlign w:val="bottom"/>
          </w:tcPr>
          <w:p>
            <w:pPr>
              <w:jc w:val="right"/>
              <w:ind w:right="96"/>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57"/>
        </w:trPr>
        <w:tc>
          <w:tcPr>
            <w:tcW w:w="3860" w:type="dxa"/>
            <w:vAlign w:val="bottom"/>
          </w:tcPr>
          <w:p>
            <w:pPr>
              <w:spacing w:after="0"/>
              <w:rPr>
                <w:sz w:val="4"/>
                <w:szCs w:val="4"/>
                <w:color w:val="auto"/>
              </w:rPr>
            </w:pPr>
          </w:p>
        </w:tc>
        <w:tc>
          <w:tcPr>
            <w:tcW w:w="22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4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5"/>
        </w:trPr>
        <w:tc>
          <w:tcPr>
            <w:tcW w:w="386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3"/>
                <w:szCs w:val="13"/>
                <w:color w:val="auto"/>
              </w:rPr>
              <w:t>Non-Same Properties</w:t>
            </w:r>
          </w:p>
        </w:tc>
        <w:tc>
          <w:tcPr>
            <w:tcW w:w="2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244,227</w:t>
            </w:r>
          </w:p>
        </w:tc>
        <w:tc>
          <w:tcPr>
            <w:tcW w:w="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149,153</w:t>
            </w: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95,074</w:t>
            </w:r>
          </w:p>
        </w:tc>
        <w:tc>
          <w:tcPr>
            <w:tcW w:w="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3"/>
                <w:szCs w:val="13"/>
                <w:color w:val="auto"/>
              </w:rPr>
              <w:t>63.7</w:t>
            </w:r>
          </w:p>
        </w:tc>
        <w:tc>
          <w:tcPr>
            <w:tcW w:w="0" w:type="dxa"/>
            <w:vAlign w:val="bottom"/>
          </w:tcPr>
          <w:p>
            <w:pPr>
              <w:spacing w:after="0"/>
              <w:rPr>
                <w:sz w:val="1"/>
                <w:szCs w:val="1"/>
                <w:color w:val="auto"/>
              </w:rPr>
            </w:pPr>
          </w:p>
        </w:tc>
      </w:tr>
      <w:tr>
        <w:trPr>
          <w:trHeight w:val="166"/>
        </w:trPr>
        <w:tc>
          <w:tcPr>
            <w:tcW w:w="3860" w:type="dxa"/>
            <w:vAlign w:val="bottom"/>
          </w:tcPr>
          <w:p>
            <w:pPr>
              <w:ind w:left="1240"/>
              <w:spacing w:after="0"/>
              <w:rPr>
                <w:sz w:val="20"/>
                <w:szCs w:val="20"/>
                <w:color w:val="auto"/>
              </w:rPr>
            </w:pPr>
            <w:r>
              <w:rPr>
                <w:rFonts w:ascii="Arial" w:cs="Arial" w:eastAsia="Arial" w:hAnsi="Arial"/>
                <w:sz w:val="13"/>
                <w:szCs w:val="13"/>
                <w:color w:val="auto"/>
              </w:rPr>
              <w:t>Net operating income</w:t>
            </w: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3"/>
                <w:szCs w:val="13"/>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1,100,274</w:t>
            </w:r>
          </w:p>
        </w:tc>
        <w:tc>
          <w:tcPr>
            <w:tcW w:w="6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3"/>
                <w:szCs w:val="13"/>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995,928</w:t>
            </w:r>
          </w:p>
        </w:tc>
        <w:tc>
          <w:tcPr>
            <w:tcW w:w="6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104,346</w:t>
            </w:r>
          </w:p>
        </w:tc>
        <w:tc>
          <w:tcPr>
            <w:tcW w:w="40" w:type="dxa"/>
            <w:vAlign w:val="bottom"/>
          </w:tcPr>
          <w:p>
            <w:pPr>
              <w:spacing w:after="0"/>
              <w:rPr>
                <w:sz w:val="14"/>
                <w:szCs w:val="1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10.5%</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
        </w:trPr>
        <w:tc>
          <w:tcPr>
            <w:tcW w:w="3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Net operating income – Same Properties</w:t>
            </w:r>
          </w:p>
        </w:tc>
        <w:tc>
          <w:tcPr>
            <w:tcW w:w="2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856,047</w:t>
            </w:r>
          </w:p>
        </w:tc>
        <w:tc>
          <w:tcPr>
            <w:tcW w:w="6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846,775</w:t>
            </w:r>
          </w:p>
        </w:tc>
        <w:tc>
          <w:tcPr>
            <w:tcW w:w="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9,272</w:t>
            </w:r>
          </w:p>
        </w:tc>
        <w:tc>
          <w:tcPr>
            <w:tcW w:w="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1.1%</w:t>
            </w:r>
          </w:p>
        </w:tc>
        <w:tc>
          <w:tcPr>
            <w:tcW w:w="0" w:type="dxa"/>
            <w:vAlign w:val="bottom"/>
          </w:tcPr>
          <w:p>
            <w:pPr>
              <w:spacing w:after="0"/>
              <w:rPr>
                <w:sz w:val="1"/>
                <w:szCs w:val="1"/>
                <w:color w:val="auto"/>
              </w:rPr>
            </w:pPr>
          </w:p>
        </w:tc>
      </w:tr>
      <w:tr>
        <w:trPr>
          <w:trHeight w:val="169"/>
        </w:trPr>
        <w:tc>
          <w:tcPr>
            <w:tcW w:w="3860" w:type="dxa"/>
            <w:vAlign w:val="bottom"/>
          </w:tcPr>
          <w:p>
            <w:pPr>
              <w:ind w:left="200"/>
              <w:spacing w:after="0"/>
              <w:rPr>
                <w:sz w:val="20"/>
                <w:szCs w:val="20"/>
                <w:color w:val="auto"/>
              </w:rPr>
            </w:pPr>
            <w:r>
              <w:rPr>
                <w:rFonts w:ascii="Arial" w:cs="Arial" w:eastAsia="Arial" w:hAnsi="Arial"/>
                <w:sz w:val="13"/>
                <w:szCs w:val="13"/>
                <w:color w:val="auto"/>
              </w:rPr>
              <w:t>Straight-line rent revenue</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(32,773)</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(51,793)</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19,020</w:t>
            </w:r>
          </w:p>
        </w:tc>
        <w:tc>
          <w:tcPr>
            <w:tcW w:w="40" w:type="dxa"/>
            <w:vAlign w:val="bottom"/>
          </w:tcPr>
          <w:p>
            <w:pPr>
              <w:spacing w:after="0"/>
              <w:rPr>
                <w:sz w:val="14"/>
                <w:szCs w:val="14"/>
                <w:color w:val="auto"/>
              </w:rPr>
            </w:pPr>
          </w:p>
        </w:tc>
        <w:tc>
          <w:tcPr>
            <w:tcW w:w="860" w:type="dxa"/>
            <w:vAlign w:val="bottom"/>
          </w:tcPr>
          <w:p>
            <w:pPr>
              <w:jc w:val="right"/>
              <w:ind w:right="56"/>
              <w:spacing w:after="0"/>
              <w:rPr>
                <w:sz w:val="20"/>
                <w:szCs w:val="20"/>
                <w:color w:val="auto"/>
              </w:rPr>
            </w:pPr>
            <w:r>
              <w:rPr>
                <w:rFonts w:ascii="Arial" w:cs="Arial" w:eastAsia="Arial" w:hAnsi="Arial"/>
                <w:sz w:val="13"/>
                <w:szCs w:val="13"/>
                <w:color w:val="auto"/>
              </w:rPr>
              <w:t>(36.7)</w:t>
            </w:r>
          </w:p>
        </w:tc>
        <w:tc>
          <w:tcPr>
            <w:tcW w:w="0" w:type="dxa"/>
            <w:vAlign w:val="bottom"/>
          </w:tcPr>
          <w:p>
            <w:pPr>
              <w:spacing w:after="0"/>
              <w:rPr>
                <w:sz w:val="1"/>
                <w:szCs w:val="1"/>
                <w:color w:val="auto"/>
              </w:rPr>
            </w:pPr>
          </w:p>
        </w:tc>
      </w:tr>
      <w:tr>
        <w:trPr>
          <w:trHeight w:val="46"/>
        </w:trPr>
        <w:tc>
          <w:tcPr>
            <w:tcW w:w="3860" w:type="dxa"/>
            <w:vAlign w:val="bottom"/>
          </w:tcPr>
          <w:p>
            <w:pPr>
              <w:spacing w:after="0"/>
              <w:rPr>
                <w:sz w:val="4"/>
                <w:szCs w:val="4"/>
                <w:color w:val="auto"/>
              </w:rPr>
            </w:pPr>
          </w:p>
        </w:tc>
        <w:tc>
          <w:tcPr>
            <w:tcW w:w="22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4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5"/>
        </w:trPr>
        <w:tc>
          <w:tcPr>
            <w:tcW w:w="38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3"/>
                <w:szCs w:val="13"/>
                <w:color w:val="auto"/>
              </w:rPr>
              <w:t>Amortization of acquired below-market leases</w:t>
            </w:r>
          </w:p>
        </w:tc>
        <w:tc>
          <w:tcPr>
            <w:tcW w:w="2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(30,910)</w:t>
            </w:r>
          </w:p>
        </w:tc>
        <w:tc>
          <w:tcPr>
            <w:tcW w:w="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(30,758)</w:t>
            </w: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(152)</w:t>
            </w:r>
          </w:p>
        </w:tc>
        <w:tc>
          <w:tcPr>
            <w:tcW w:w="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3"/>
                <w:szCs w:val="13"/>
                <w:color w:val="auto"/>
              </w:rPr>
              <w:t>0.5</w:t>
            </w:r>
          </w:p>
        </w:tc>
        <w:tc>
          <w:tcPr>
            <w:tcW w:w="0" w:type="dxa"/>
            <w:vAlign w:val="bottom"/>
          </w:tcPr>
          <w:p>
            <w:pPr>
              <w:spacing w:after="0"/>
              <w:rPr>
                <w:sz w:val="1"/>
                <w:szCs w:val="1"/>
                <w:color w:val="auto"/>
              </w:rPr>
            </w:pPr>
          </w:p>
        </w:tc>
      </w:tr>
      <w:tr>
        <w:trPr>
          <w:trHeight w:val="170"/>
        </w:trPr>
        <w:tc>
          <w:tcPr>
            <w:tcW w:w="3860" w:type="dxa"/>
            <w:vAlign w:val="bottom"/>
          </w:tcPr>
          <w:p>
            <w:pPr>
              <w:ind w:left="40"/>
              <w:spacing w:after="0"/>
              <w:rPr>
                <w:sz w:val="20"/>
                <w:szCs w:val="20"/>
                <w:color w:val="auto"/>
              </w:rPr>
            </w:pPr>
            <w:r>
              <w:rPr>
                <w:rFonts w:ascii="Arial" w:cs="Arial" w:eastAsia="Arial" w:hAnsi="Arial"/>
                <w:sz w:val="13"/>
                <w:szCs w:val="13"/>
                <w:color w:val="auto"/>
              </w:rPr>
              <w:t>Net operating income – Same Properties (cash basis)</w:t>
            </w: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792,364</w:t>
            </w:r>
          </w:p>
        </w:tc>
        <w:tc>
          <w:tcPr>
            <w:tcW w:w="6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764,224</w:t>
            </w:r>
          </w:p>
        </w:tc>
        <w:tc>
          <w:tcPr>
            <w:tcW w:w="6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28,140</w:t>
            </w:r>
          </w:p>
        </w:tc>
        <w:tc>
          <w:tcPr>
            <w:tcW w:w="40" w:type="dxa"/>
            <w:vAlign w:val="bottom"/>
          </w:tcPr>
          <w:p>
            <w:pPr>
              <w:spacing w:after="0"/>
              <w:rPr>
                <w:sz w:val="14"/>
                <w:szCs w:val="1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3.7%</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-3811270</wp:posOffset>
            </wp:positionV>
            <wp:extent cx="5584190" cy="59969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584190" cy="5996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188595</wp:posOffset>
            </wp:positionV>
            <wp:extent cx="5584190" cy="445579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584190" cy="4455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640"/>
        <w:spacing w:after="0"/>
        <w:rPr>
          <w:sz w:val="20"/>
          <w:szCs w:val="20"/>
          <w:color w:val="auto"/>
        </w:rPr>
      </w:pPr>
      <w:r>
        <w:rPr>
          <w:rFonts w:ascii="Arial" w:cs="Arial" w:eastAsia="Arial" w:hAnsi="Arial"/>
          <w:sz w:val="13"/>
          <w:szCs w:val="13"/>
          <w:i w:val="1"/>
          <w:iCs w:val="1"/>
          <w:u w:val="single" w:color="auto"/>
          <w:color w:val="auto"/>
        </w:rPr>
        <w:t>Income from rentals</w:t>
      </w:r>
    </w:p>
    <w:p>
      <w:pPr>
        <w:spacing w:after="0" w:line="160" w:lineRule="exact"/>
        <w:rPr>
          <w:sz w:val="20"/>
          <w:szCs w:val="20"/>
          <w:color w:val="auto"/>
        </w:rPr>
      </w:pPr>
    </w:p>
    <w:p>
      <w:pPr>
        <w:ind w:left="640" w:right="839" w:firstLine="516"/>
        <w:spacing w:after="0" w:line="265" w:lineRule="auto"/>
        <w:rPr>
          <w:sz w:val="20"/>
          <w:szCs w:val="20"/>
          <w:color w:val="auto"/>
        </w:rPr>
      </w:pPr>
      <w:r>
        <w:rPr>
          <w:rFonts w:ascii="Arial" w:cs="Arial" w:eastAsia="Arial" w:hAnsi="Arial"/>
          <w:sz w:val="13"/>
          <w:szCs w:val="13"/>
          <w:color w:val="auto"/>
        </w:rPr>
        <w:t>Total income from rentals for the six months ended June 30, 2024 increased by $118.4 million, or 8.5%, to $1.5 billion, compared to $1.4 billion for the six months ended June 30, 2023, as a result of increase in rental revenues and tenant recoveries, as discussed below.</w:t>
      </w:r>
    </w:p>
    <w:p>
      <w:pPr>
        <w:spacing w:after="0" w:line="119" w:lineRule="exact"/>
        <w:rPr>
          <w:sz w:val="20"/>
          <w:szCs w:val="20"/>
          <w:color w:val="auto"/>
        </w:rPr>
      </w:pPr>
    </w:p>
    <w:p>
      <w:pPr>
        <w:ind w:left="640"/>
        <w:spacing w:after="0"/>
        <w:rPr>
          <w:sz w:val="20"/>
          <w:szCs w:val="20"/>
          <w:color w:val="auto"/>
        </w:rPr>
      </w:pPr>
      <w:r>
        <w:rPr>
          <w:rFonts w:ascii="Arial" w:cs="Arial" w:eastAsia="Arial" w:hAnsi="Arial"/>
          <w:sz w:val="13"/>
          <w:szCs w:val="13"/>
          <w:i w:val="1"/>
          <w:iCs w:val="1"/>
          <w:color w:val="auto"/>
        </w:rPr>
        <w:t>Rental revenues</w:t>
      </w:r>
    </w:p>
    <w:p>
      <w:pPr>
        <w:spacing w:after="0" w:line="160" w:lineRule="exact"/>
        <w:rPr>
          <w:sz w:val="20"/>
          <w:szCs w:val="20"/>
          <w:color w:val="auto"/>
        </w:rPr>
      </w:pPr>
    </w:p>
    <w:p>
      <w:pPr>
        <w:ind w:left="640" w:right="739" w:firstLine="516"/>
        <w:spacing w:after="0" w:line="257" w:lineRule="auto"/>
        <w:rPr>
          <w:sz w:val="20"/>
          <w:szCs w:val="20"/>
          <w:color w:val="auto"/>
        </w:rPr>
      </w:pPr>
      <w:r>
        <w:rPr>
          <w:rFonts w:ascii="Arial" w:cs="Arial" w:eastAsia="Arial" w:hAnsi="Arial"/>
          <w:sz w:val="13"/>
          <w:szCs w:val="13"/>
          <w:color w:val="auto"/>
        </w:rPr>
        <w:t>Total rental revenues for the six months ended June 30, 2024 increased by $102.0 million, or 9.7%, to $1.2 billion, compared to $1.1 billion for the six months ended June 30, 2023. The increase was primarily due to an increase in rental revenues from our Non-Same Properties related to 3.9 million RSF of development and redevelopment projects placed into service subsequent to January 1, 2023 and five operating properties aggregating 734,353 RSF acquired subsequent to January 1, 2023.</w:t>
      </w:r>
    </w:p>
    <w:p>
      <w:pPr>
        <w:spacing w:after="0" w:line="133" w:lineRule="exact"/>
        <w:rPr>
          <w:sz w:val="20"/>
          <w:szCs w:val="20"/>
          <w:color w:val="auto"/>
        </w:rPr>
      </w:pPr>
    </w:p>
    <w:p>
      <w:pPr>
        <w:ind w:left="640" w:right="899" w:firstLine="516"/>
        <w:spacing w:after="0" w:line="265" w:lineRule="auto"/>
        <w:rPr>
          <w:sz w:val="20"/>
          <w:szCs w:val="20"/>
          <w:color w:val="auto"/>
        </w:rPr>
      </w:pPr>
      <w:r>
        <w:rPr>
          <w:rFonts w:ascii="Arial" w:cs="Arial" w:eastAsia="Arial" w:hAnsi="Arial"/>
          <w:sz w:val="13"/>
          <w:szCs w:val="13"/>
          <w:color w:val="auto"/>
        </w:rPr>
        <w:t>Rental revenues from our Same Properties for the six months ended June 30, 2024 increased by $17.4 million, or 2.0%, to $910.4 million, compared to $893.0 million for the six months ended June 30, 2023. The increase was primarily due to rental rate increases on lease renewals and re-leasing of space since January 1, 2023.</w:t>
      </w:r>
    </w:p>
    <w:p>
      <w:pPr>
        <w:spacing w:after="0" w:line="130" w:lineRule="exact"/>
        <w:rPr>
          <w:sz w:val="20"/>
          <w:szCs w:val="20"/>
          <w:color w:val="auto"/>
        </w:rPr>
      </w:pPr>
    </w:p>
    <w:p>
      <w:pPr>
        <w:ind w:left="640"/>
        <w:spacing w:after="0"/>
        <w:rPr>
          <w:sz w:val="20"/>
          <w:szCs w:val="20"/>
          <w:color w:val="auto"/>
        </w:rPr>
      </w:pPr>
      <w:r>
        <w:rPr>
          <w:rFonts w:ascii="Arial" w:cs="Arial" w:eastAsia="Arial" w:hAnsi="Arial"/>
          <w:sz w:val="13"/>
          <w:szCs w:val="13"/>
          <w:i w:val="1"/>
          <w:iCs w:val="1"/>
          <w:color w:val="auto"/>
        </w:rPr>
        <w:t>Tenant recoveries</w:t>
      </w:r>
    </w:p>
    <w:p>
      <w:pPr>
        <w:spacing w:after="0" w:line="160" w:lineRule="exact"/>
        <w:rPr>
          <w:sz w:val="20"/>
          <w:szCs w:val="20"/>
          <w:color w:val="auto"/>
        </w:rPr>
      </w:pPr>
    </w:p>
    <w:p>
      <w:pPr>
        <w:ind w:left="640" w:right="719" w:firstLine="516"/>
        <w:spacing w:after="0" w:line="257" w:lineRule="auto"/>
        <w:rPr>
          <w:sz w:val="20"/>
          <w:szCs w:val="20"/>
          <w:color w:val="auto"/>
        </w:rPr>
      </w:pPr>
      <w:r>
        <w:rPr>
          <w:rFonts w:ascii="Arial" w:cs="Arial" w:eastAsia="Arial" w:hAnsi="Arial"/>
          <w:sz w:val="13"/>
          <w:szCs w:val="13"/>
          <w:color w:val="auto"/>
        </w:rPr>
        <w:t>Tenant recoveries for the six months ended June 30, 2024 increased by $16.4 million, or 4.9%, to $352.5 million, compared to $336.1 million for the six months ended June 30, 2023. This increase was partially from our Non-Same Properties related to our development and redevelopment projects placed into service and properties acquired subsequent to January 1, 2023, as discussed above under “Rental revenues.”</w:t>
      </w:r>
    </w:p>
    <w:p>
      <w:pPr>
        <w:spacing w:after="0" w:line="133" w:lineRule="exact"/>
        <w:rPr>
          <w:sz w:val="20"/>
          <w:szCs w:val="20"/>
          <w:color w:val="auto"/>
        </w:rPr>
      </w:pPr>
    </w:p>
    <w:p>
      <w:pPr>
        <w:ind w:left="1160"/>
        <w:spacing w:after="0"/>
        <w:rPr>
          <w:sz w:val="20"/>
          <w:szCs w:val="20"/>
          <w:color w:val="auto"/>
        </w:rPr>
      </w:pPr>
      <w:r>
        <w:rPr>
          <w:rFonts w:ascii="Arial" w:cs="Arial" w:eastAsia="Arial" w:hAnsi="Arial"/>
          <w:sz w:val="13"/>
          <w:szCs w:val="13"/>
          <w:color w:val="auto"/>
        </w:rPr>
        <w:t>Same Properties’ tenant recoveries for the six months ended June 30, 2024 increased by $8.2 million, or 2.7%, to</w:t>
      </w:r>
    </w:p>
    <w:p>
      <w:pPr>
        <w:spacing w:after="0" w:line="13" w:lineRule="exact"/>
        <w:rPr>
          <w:sz w:val="20"/>
          <w:szCs w:val="20"/>
          <w:color w:val="auto"/>
        </w:rPr>
      </w:pPr>
    </w:p>
    <w:p>
      <w:pPr>
        <w:ind w:left="640" w:right="719"/>
        <w:spacing w:after="0" w:line="278" w:lineRule="auto"/>
        <w:rPr>
          <w:sz w:val="20"/>
          <w:szCs w:val="20"/>
          <w:color w:val="auto"/>
        </w:rPr>
      </w:pPr>
      <w:r>
        <w:rPr>
          <w:rFonts w:ascii="Arial" w:cs="Arial" w:eastAsia="Arial" w:hAnsi="Arial"/>
          <w:sz w:val="12"/>
          <w:szCs w:val="12"/>
          <w:color w:val="auto"/>
        </w:rPr>
        <w:t>$311.9 million, compared to $303.7 million for the six months ended June 30, 2023, primarily due to higher operating expenses during the six months ended June 30, 2024, as discussed under “Rental operations” below. As of June 30, 2024, 94% of our leases (on an annual rental revenue basis) were triple net leases, which require tenants to pay substantially all real estate taxes, insurance, utilities, repairs and maintenance, common area expenses, and other operating expenses (including increases thereto) in addition to base rent.</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3"/>
          <w:szCs w:val="13"/>
          <w:i w:val="1"/>
          <w:iCs w:val="1"/>
          <w:u w:val="single" w:color="auto"/>
          <w:color w:val="auto"/>
        </w:rPr>
        <w:t>Rental operations</w:t>
      </w:r>
    </w:p>
    <w:p>
      <w:pPr>
        <w:spacing w:after="0" w:line="160" w:lineRule="exact"/>
        <w:rPr>
          <w:sz w:val="20"/>
          <w:szCs w:val="20"/>
          <w:color w:val="auto"/>
        </w:rPr>
      </w:pPr>
    </w:p>
    <w:p>
      <w:pPr>
        <w:ind w:left="640" w:right="659" w:firstLine="516"/>
        <w:spacing w:after="0" w:line="254" w:lineRule="auto"/>
        <w:rPr>
          <w:sz w:val="20"/>
          <w:szCs w:val="20"/>
          <w:color w:val="auto"/>
        </w:rPr>
      </w:pPr>
      <w:r>
        <w:rPr>
          <w:rFonts w:ascii="Arial" w:cs="Arial" w:eastAsia="Arial" w:hAnsi="Arial"/>
          <w:sz w:val="13"/>
          <w:szCs w:val="13"/>
          <w:color w:val="auto"/>
        </w:rPr>
        <w:t>Total rental operating expenses for the six months ended June 30, 2024 increased by $16.8 million, or 4.0%, to $435.6 million, compared to $418.8 million for the six months ended June 30, 2023, primarily due to the increase in our Same Properties’ rental operating expenses consisting of (i) the increase in property taxes aggregating $6.5 million, primarily due to annual regulatory increases of up to 2% in California and increases from reassessments in values due to sales of partial interests, (ii) the increase in utilities expenses aggregating $3.3 million, primarily due to higher rates; and (iii) the increase in property insurance expenses aggregating $3.0 million, primarily due to higher insurance premiums.</w:t>
      </w:r>
    </w:p>
    <w:p>
      <w:pPr>
        <w:sectPr>
          <w:pgSz w:w="11900" w:h="16838" w:orient="portrait"/>
          <w:cols w:equalWidth="0" w:num="1">
            <w:col w:w="9019"/>
          </w:cols>
          <w:pgMar w:left="1440" w:top="129" w:right="1440" w:bottom="0" w:gutter="0" w:footer="0" w:header="0"/>
        </w:sectPr>
      </w:pPr>
    </w:p>
    <w:p>
      <w:pPr>
        <w:spacing w:after="0" w:line="137" w:lineRule="exact"/>
        <w:rPr>
          <w:sz w:val="20"/>
          <w:szCs w:val="20"/>
          <w:color w:val="auto"/>
        </w:rPr>
      </w:pPr>
    </w:p>
    <w:p>
      <w:pPr>
        <w:ind w:left="640"/>
        <w:spacing w:after="0"/>
        <w:rPr>
          <w:sz w:val="20"/>
          <w:szCs w:val="20"/>
          <w:color w:val="auto"/>
        </w:rPr>
      </w:pPr>
      <w:r>
        <w:rPr>
          <w:rFonts w:ascii="Arial" w:cs="Arial" w:eastAsia="Arial" w:hAnsi="Arial"/>
          <w:sz w:val="12"/>
          <w:szCs w:val="12"/>
          <w:i w:val="1"/>
          <w:iCs w:val="1"/>
          <w:u w:val="single" w:color="auto"/>
          <w:color w:val="auto"/>
        </w:rPr>
        <w:t>Depreciation and amortization</w:t>
      </w:r>
    </w:p>
    <w:p>
      <w:pPr>
        <w:sectPr>
          <w:pgSz w:w="11900" w:h="16838" w:orient="portrait"/>
          <w:cols w:equalWidth="0" w:num="1">
            <w:col w:w="9019"/>
          </w:cols>
          <w:pgMar w:left="1440" w:top="129" w:right="1440" w:bottom="0" w:gutter="0" w:footer="0" w:header="0"/>
          <w:type w:val="continuous"/>
        </w:sectPr>
      </w:pPr>
    </w:p>
    <w:bookmarkStart w:id="52" w:name="page53"/>
    <w:bookmarkEnd w:id="52"/>
    <w:p>
      <w:pPr>
        <w:ind w:left="640" w:right="1099" w:firstLine="516"/>
        <w:spacing w:after="0" w:line="225" w:lineRule="auto"/>
        <w:rPr>
          <w:sz w:val="20"/>
          <w:szCs w:val="20"/>
          <w:color w:val="auto"/>
        </w:rPr>
      </w:pPr>
      <w:r>
        <w:rPr>
          <w:rFonts w:ascii="Arial" w:cs="Arial" w:eastAsia="Arial" w:hAnsi="Arial"/>
          <w:sz w:val="12"/>
          <w:szCs w:val="12"/>
          <w:color w:val="auto"/>
        </w:rPr>
        <w:t>Depreciation and amortization expense for the six months ended June 30, 2024 increased by $39.4 million, or 7.3%, to $578.3 million, compared to $538.9 million for the six months ended June 30, 2023. The increase was primarily due to additional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-149860</wp:posOffset>
            </wp:positionV>
            <wp:extent cx="5584190" cy="275780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584190" cy="2757805"/>
                    </a:xfrm>
                    <a:prstGeom prst="rect">
                      <a:avLst/>
                    </a:prstGeom>
                    <a:noFill/>
                  </pic:spPr>
                </pic:pic>
              </a:graphicData>
            </a:graphic>
          </wp:anchor>
        </w:drawing>
      </w:r>
    </w:p>
    <w:p>
      <w:pPr>
        <w:ind w:left="640" w:right="919"/>
        <w:spacing w:after="0" w:line="270" w:lineRule="auto"/>
        <w:rPr>
          <w:sz w:val="20"/>
          <w:szCs w:val="20"/>
          <w:color w:val="auto"/>
        </w:rPr>
      </w:pPr>
      <w:r>
        <w:rPr>
          <w:rFonts w:ascii="Arial" w:cs="Arial" w:eastAsia="Arial" w:hAnsi="Arial"/>
          <w:sz w:val="13"/>
          <w:szCs w:val="13"/>
          <w:color w:val="auto"/>
        </w:rPr>
        <w:t>depreciation from development and redevelopment projects placed into service and properties acquired, as discussed above under “Rental revenues.”</w:t>
      </w:r>
    </w:p>
    <w:p>
      <w:pPr>
        <w:spacing w:after="0" w:line="115" w:lineRule="exact"/>
        <w:rPr>
          <w:sz w:val="20"/>
          <w:szCs w:val="20"/>
          <w:color w:val="auto"/>
        </w:rPr>
      </w:pPr>
    </w:p>
    <w:p>
      <w:pPr>
        <w:ind w:left="640"/>
        <w:spacing w:after="0"/>
        <w:rPr>
          <w:sz w:val="20"/>
          <w:szCs w:val="20"/>
          <w:color w:val="auto"/>
        </w:rPr>
      </w:pPr>
      <w:r>
        <w:rPr>
          <w:rFonts w:ascii="Arial" w:cs="Arial" w:eastAsia="Arial" w:hAnsi="Arial"/>
          <w:sz w:val="13"/>
          <w:szCs w:val="13"/>
          <w:i w:val="1"/>
          <w:iCs w:val="1"/>
          <w:u w:val="single" w:color="auto"/>
          <w:color w:val="auto"/>
        </w:rPr>
        <w:t>General and administrative expenses</w:t>
      </w:r>
    </w:p>
    <w:p>
      <w:pPr>
        <w:spacing w:after="0" w:line="160" w:lineRule="exact"/>
        <w:rPr>
          <w:sz w:val="20"/>
          <w:szCs w:val="20"/>
          <w:color w:val="auto"/>
        </w:rPr>
      </w:pPr>
    </w:p>
    <w:p>
      <w:pPr>
        <w:ind w:left="1160"/>
        <w:spacing w:after="0"/>
        <w:rPr>
          <w:sz w:val="20"/>
          <w:szCs w:val="20"/>
          <w:color w:val="auto"/>
        </w:rPr>
      </w:pPr>
      <w:r>
        <w:rPr>
          <w:rFonts w:ascii="Arial" w:cs="Arial" w:eastAsia="Arial" w:hAnsi="Arial"/>
          <w:sz w:val="13"/>
          <w:szCs w:val="13"/>
          <w:color w:val="auto"/>
        </w:rPr>
        <w:t>General and administrative expenses for the six months ended June 30, 2024 decreased by $2.4 million, or 2.5%, to</w:t>
      </w:r>
    </w:p>
    <w:p>
      <w:pPr>
        <w:spacing w:after="0" w:line="19" w:lineRule="exact"/>
        <w:rPr>
          <w:sz w:val="20"/>
          <w:szCs w:val="20"/>
          <w:color w:val="auto"/>
        </w:rPr>
      </w:pPr>
    </w:p>
    <w:p>
      <w:pPr>
        <w:ind w:left="640"/>
        <w:spacing w:after="0"/>
        <w:rPr>
          <w:sz w:val="20"/>
          <w:szCs w:val="20"/>
          <w:color w:val="auto"/>
        </w:rPr>
      </w:pPr>
      <w:r>
        <w:rPr>
          <w:rFonts w:ascii="Arial" w:cs="Arial" w:eastAsia="Arial" w:hAnsi="Arial"/>
          <w:sz w:val="13"/>
          <w:szCs w:val="13"/>
          <w:color w:val="auto"/>
        </w:rPr>
        <w:t>$91.7 million, compared to $94.1 million for the six months ended June 30, 2023. The decrease was primarily due to reduction in</w:t>
      </w:r>
    </w:p>
    <w:p>
      <w:pPr>
        <w:spacing w:after="0" w:line="5" w:lineRule="exact"/>
        <w:rPr>
          <w:sz w:val="20"/>
          <w:szCs w:val="20"/>
          <w:color w:val="auto"/>
        </w:rPr>
      </w:pPr>
    </w:p>
    <w:p>
      <w:pPr>
        <w:ind w:left="640"/>
        <w:spacing w:after="0"/>
        <w:rPr>
          <w:sz w:val="20"/>
          <w:szCs w:val="20"/>
          <w:color w:val="auto"/>
        </w:rPr>
      </w:pPr>
      <w:r>
        <w:rPr>
          <w:rFonts w:ascii="Arial" w:cs="Arial" w:eastAsia="Arial" w:hAnsi="Arial"/>
          <w:sz w:val="12"/>
          <w:szCs w:val="12"/>
          <w:color w:val="auto"/>
        </w:rPr>
        <w:t>compensation costs due to the resignations of two of our executive officers in the second half of 2023. As a percentage of net operating</w:t>
      </w:r>
    </w:p>
    <w:p>
      <w:pPr>
        <w:spacing w:after="0" w:line="12" w:lineRule="exact"/>
        <w:rPr>
          <w:sz w:val="20"/>
          <w:szCs w:val="20"/>
          <w:color w:val="auto"/>
        </w:rPr>
      </w:pPr>
    </w:p>
    <w:p>
      <w:pPr>
        <w:ind w:left="640"/>
        <w:spacing w:after="0"/>
        <w:rPr>
          <w:sz w:val="20"/>
          <w:szCs w:val="20"/>
          <w:color w:val="auto"/>
        </w:rPr>
      </w:pPr>
      <w:r>
        <w:rPr>
          <w:rFonts w:ascii="Arial" w:cs="Arial" w:eastAsia="Arial" w:hAnsi="Arial"/>
          <w:sz w:val="13"/>
          <w:szCs w:val="13"/>
          <w:color w:val="auto"/>
        </w:rPr>
        <w:t>income, our general and administrative expenses for the trailing twelve months ended June 30, 2024 and 2023 were 9.2% and 9.7%,</w:t>
      </w:r>
    </w:p>
    <w:p>
      <w:pPr>
        <w:spacing w:after="0" w:line="7" w:lineRule="exact"/>
        <w:rPr>
          <w:sz w:val="20"/>
          <w:szCs w:val="20"/>
          <w:color w:val="auto"/>
        </w:rPr>
      </w:pPr>
    </w:p>
    <w:p>
      <w:pPr>
        <w:ind w:left="640"/>
        <w:spacing w:after="0"/>
        <w:rPr>
          <w:sz w:val="20"/>
          <w:szCs w:val="20"/>
          <w:color w:val="auto"/>
        </w:rPr>
      </w:pPr>
      <w:r>
        <w:rPr>
          <w:rFonts w:ascii="Arial" w:cs="Arial" w:eastAsia="Arial" w:hAnsi="Arial"/>
          <w:sz w:val="13"/>
          <w:szCs w:val="13"/>
          <w:color w:val="auto"/>
        </w:rPr>
        <w:t>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188595</wp:posOffset>
            </wp:positionV>
            <wp:extent cx="5584190" cy="722058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640"/>
        <w:spacing w:after="0"/>
        <w:rPr>
          <w:sz w:val="20"/>
          <w:szCs w:val="20"/>
          <w:color w:val="auto"/>
        </w:rPr>
      </w:pPr>
      <w:r>
        <w:rPr>
          <w:rFonts w:ascii="Arial" w:cs="Arial" w:eastAsia="Arial" w:hAnsi="Arial"/>
          <w:sz w:val="13"/>
          <w:szCs w:val="13"/>
          <w:i w:val="1"/>
          <w:iCs w:val="1"/>
          <w:u w:val="single" w:color="auto"/>
          <w:color w:val="auto"/>
        </w:rPr>
        <w:t>Interest expense</w:t>
      </w:r>
    </w:p>
    <w:p>
      <w:pPr>
        <w:spacing w:after="0" w:line="160"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Interest expense for the six months ended June 30, 2024 and 2023 consisted of the following (dollars in thousands):</w:t>
      </w:r>
    </w:p>
    <w:p>
      <w:pPr>
        <w:spacing w:after="0" w:line="226"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3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0" w:type="dxa"/>
            <w:vAlign w:val="bottom"/>
            <w:gridSpan w:val="5"/>
          </w:tcPr>
          <w:p>
            <w:pPr>
              <w:ind w:left="240"/>
              <w:spacing w:after="0"/>
              <w:rPr>
                <w:sz w:val="20"/>
                <w:szCs w:val="20"/>
                <w:color w:val="auto"/>
              </w:rPr>
            </w:pPr>
            <w:r>
              <w:rPr>
                <w:rFonts w:ascii="Arial" w:cs="Arial" w:eastAsia="Arial" w:hAnsi="Arial"/>
                <w:sz w:val="13"/>
                <w:szCs w:val="13"/>
                <w:color w:val="auto"/>
              </w:rPr>
              <w:t>Six Months Ended June 30,</w:t>
            </w:r>
          </w:p>
        </w:tc>
        <w:tc>
          <w:tcPr>
            <w:tcW w:w="26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84"/>
        </w:trPr>
        <w:tc>
          <w:tcPr>
            <w:tcW w:w="370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Component</w:t>
            </w:r>
          </w:p>
        </w:tc>
        <w:tc>
          <w:tcPr>
            <w:tcW w:w="4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36"/>
              <w:spacing w:after="0"/>
              <w:rPr>
                <w:sz w:val="20"/>
                <w:szCs w:val="20"/>
                <w:color w:val="auto"/>
              </w:rPr>
            </w:pPr>
            <w:r>
              <w:rPr>
                <w:rFonts w:ascii="Arial" w:cs="Arial" w:eastAsia="Arial" w:hAnsi="Arial"/>
                <w:sz w:val="13"/>
                <w:szCs w:val="13"/>
                <w:color w:val="auto"/>
              </w:rPr>
              <w:t>2024</w:t>
            </w:r>
          </w:p>
        </w:tc>
        <w:tc>
          <w:tcPr>
            <w:tcW w:w="40" w:type="dxa"/>
            <w:vAlign w:val="bottom"/>
            <w:tcBorders>
              <w:top w:val="single" w:sz="8" w:color="auto"/>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36"/>
              <w:spacing w:after="0"/>
              <w:rPr>
                <w:sz w:val="20"/>
                <w:szCs w:val="20"/>
                <w:color w:val="auto"/>
              </w:rPr>
            </w:pPr>
            <w:r>
              <w:rPr>
                <w:rFonts w:ascii="Arial" w:cs="Arial" w:eastAsia="Arial" w:hAnsi="Arial"/>
                <w:sz w:val="13"/>
                <w:szCs w:val="13"/>
                <w:color w:val="auto"/>
              </w:rPr>
              <w:t>2023</w:t>
            </w:r>
          </w:p>
        </w:tc>
        <w:tc>
          <w:tcPr>
            <w:tcW w:w="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color w:val="auto"/>
              </w:rPr>
              <w:t>Change</w:t>
            </w:r>
          </w:p>
        </w:tc>
      </w:tr>
      <w:tr>
        <w:trPr>
          <w:trHeight w:val="184"/>
        </w:trPr>
        <w:tc>
          <w:tcPr>
            <w:tcW w:w="37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Gross interest</w:t>
            </w:r>
          </w:p>
        </w:tc>
        <w:tc>
          <w:tcPr>
            <w:tcW w:w="30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249,508</w:t>
            </w:r>
          </w:p>
        </w:tc>
        <w:tc>
          <w:tcPr>
            <w:tcW w:w="4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209,570</w:t>
            </w: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39,938</w:t>
            </w:r>
          </w:p>
        </w:tc>
      </w:tr>
      <w:tr>
        <w:trPr>
          <w:trHeight w:val="204"/>
        </w:trPr>
        <w:tc>
          <w:tcPr>
            <w:tcW w:w="3740" w:type="dxa"/>
            <w:vAlign w:val="bottom"/>
            <w:tcBorders>
              <w:bottom w:val="single" w:sz="8" w:color="CCEEFF"/>
            </w:tcBorders>
            <w:gridSpan w:val="2"/>
          </w:tcPr>
          <w:p>
            <w:pPr>
              <w:ind w:left="40"/>
              <w:spacing w:after="0"/>
              <w:rPr>
                <w:sz w:val="20"/>
                <w:szCs w:val="20"/>
                <w:color w:val="auto"/>
              </w:rPr>
            </w:pPr>
            <w:r>
              <w:rPr>
                <w:rFonts w:ascii="Arial" w:cs="Arial" w:eastAsia="Arial" w:hAnsi="Arial"/>
                <w:sz w:val="13"/>
                <w:szCs w:val="13"/>
                <w:color w:val="auto"/>
              </w:rPr>
              <w:t>Capitalized interest</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(162,879)</w:t>
            </w:r>
          </w:p>
        </w:tc>
        <w:tc>
          <w:tcPr>
            <w:tcW w:w="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(178,744)</w:t>
            </w:r>
          </w:p>
        </w:tc>
        <w:tc>
          <w:tcPr>
            <w:tcW w:w="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15,865</w:t>
            </w:r>
          </w:p>
        </w:tc>
      </w:tr>
      <w:tr>
        <w:trPr>
          <w:trHeight w:val="188"/>
        </w:trPr>
        <w:tc>
          <w:tcPr>
            <w:tcW w:w="3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3"/>
                <w:szCs w:val="13"/>
                <w:color w:val="auto"/>
              </w:rPr>
              <w:t>Interest expense</w:t>
            </w:r>
          </w:p>
        </w:tc>
        <w:tc>
          <w:tcPr>
            <w:tcW w:w="30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86,629</w:t>
            </w:r>
          </w:p>
        </w:tc>
        <w:tc>
          <w:tcPr>
            <w:tcW w:w="4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30,826</w:t>
            </w:r>
          </w:p>
        </w:tc>
        <w:tc>
          <w:tcPr>
            <w:tcW w:w="6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102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55,803</w:t>
            </w: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146"/>
        </w:trPr>
        <w:tc>
          <w:tcPr>
            <w:tcW w:w="3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204"/>
        </w:trPr>
        <w:tc>
          <w:tcPr>
            <w:tcW w:w="37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Average debt balance outstanding</w:t>
            </w:r>
            <w:r>
              <w:rPr>
                <w:rFonts w:ascii="Arial" w:cs="Arial" w:eastAsia="Arial" w:hAnsi="Arial"/>
                <w:sz w:val="16"/>
                <w:szCs w:val="16"/>
                <w:color w:val="auto"/>
                <w:vertAlign w:val="superscript"/>
              </w:rPr>
              <w:t>(1)</w:t>
            </w:r>
          </w:p>
        </w:tc>
        <w:tc>
          <w:tcPr>
            <w:tcW w:w="30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12,260,781</w:t>
            </w: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11,001,895</w:t>
            </w: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1,258,886</w:t>
            </w:r>
          </w:p>
        </w:tc>
      </w:tr>
      <w:tr>
        <w:trPr>
          <w:trHeight w:val="258"/>
        </w:trPr>
        <w:tc>
          <w:tcPr>
            <w:tcW w:w="3740" w:type="dxa"/>
            <w:vAlign w:val="bottom"/>
            <w:gridSpan w:val="2"/>
          </w:tcPr>
          <w:p>
            <w:pPr>
              <w:ind w:left="40"/>
              <w:spacing w:after="0"/>
              <w:rPr>
                <w:sz w:val="20"/>
                <w:szCs w:val="20"/>
                <w:color w:val="auto"/>
              </w:rPr>
            </w:pPr>
            <w:r>
              <w:rPr>
                <w:rFonts w:ascii="Arial" w:cs="Arial" w:eastAsia="Arial" w:hAnsi="Arial"/>
                <w:sz w:val="13"/>
                <w:szCs w:val="13"/>
                <w:color w:val="auto"/>
              </w:rPr>
              <w:t>Weighted-average annual interest rate</w:t>
            </w:r>
            <w:r>
              <w:rPr>
                <w:rFonts w:ascii="Arial" w:cs="Arial" w:eastAsia="Arial" w:hAnsi="Arial"/>
                <w:sz w:val="16"/>
                <w:szCs w:val="16"/>
                <w:color w:val="auto"/>
                <w:vertAlign w:val="superscript"/>
              </w:rPr>
              <w:t>(2)</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4.1%</w:t>
            </w: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3.8%</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0.3%</w:t>
            </w:r>
          </w:p>
        </w:tc>
      </w:tr>
    </w:tbl>
    <w:p>
      <w:pPr>
        <w:spacing w:after="0" w:line="39" w:lineRule="exact"/>
        <w:rPr>
          <w:sz w:val="20"/>
          <w:szCs w:val="20"/>
          <w:color w:val="auto"/>
        </w:rPr>
      </w:pPr>
    </w:p>
    <w:p>
      <w:pPr>
        <w:ind w:left="900" w:hanging="262"/>
        <w:spacing w:after="0"/>
        <w:tabs>
          <w:tab w:leader="none" w:pos="900" w:val="left"/>
        </w:tabs>
        <w:numPr>
          <w:ilvl w:val="0"/>
          <w:numId w:val="97"/>
        </w:numPr>
        <w:rPr>
          <w:rFonts w:ascii="Arial" w:cs="Arial" w:eastAsia="Arial" w:hAnsi="Arial"/>
          <w:sz w:val="10"/>
          <w:szCs w:val="10"/>
          <w:color w:val="auto"/>
        </w:rPr>
      </w:pPr>
      <w:r>
        <w:rPr>
          <w:rFonts w:ascii="Arial" w:cs="Arial" w:eastAsia="Arial" w:hAnsi="Arial"/>
          <w:sz w:val="10"/>
          <w:szCs w:val="10"/>
          <w:color w:val="auto"/>
        </w:rPr>
        <w:t>Represents the average debt balance outstanding during the respective periods.</w:t>
      </w:r>
    </w:p>
    <w:p>
      <w:pPr>
        <w:spacing w:after="0" w:line="13" w:lineRule="exact"/>
        <w:rPr>
          <w:rFonts w:ascii="Arial" w:cs="Arial" w:eastAsia="Arial" w:hAnsi="Arial"/>
          <w:sz w:val="10"/>
          <w:szCs w:val="10"/>
          <w:color w:val="auto"/>
        </w:rPr>
      </w:pPr>
    </w:p>
    <w:p>
      <w:pPr>
        <w:ind w:left="900" w:hanging="262"/>
        <w:spacing w:after="0"/>
        <w:tabs>
          <w:tab w:leader="none" w:pos="900" w:val="left"/>
        </w:tabs>
        <w:numPr>
          <w:ilvl w:val="0"/>
          <w:numId w:val="97"/>
        </w:numPr>
        <w:rPr>
          <w:rFonts w:ascii="Arial" w:cs="Arial" w:eastAsia="Arial" w:hAnsi="Arial"/>
          <w:sz w:val="10"/>
          <w:szCs w:val="10"/>
          <w:color w:val="auto"/>
        </w:rPr>
      </w:pPr>
      <w:r>
        <w:rPr>
          <w:rFonts w:ascii="Arial" w:cs="Arial" w:eastAsia="Arial" w:hAnsi="Arial"/>
          <w:sz w:val="10"/>
          <w:szCs w:val="10"/>
          <w:color w:val="auto"/>
        </w:rPr>
        <w:t>Represents annualized total interest incurred divided by the average debt balance outstanding during the respective periods.</w:t>
      </w:r>
    </w:p>
    <w:p>
      <w:pPr>
        <w:spacing w:after="0" w:line="148" w:lineRule="exact"/>
        <w:rPr>
          <w:sz w:val="20"/>
          <w:szCs w:val="20"/>
          <w:color w:val="auto"/>
        </w:rPr>
      </w:pPr>
    </w:p>
    <w:p>
      <w:pPr>
        <w:ind w:left="640" w:right="779" w:firstLine="516"/>
        <w:spacing w:after="0" w:line="289" w:lineRule="auto"/>
        <w:rPr>
          <w:sz w:val="20"/>
          <w:szCs w:val="20"/>
          <w:color w:val="auto"/>
        </w:rPr>
      </w:pPr>
      <w:r>
        <w:rPr>
          <w:rFonts w:ascii="Arial" w:cs="Arial" w:eastAsia="Arial" w:hAnsi="Arial"/>
          <w:sz w:val="13"/>
          <w:szCs w:val="13"/>
          <w:color w:val="auto"/>
        </w:rPr>
        <w:t>The net change in interest expense during the six months ended June 30, 2024, compared to the six months ended June 30, 2023, resulted from the following (dollars in thousands):</w:t>
      </w:r>
    </w:p>
    <w:p>
      <w:pPr>
        <w:spacing w:after="0" w:line="154" w:lineRule="exact"/>
        <w:rPr>
          <w:sz w:val="20"/>
          <w:szCs w:val="20"/>
          <w:color w:val="auto"/>
        </w:rPr>
      </w:pPr>
    </w:p>
    <w:tbl>
      <w:tblPr>
        <w:tblLayout w:type="fixed"/>
        <w:tblInd w:w="660" w:type="dxa"/>
        <w:tblCellMar>
          <w:top w:w="0" w:type="dxa"/>
          <w:left w:w="0" w:type="dxa"/>
          <w:bottom w:w="0" w:type="dxa"/>
          <w:right w:w="0" w:type="dxa"/>
        </w:tblCellMar>
      </w:tblPr>
      <w:tr>
        <w:trPr>
          <w:trHeight w:val="184"/>
        </w:trPr>
        <w:tc>
          <w:tcPr>
            <w:tcW w:w="456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Component</w:t>
            </w:r>
          </w:p>
        </w:tc>
        <w:tc>
          <w:tcPr>
            <w:tcW w:w="4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Interest Rate</w:t>
            </w:r>
            <w:r>
              <w:rPr>
                <w:rFonts w:ascii="Arial" w:cs="Arial" w:eastAsia="Arial" w:hAnsi="Arial"/>
                <w:sz w:val="16"/>
                <w:szCs w:val="16"/>
                <w:color w:val="auto"/>
                <w:vertAlign w:val="superscript"/>
              </w:rPr>
              <w:t>(1)</w:t>
            </w:r>
          </w:p>
        </w:tc>
        <w:tc>
          <w:tcPr>
            <w:tcW w:w="4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8"/>
              </w:rPr>
              <w:t>Effective Date</w:t>
            </w:r>
          </w:p>
        </w:tc>
        <w:tc>
          <w:tcPr>
            <w:tcW w:w="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Change</w:t>
            </w:r>
          </w:p>
        </w:tc>
        <w:tc>
          <w:tcPr>
            <w:tcW w:w="0" w:type="dxa"/>
            <w:vAlign w:val="bottom"/>
          </w:tcPr>
          <w:p>
            <w:pPr>
              <w:spacing w:after="0"/>
              <w:rPr>
                <w:sz w:val="1"/>
                <w:szCs w:val="1"/>
                <w:color w:val="auto"/>
              </w:rPr>
            </w:pPr>
          </w:p>
        </w:tc>
      </w:tr>
      <w:tr>
        <w:trPr>
          <w:trHeight w:val="184"/>
        </w:trPr>
        <w:tc>
          <w:tcPr>
            <w:tcW w:w="46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Increases in interest incurred due to:</w:t>
            </w:r>
          </w:p>
        </w:tc>
        <w:tc>
          <w:tcPr>
            <w:tcW w:w="10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600" w:type="dxa"/>
            <w:vAlign w:val="bottom"/>
            <w:gridSpan w:val="2"/>
          </w:tcPr>
          <w:p>
            <w:pPr>
              <w:ind w:left="140"/>
              <w:spacing w:after="0"/>
              <w:rPr>
                <w:sz w:val="20"/>
                <w:szCs w:val="20"/>
                <w:color w:val="auto"/>
              </w:rPr>
            </w:pPr>
            <w:r>
              <w:rPr>
                <w:rFonts w:ascii="Arial" w:cs="Arial" w:eastAsia="Arial" w:hAnsi="Arial"/>
                <w:sz w:val="13"/>
                <w:szCs w:val="13"/>
                <w:color w:val="auto"/>
              </w:rPr>
              <w:t>Issuances of debt:</w:t>
            </w: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600" w:type="dxa"/>
            <w:vAlign w:val="bottom"/>
            <w:gridSpan w:val="2"/>
            <w:shd w:val="clear" w:color="auto" w:fill="CCEEFF"/>
          </w:tcPr>
          <w:p>
            <w:pPr>
              <w:ind w:left="300"/>
              <w:spacing w:after="0"/>
              <w:rPr>
                <w:sz w:val="20"/>
                <w:szCs w:val="20"/>
                <w:color w:val="auto"/>
              </w:rPr>
            </w:pPr>
            <w:r>
              <w:rPr>
                <w:rFonts w:ascii="Arial" w:cs="Arial" w:eastAsia="Arial" w:hAnsi="Arial"/>
                <w:sz w:val="13"/>
                <w:szCs w:val="13"/>
                <w:color w:val="auto"/>
              </w:rPr>
              <w:t>$500 million of unsecured senior notes payable due 2053</w:t>
            </w:r>
          </w:p>
        </w:tc>
        <w:tc>
          <w:tcPr>
            <w:tcW w:w="102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5.26%</w:t>
            </w:r>
          </w:p>
        </w:tc>
        <w:tc>
          <w:tcPr>
            <w:tcW w:w="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w w:val="99"/>
              </w:rPr>
              <w:t>February 2023</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3,225</w:t>
            </w:r>
          </w:p>
        </w:tc>
        <w:tc>
          <w:tcPr>
            <w:tcW w:w="0" w:type="dxa"/>
            <w:vAlign w:val="bottom"/>
          </w:tcPr>
          <w:p>
            <w:pPr>
              <w:spacing w:after="0"/>
              <w:rPr>
                <w:sz w:val="1"/>
                <w:szCs w:val="1"/>
                <w:color w:val="auto"/>
              </w:rPr>
            </w:pPr>
          </w:p>
        </w:tc>
      </w:tr>
      <w:tr>
        <w:trPr>
          <w:trHeight w:val="203"/>
        </w:trPr>
        <w:tc>
          <w:tcPr>
            <w:tcW w:w="4600" w:type="dxa"/>
            <w:vAlign w:val="bottom"/>
            <w:gridSpan w:val="2"/>
          </w:tcPr>
          <w:p>
            <w:pPr>
              <w:ind w:left="300"/>
              <w:spacing w:after="0"/>
              <w:rPr>
                <w:sz w:val="20"/>
                <w:szCs w:val="20"/>
                <w:color w:val="auto"/>
              </w:rPr>
            </w:pPr>
            <w:r>
              <w:rPr>
                <w:rFonts w:ascii="Arial" w:cs="Arial" w:eastAsia="Arial" w:hAnsi="Arial"/>
                <w:sz w:val="13"/>
                <w:szCs w:val="13"/>
                <w:color w:val="auto"/>
              </w:rPr>
              <w:t>$500 million of unsecured senior notes payable due 2035</w:t>
            </w:r>
          </w:p>
        </w:tc>
        <w:tc>
          <w:tcPr>
            <w:tcW w:w="1020" w:type="dxa"/>
            <w:vAlign w:val="bottom"/>
          </w:tcPr>
          <w:p>
            <w:pPr>
              <w:jc w:val="right"/>
              <w:ind w:right="136"/>
              <w:spacing w:after="0"/>
              <w:rPr>
                <w:sz w:val="20"/>
                <w:szCs w:val="20"/>
                <w:color w:val="auto"/>
              </w:rPr>
            </w:pPr>
            <w:r>
              <w:rPr>
                <w:rFonts w:ascii="Arial" w:cs="Arial" w:eastAsia="Arial" w:hAnsi="Arial"/>
                <w:sz w:val="13"/>
                <w:szCs w:val="13"/>
                <w:color w:val="auto"/>
              </w:rPr>
              <w:t>4.88%</w:t>
            </w:r>
          </w:p>
        </w:tc>
        <w:tc>
          <w:tcPr>
            <w:tcW w:w="40" w:type="dxa"/>
            <w:vAlign w:val="bottom"/>
          </w:tcPr>
          <w:p>
            <w:pPr>
              <w:spacing w:after="0"/>
              <w:rPr>
                <w:sz w:val="17"/>
                <w:szCs w:val="17"/>
                <w:color w:val="auto"/>
              </w:rPr>
            </w:pPr>
          </w:p>
        </w:tc>
        <w:tc>
          <w:tcPr>
            <w:tcW w:w="1160" w:type="dxa"/>
            <w:vAlign w:val="bottom"/>
            <w:gridSpan w:val="2"/>
          </w:tcPr>
          <w:p>
            <w:pPr>
              <w:jc w:val="center"/>
              <w:spacing w:after="0"/>
              <w:rPr>
                <w:sz w:val="20"/>
                <w:szCs w:val="20"/>
                <w:color w:val="auto"/>
              </w:rPr>
            </w:pPr>
            <w:r>
              <w:rPr>
                <w:rFonts w:ascii="Arial" w:cs="Arial" w:eastAsia="Arial" w:hAnsi="Arial"/>
                <w:sz w:val="13"/>
                <w:szCs w:val="13"/>
                <w:color w:val="auto"/>
                <w:w w:val="99"/>
              </w:rPr>
              <w:t>February 2023</w:t>
            </w: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2,982</w:t>
            </w:r>
          </w:p>
        </w:tc>
        <w:tc>
          <w:tcPr>
            <w:tcW w:w="0" w:type="dxa"/>
            <w:vAlign w:val="bottom"/>
          </w:tcPr>
          <w:p>
            <w:pPr>
              <w:spacing w:after="0"/>
              <w:rPr>
                <w:sz w:val="1"/>
                <w:szCs w:val="1"/>
                <w:color w:val="auto"/>
              </w:rPr>
            </w:pPr>
          </w:p>
        </w:tc>
      </w:tr>
      <w:tr>
        <w:trPr>
          <w:trHeight w:val="206"/>
        </w:trPr>
        <w:tc>
          <w:tcPr>
            <w:tcW w:w="4600" w:type="dxa"/>
            <w:vAlign w:val="bottom"/>
            <w:gridSpan w:val="2"/>
            <w:shd w:val="clear" w:color="auto" w:fill="CCEEFF"/>
          </w:tcPr>
          <w:p>
            <w:pPr>
              <w:ind w:left="300"/>
              <w:spacing w:after="0"/>
              <w:rPr>
                <w:sz w:val="20"/>
                <w:szCs w:val="20"/>
                <w:color w:val="auto"/>
              </w:rPr>
            </w:pPr>
            <w:r>
              <w:rPr>
                <w:rFonts w:ascii="Arial" w:cs="Arial" w:eastAsia="Arial" w:hAnsi="Arial"/>
                <w:sz w:val="13"/>
                <w:szCs w:val="13"/>
                <w:color w:val="auto"/>
              </w:rPr>
              <w:t>$600 million of unsecured senior notes payable due 2054</w:t>
            </w:r>
          </w:p>
        </w:tc>
        <w:tc>
          <w:tcPr>
            <w:tcW w:w="102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5.71%</w:t>
            </w:r>
          </w:p>
        </w:tc>
        <w:tc>
          <w:tcPr>
            <w:tcW w:w="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w w:val="99"/>
              </w:rPr>
              <w:t>February 2024</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12,754</w:t>
            </w:r>
          </w:p>
        </w:tc>
        <w:tc>
          <w:tcPr>
            <w:tcW w:w="0" w:type="dxa"/>
            <w:vAlign w:val="bottom"/>
          </w:tcPr>
          <w:p>
            <w:pPr>
              <w:spacing w:after="0"/>
              <w:rPr>
                <w:sz w:val="1"/>
                <w:szCs w:val="1"/>
                <w:color w:val="auto"/>
              </w:rPr>
            </w:pPr>
          </w:p>
        </w:tc>
      </w:tr>
      <w:tr>
        <w:trPr>
          <w:trHeight w:val="203"/>
        </w:trPr>
        <w:tc>
          <w:tcPr>
            <w:tcW w:w="4600" w:type="dxa"/>
            <w:vAlign w:val="bottom"/>
            <w:gridSpan w:val="2"/>
          </w:tcPr>
          <w:p>
            <w:pPr>
              <w:ind w:left="300"/>
              <w:spacing w:after="0"/>
              <w:rPr>
                <w:sz w:val="20"/>
                <w:szCs w:val="20"/>
                <w:color w:val="auto"/>
              </w:rPr>
            </w:pPr>
            <w:r>
              <w:rPr>
                <w:rFonts w:ascii="Arial" w:cs="Arial" w:eastAsia="Arial" w:hAnsi="Arial"/>
                <w:sz w:val="13"/>
                <w:szCs w:val="13"/>
                <w:color w:val="auto"/>
              </w:rPr>
              <w:t>$400 million of unsecured senior notes payable due 2036</w:t>
            </w:r>
          </w:p>
        </w:tc>
        <w:tc>
          <w:tcPr>
            <w:tcW w:w="1020" w:type="dxa"/>
            <w:vAlign w:val="bottom"/>
          </w:tcPr>
          <w:p>
            <w:pPr>
              <w:jc w:val="right"/>
              <w:ind w:right="136"/>
              <w:spacing w:after="0"/>
              <w:rPr>
                <w:sz w:val="20"/>
                <w:szCs w:val="20"/>
                <w:color w:val="auto"/>
              </w:rPr>
            </w:pPr>
            <w:r>
              <w:rPr>
                <w:rFonts w:ascii="Arial" w:cs="Arial" w:eastAsia="Arial" w:hAnsi="Arial"/>
                <w:sz w:val="13"/>
                <w:szCs w:val="13"/>
                <w:color w:val="auto"/>
              </w:rPr>
              <w:t>5.38%</w:t>
            </w:r>
          </w:p>
        </w:tc>
        <w:tc>
          <w:tcPr>
            <w:tcW w:w="40" w:type="dxa"/>
            <w:vAlign w:val="bottom"/>
          </w:tcPr>
          <w:p>
            <w:pPr>
              <w:spacing w:after="0"/>
              <w:rPr>
                <w:sz w:val="17"/>
                <w:szCs w:val="17"/>
                <w:color w:val="auto"/>
              </w:rPr>
            </w:pPr>
          </w:p>
        </w:tc>
        <w:tc>
          <w:tcPr>
            <w:tcW w:w="1160" w:type="dxa"/>
            <w:vAlign w:val="bottom"/>
            <w:gridSpan w:val="2"/>
          </w:tcPr>
          <w:p>
            <w:pPr>
              <w:jc w:val="center"/>
              <w:spacing w:after="0"/>
              <w:rPr>
                <w:sz w:val="20"/>
                <w:szCs w:val="20"/>
                <w:color w:val="auto"/>
              </w:rPr>
            </w:pPr>
            <w:r>
              <w:rPr>
                <w:rFonts w:ascii="Arial" w:cs="Arial" w:eastAsia="Arial" w:hAnsi="Arial"/>
                <w:sz w:val="13"/>
                <w:szCs w:val="13"/>
                <w:color w:val="auto"/>
                <w:w w:val="99"/>
              </w:rPr>
              <w:t>February 2024</w:t>
            </w: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7,954</w:t>
            </w:r>
          </w:p>
        </w:tc>
        <w:tc>
          <w:tcPr>
            <w:tcW w:w="0" w:type="dxa"/>
            <w:vAlign w:val="bottom"/>
          </w:tcPr>
          <w:p>
            <w:pPr>
              <w:spacing w:after="0"/>
              <w:rPr>
                <w:sz w:val="1"/>
                <w:szCs w:val="1"/>
                <w:color w:val="auto"/>
              </w:rPr>
            </w:pPr>
          </w:p>
        </w:tc>
      </w:tr>
      <w:tr>
        <w:trPr>
          <w:trHeight w:val="163"/>
        </w:trPr>
        <w:tc>
          <w:tcPr>
            <w:tcW w:w="46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Increases in construction borrowings and interest rates under secured notes</w:t>
            </w:r>
          </w:p>
        </w:tc>
        <w:tc>
          <w:tcPr>
            <w:tcW w:w="1020" w:type="dxa"/>
            <w:vAlign w:val="bottom"/>
            <w:vMerge w:val="restart"/>
            <w:shd w:val="clear" w:color="auto" w:fill="CCEEFF"/>
          </w:tcPr>
          <w:p>
            <w:pPr>
              <w:jc w:val="right"/>
              <w:ind w:right="136"/>
              <w:spacing w:after="0"/>
              <w:rPr>
                <w:sz w:val="20"/>
                <w:szCs w:val="20"/>
                <w:color w:val="auto"/>
              </w:rPr>
            </w:pPr>
            <w:r>
              <w:rPr>
                <w:rFonts w:ascii="Arial" w:cs="Arial" w:eastAsia="Arial" w:hAnsi="Arial"/>
                <w:sz w:val="13"/>
                <w:szCs w:val="13"/>
                <w:color w:val="auto"/>
              </w:rPr>
              <w:t>8.14%</w:t>
            </w:r>
          </w:p>
        </w:tc>
        <w:tc>
          <w:tcPr>
            <w:tcW w:w="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2,531</w:t>
            </w:r>
          </w:p>
        </w:tc>
        <w:tc>
          <w:tcPr>
            <w:tcW w:w="0" w:type="dxa"/>
            <w:vAlign w:val="bottom"/>
          </w:tcPr>
          <w:p>
            <w:pPr>
              <w:spacing w:after="0"/>
              <w:rPr>
                <w:sz w:val="1"/>
                <w:szCs w:val="1"/>
                <w:color w:val="auto"/>
              </w:rPr>
            </w:pPr>
          </w:p>
        </w:tc>
      </w:tr>
      <w:tr>
        <w:trPr>
          <w:trHeight w:val="172"/>
        </w:trPr>
        <w:tc>
          <w:tcPr>
            <w:tcW w:w="4600" w:type="dxa"/>
            <w:vAlign w:val="bottom"/>
            <w:gridSpan w:val="2"/>
            <w:shd w:val="clear" w:color="auto" w:fill="CCEEFF"/>
          </w:tcPr>
          <w:p>
            <w:pPr>
              <w:ind w:left="320"/>
              <w:spacing w:after="0"/>
              <w:rPr>
                <w:sz w:val="20"/>
                <w:szCs w:val="20"/>
                <w:color w:val="auto"/>
              </w:rPr>
            </w:pPr>
            <w:r>
              <w:rPr>
                <w:rFonts w:ascii="Arial" w:cs="Arial" w:eastAsia="Arial" w:hAnsi="Arial"/>
                <w:sz w:val="13"/>
                <w:szCs w:val="13"/>
                <w:color w:val="auto"/>
              </w:rPr>
              <w:t>payable</w:t>
            </w:r>
          </w:p>
        </w:tc>
        <w:tc>
          <w:tcPr>
            <w:tcW w:w="102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600" w:type="dxa"/>
            <w:vAlign w:val="bottom"/>
            <w:gridSpan w:val="2"/>
          </w:tcPr>
          <w:p>
            <w:pPr>
              <w:ind w:left="140"/>
              <w:spacing w:after="0"/>
              <w:rPr>
                <w:sz w:val="20"/>
                <w:szCs w:val="20"/>
                <w:color w:val="auto"/>
              </w:rPr>
            </w:pPr>
            <w:r>
              <w:rPr>
                <w:rFonts w:ascii="Arial" w:cs="Arial" w:eastAsia="Arial" w:hAnsi="Arial"/>
                <w:sz w:val="13"/>
                <w:szCs w:val="13"/>
                <w:color w:val="auto"/>
              </w:rPr>
              <w:t>Higher average outstanding balances and/or rate increases on borrowings</w:t>
            </w: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8,801</w:t>
            </w:r>
          </w:p>
        </w:tc>
        <w:tc>
          <w:tcPr>
            <w:tcW w:w="0" w:type="dxa"/>
            <w:vAlign w:val="bottom"/>
          </w:tcPr>
          <w:p>
            <w:pPr>
              <w:spacing w:after="0"/>
              <w:rPr>
                <w:sz w:val="1"/>
                <w:szCs w:val="1"/>
                <w:color w:val="auto"/>
              </w:rPr>
            </w:pPr>
          </w:p>
        </w:tc>
      </w:tr>
      <w:tr>
        <w:trPr>
          <w:trHeight w:val="170"/>
        </w:trPr>
        <w:tc>
          <w:tcPr>
            <w:tcW w:w="4600" w:type="dxa"/>
            <w:vAlign w:val="bottom"/>
            <w:gridSpan w:val="2"/>
          </w:tcPr>
          <w:p>
            <w:pPr>
              <w:ind w:left="320"/>
              <w:spacing w:after="0"/>
              <w:rPr>
                <w:sz w:val="20"/>
                <w:szCs w:val="20"/>
                <w:color w:val="auto"/>
              </w:rPr>
            </w:pPr>
            <w:r>
              <w:rPr>
                <w:rFonts w:ascii="Arial" w:cs="Arial" w:eastAsia="Arial" w:hAnsi="Arial"/>
                <w:sz w:val="13"/>
                <w:szCs w:val="13"/>
                <w:color w:val="auto"/>
              </w:rPr>
              <w:t>under commercial paper program and unsecured senior line of credit</w:t>
            </w: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46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Other increase in interest</w:t>
            </w:r>
          </w:p>
        </w:tc>
        <w:tc>
          <w:tcPr>
            <w:tcW w:w="10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1,691</w:t>
            </w:r>
          </w:p>
        </w:tc>
        <w:tc>
          <w:tcPr>
            <w:tcW w:w="0" w:type="dxa"/>
            <w:vAlign w:val="bottom"/>
          </w:tcPr>
          <w:p>
            <w:pPr>
              <w:spacing w:after="0"/>
              <w:rPr>
                <w:sz w:val="1"/>
                <w:szCs w:val="1"/>
                <w:color w:val="auto"/>
              </w:rPr>
            </w:pPr>
          </w:p>
        </w:tc>
      </w:tr>
      <w:tr>
        <w:trPr>
          <w:trHeight w:val="184"/>
        </w:trPr>
        <w:tc>
          <w:tcPr>
            <w:tcW w:w="4600" w:type="dxa"/>
            <w:vAlign w:val="bottom"/>
            <w:gridSpan w:val="2"/>
          </w:tcPr>
          <w:p>
            <w:pPr>
              <w:ind w:left="40"/>
              <w:spacing w:after="0"/>
              <w:rPr>
                <w:sz w:val="20"/>
                <w:szCs w:val="20"/>
                <w:color w:val="auto"/>
              </w:rPr>
            </w:pPr>
            <w:r>
              <w:rPr>
                <w:rFonts w:ascii="Arial" w:cs="Arial" w:eastAsia="Arial" w:hAnsi="Arial"/>
                <w:sz w:val="13"/>
                <w:szCs w:val="13"/>
                <w:color w:val="auto"/>
              </w:rPr>
              <w:t>Change in gross interest</w:t>
            </w: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39,938</w:t>
            </w:r>
          </w:p>
        </w:tc>
        <w:tc>
          <w:tcPr>
            <w:tcW w:w="0" w:type="dxa"/>
            <w:vAlign w:val="bottom"/>
          </w:tcPr>
          <w:p>
            <w:pPr>
              <w:spacing w:after="0"/>
              <w:rPr>
                <w:sz w:val="1"/>
                <w:szCs w:val="1"/>
                <w:color w:val="auto"/>
              </w:rPr>
            </w:pPr>
          </w:p>
        </w:tc>
      </w:tr>
      <w:tr>
        <w:trPr>
          <w:trHeight w:val="204"/>
        </w:trPr>
        <w:tc>
          <w:tcPr>
            <w:tcW w:w="46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Decrease in capitalized interest</w:t>
            </w:r>
          </w:p>
        </w:tc>
        <w:tc>
          <w:tcPr>
            <w:tcW w:w="10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15,865</w:t>
            </w:r>
          </w:p>
        </w:tc>
        <w:tc>
          <w:tcPr>
            <w:tcW w:w="0" w:type="dxa"/>
            <w:vAlign w:val="bottom"/>
          </w:tcPr>
          <w:p>
            <w:pPr>
              <w:spacing w:after="0"/>
              <w:rPr>
                <w:sz w:val="1"/>
                <w:szCs w:val="1"/>
                <w:color w:val="auto"/>
              </w:rPr>
            </w:pPr>
          </w:p>
        </w:tc>
      </w:tr>
      <w:tr>
        <w:trPr>
          <w:trHeight w:val="164"/>
        </w:trPr>
        <w:tc>
          <w:tcPr>
            <w:tcW w:w="4600" w:type="dxa"/>
            <w:vAlign w:val="bottom"/>
            <w:gridSpan w:val="2"/>
          </w:tcPr>
          <w:p>
            <w:pPr>
              <w:ind w:left="40"/>
              <w:spacing w:after="0"/>
              <w:rPr>
                <w:sz w:val="20"/>
                <w:szCs w:val="20"/>
                <w:color w:val="auto"/>
              </w:rPr>
            </w:pPr>
            <w:r>
              <w:rPr>
                <w:rFonts w:ascii="Arial" w:cs="Arial" w:eastAsia="Arial" w:hAnsi="Arial"/>
                <w:sz w:val="13"/>
                <w:szCs w:val="13"/>
                <w:b w:val="1"/>
                <w:bCs w:val="1"/>
                <w:color w:val="auto"/>
              </w:rPr>
              <w:t>Total change in interest expense</w:t>
            </w: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55,803</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 w:lineRule="exact"/>
        <w:rPr>
          <w:sz w:val="20"/>
          <w:szCs w:val="20"/>
          <w:color w:val="auto"/>
        </w:rPr>
      </w:pPr>
    </w:p>
    <w:p>
      <w:pPr>
        <w:ind w:left="900" w:right="679" w:hanging="262"/>
        <w:spacing w:after="0" w:line="305" w:lineRule="auto"/>
        <w:tabs>
          <w:tab w:leader="none" w:pos="900" w:val="left"/>
        </w:tabs>
        <w:numPr>
          <w:ilvl w:val="0"/>
          <w:numId w:val="98"/>
        </w:numPr>
        <w:rPr>
          <w:rFonts w:ascii="Arial" w:cs="Arial" w:eastAsia="Arial" w:hAnsi="Arial"/>
          <w:sz w:val="10"/>
          <w:szCs w:val="10"/>
          <w:color w:val="auto"/>
        </w:rPr>
      </w:pPr>
      <w:r>
        <w:rPr>
          <w:rFonts w:ascii="Arial" w:cs="Arial" w:eastAsia="Arial" w:hAnsi="Arial"/>
          <w:sz w:val="10"/>
          <w:szCs w:val="10"/>
          <w:color w:val="auto"/>
        </w:rPr>
        <w:t>Represents the weighted-average interest rate as of the end of the applicable period, including amortization of loan fees, amortization of debt premiums (discounts), and other bank fees.</w:t>
      </w:r>
    </w:p>
    <w:p>
      <w:pPr>
        <w:spacing w:after="0" w:line="111" w:lineRule="exact"/>
        <w:rPr>
          <w:sz w:val="20"/>
          <w:szCs w:val="20"/>
          <w:color w:val="auto"/>
        </w:rPr>
      </w:pPr>
    </w:p>
    <w:p>
      <w:pPr>
        <w:ind w:left="640"/>
        <w:spacing w:after="0"/>
        <w:rPr>
          <w:sz w:val="20"/>
          <w:szCs w:val="20"/>
          <w:color w:val="auto"/>
        </w:rPr>
      </w:pPr>
      <w:r>
        <w:rPr>
          <w:rFonts w:ascii="Arial" w:cs="Arial" w:eastAsia="Arial" w:hAnsi="Arial"/>
          <w:sz w:val="13"/>
          <w:szCs w:val="13"/>
          <w:i w:val="1"/>
          <w:iCs w:val="1"/>
          <w:u w:val="single" w:color="auto"/>
          <w:color w:val="auto"/>
        </w:rPr>
        <w:t>Impairment of real estate</w:t>
      </w:r>
    </w:p>
    <w:p>
      <w:pPr>
        <w:spacing w:after="0" w:line="160" w:lineRule="exact"/>
        <w:rPr>
          <w:sz w:val="20"/>
          <w:szCs w:val="20"/>
          <w:color w:val="auto"/>
        </w:rPr>
      </w:pPr>
    </w:p>
    <w:p>
      <w:pPr>
        <w:ind w:left="640" w:right="719" w:firstLine="516"/>
        <w:spacing w:after="0" w:line="252" w:lineRule="auto"/>
        <w:rPr>
          <w:sz w:val="20"/>
          <w:szCs w:val="20"/>
          <w:color w:val="auto"/>
        </w:rPr>
      </w:pPr>
      <w:r>
        <w:rPr>
          <w:rFonts w:ascii="Arial" w:cs="Arial" w:eastAsia="Arial" w:hAnsi="Arial"/>
          <w:sz w:val="13"/>
          <w:szCs w:val="13"/>
          <w:color w:val="auto"/>
        </w:rPr>
        <w:t>In 2020 and 2022, we executed purchase agreements for two potential acquisitions in our Greater Boston market, which aggregated 1.4 million of future development RSF. The total purchase price aggregated $366.8 million, and we initially expected to close these acquisitions after 2024. Our intent for each site included the demolition of existing buildings upon expiration of the existing in-place leases and the development of life science properties. During the three months ended June 30, 2024, we decided to no longer proceed with these acquisitions as a result of the current macroeconomic environment that negatively impacted the financial outlooks for these projects. As a result, we recognized impairment charges aggregating $30.8 million, primarily consisting of the pre-acquisition costs related to these potential acquisitions.</w:t>
      </w:r>
    </w:p>
    <w:p>
      <w:pPr>
        <w:spacing w:after="0" w:line="136" w:lineRule="exact"/>
        <w:rPr>
          <w:sz w:val="20"/>
          <w:szCs w:val="20"/>
          <w:color w:val="auto"/>
        </w:rPr>
      </w:pPr>
    </w:p>
    <w:p>
      <w:pPr>
        <w:ind w:left="640" w:right="719" w:firstLine="516"/>
        <w:spacing w:after="0" w:line="265" w:lineRule="auto"/>
        <w:rPr>
          <w:sz w:val="20"/>
          <w:szCs w:val="20"/>
          <w:color w:val="auto"/>
        </w:rPr>
      </w:pPr>
      <w:r>
        <w:rPr>
          <w:rFonts w:ascii="Arial" w:cs="Arial" w:eastAsia="Arial" w:hAnsi="Arial"/>
          <w:sz w:val="13"/>
          <w:szCs w:val="13"/>
          <w:color w:val="auto"/>
        </w:rPr>
        <w:t>During the six months ended June 30, 2023, we recognized real estate impairment charges aggregating $168.6 million, primarily to reduce the carrying amount of a three-building office campus in our Route 128 submarket to its current fair value less costs to sell.</w:t>
      </w:r>
    </w:p>
    <w:p>
      <w:pPr>
        <w:spacing w:after="0" w:line="128" w:lineRule="exact"/>
        <w:rPr>
          <w:sz w:val="20"/>
          <w:szCs w:val="20"/>
          <w:color w:val="auto"/>
        </w:rPr>
      </w:pPr>
    </w:p>
    <w:p>
      <w:pPr>
        <w:ind w:left="640" w:right="759" w:firstLine="516"/>
        <w:spacing w:after="0" w:line="272" w:lineRule="auto"/>
        <w:rPr>
          <w:sz w:val="20"/>
          <w:szCs w:val="20"/>
          <w:color w:val="auto"/>
        </w:rPr>
      </w:pPr>
      <w:r>
        <w:rPr>
          <w:rFonts w:ascii="Arial" w:cs="Arial" w:eastAsia="Arial" w:hAnsi="Arial"/>
          <w:sz w:val="13"/>
          <w:szCs w:val="13"/>
          <w:color w:val="auto"/>
        </w:rPr>
        <w:t>For more information, refer to “Sales of real estate assets and impairment charges” in Note 3 – “Investments in real estate” to our unaudited consolidated financial statements in Item 1.</w:t>
      </w:r>
    </w:p>
    <w:p>
      <w:pPr>
        <w:sectPr>
          <w:pgSz w:w="11900" w:h="16838" w:orient="portrait"/>
          <w:cols w:equalWidth="0" w:num="1">
            <w:col w:w="9019"/>
          </w:cols>
          <w:pgMar w:left="1440" w:top="118" w:right="1440" w:bottom="53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195580</wp:posOffset>
            </wp:positionV>
            <wp:extent cx="5584190" cy="4121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584190" cy="412115"/>
                    </a:xfrm>
                    <a:prstGeom prst="rect">
                      <a:avLst/>
                    </a:prstGeom>
                    <a:noFill/>
                  </pic:spPr>
                </pic:pic>
              </a:graphicData>
            </a:graphic>
          </wp:anchor>
        </w:drawing>
      </w:r>
    </w:p>
    <w:p>
      <w:pPr>
        <w:sectPr>
          <w:pgSz w:w="11900" w:h="16838" w:orient="portrait"/>
          <w:cols w:equalWidth="0" w:num="1">
            <w:col w:w="9019"/>
          </w:cols>
          <w:pgMar w:left="1440" w:top="118" w:right="1440" w:bottom="531" w:gutter="0" w:footer="0" w:header="0"/>
          <w:type w:val="continuous"/>
        </w:sectPr>
      </w:pPr>
    </w:p>
    <w:bookmarkStart w:id="53" w:name="page54"/>
    <w:bookmarkEnd w:id="53"/>
    <w:p>
      <w:pPr>
        <w:ind w:left="640"/>
        <w:spacing w:after="0"/>
        <w:rPr>
          <w:sz w:val="20"/>
          <w:szCs w:val="20"/>
          <w:color w:val="auto"/>
        </w:rPr>
      </w:pPr>
      <w:r>
        <w:rPr>
          <w:rFonts w:ascii="Arial" w:cs="Arial" w:eastAsia="Arial" w:hAnsi="Arial"/>
          <w:sz w:val="13"/>
          <w:szCs w:val="13"/>
          <w:i w:val="1"/>
          <w:iCs w:val="1"/>
          <w:u w:val="single" w:color="auto"/>
          <w:color w:val="auto"/>
        </w:rPr>
        <w:t>Investment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-81280</wp:posOffset>
            </wp:positionV>
            <wp:extent cx="5584190" cy="680212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584190" cy="6802120"/>
                    </a:xfrm>
                    <a:prstGeom prst="rect">
                      <a:avLst/>
                    </a:prstGeom>
                    <a:noFill/>
                  </pic:spPr>
                </pic:pic>
              </a:graphicData>
            </a:graphic>
          </wp:anchor>
        </w:drawing>
      </w:r>
    </w:p>
    <w:p>
      <w:pPr>
        <w:spacing w:after="0" w:line="108" w:lineRule="exact"/>
        <w:rPr>
          <w:sz w:val="20"/>
          <w:szCs w:val="20"/>
          <w:color w:val="auto"/>
        </w:rPr>
      </w:pPr>
    </w:p>
    <w:p>
      <w:pPr>
        <w:ind w:left="640" w:right="859" w:firstLine="516"/>
        <w:spacing w:after="0" w:line="253" w:lineRule="auto"/>
        <w:rPr>
          <w:sz w:val="20"/>
          <w:szCs w:val="20"/>
          <w:color w:val="auto"/>
        </w:rPr>
      </w:pPr>
      <w:r>
        <w:rPr>
          <w:rFonts w:ascii="Arial" w:cs="Arial" w:eastAsia="Arial" w:hAnsi="Arial"/>
          <w:sz w:val="13"/>
          <w:szCs w:val="13"/>
          <w:color w:val="auto"/>
        </w:rPr>
        <w:t>During the six months ended June 30, 2024, we recognized an investment loss aggregating $376 thousand. This loss consisted of unrealized losses primarily resulting from the reclassifications of unrealized gains of $35.1 million recognized in prior periods into realized gains upon the realization of investments during the six months ended June 30, 2024. The investment loss also included realized gains of $62.2 million, partially offset by impairment charges of $27.5 million primarily related to non-real estate investments in privately held entities that do not report NAV.</w:t>
      </w:r>
    </w:p>
    <w:p>
      <w:pPr>
        <w:spacing w:after="0" w:line="136" w:lineRule="exact"/>
        <w:rPr>
          <w:sz w:val="20"/>
          <w:szCs w:val="20"/>
          <w:color w:val="auto"/>
        </w:rPr>
      </w:pPr>
    </w:p>
    <w:p>
      <w:pPr>
        <w:ind w:left="640" w:right="879" w:firstLine="516"/>
        <w:spacing w:after="0" w:line="289" w:lineRule="auto"/>
        <w:rPr>
          <w:sz w:val="20"/>
          <w:szCs w:val="20"/>
          <w:color w:val="auto"/>
        </w:rPr>
      </w:pPr>
      <w:r>
        <w:rPr>
          <w:rFonts w:ascii="Arial" w:cs="Arial" w:eastAsia="Arial" w:hAnsi="Arial"/>
          <w:sz w:val="13"/>
          <w:szCs w:val="13"/>
          <w:color w:val="auto"/>
        </w:rPr>
        <w:t>During the six months ended June 30, 2023, we recognized investment loss aggregating $123.4 million, which consisted of $20.4 million of realized gains and $143.8 million of unrealized losses.</w:t>
      </w:r>
    </w:p>
    <w:p>
      <w:pPr>
        <w:spacing w:after="0" w:line="102" w:lineRule="exact"/>
        <w:rPr>
          <w:sz w:val="20"/>
          <w:szCs w:val="20"/>
          <w:color w:val="auto"/>
        </w:rPr>
      </w:pPr>
    </w:p>
    <w:p>
      <w:pPr>
        <w:ind w:left="640" w:right="639" w:firstLine="516"/>
        <w:spacing w:after="0" w:line="265" w:lineRule="auto"/>
        <w:rPr>
          <w:sz w:val="20"/>
          <w:szCs w:val="20"/>
          <w:color w:val="auto"/>
        </w:rPr>
      </w:pPr>
      <w:r>
        <w:rPr>
          <w:rFonts w:ascii="Arial" w:cs="Arial" w:eastAsia="Arial" w:hAnsi="Arial"/>
          <w:sz w:val="13"/>
          <w:szCs w:val="13"/>
          <w:color w:val="auto"/>
        </w:rPr>
        <w:t>For more information about our investments, refer to Note 7 – “Investments” to our unaudited consolidated financial statements in Item 1. For our impairments accounting policy, refer to “Investments” in Note 2 – “Summary of significant accounting policies” to our unaudited consolidated financial statements in Item 1.</w:t>
      </w:r>
    </w:p>
    <w:p>
      <w:pPr>
        <w:spacing w:after="0" w:line="130" w:lineRule="exact"/>
        <w:rPr>
          <w:sz w:val="20"/>
          <w:szCs w:val="20"/>
          <w:color w:val="auto"/>
        </w:rPr>
      </w:pPr>
    </w:p>
    <w:p>
      <w:pPr>
        <w:ind w:left="640"/>
        <w:spacing w:after="0"/>
        <w:rPr>
          <w:sz w:val="20"/>
          <w:szCs w:val="20"/>
          <w:color w:val="auto"/>
        </w:rPr>
      </w:pPr>
      <w:r>
        <w:rPr>
          <w:rFonts w:ascii="Arial" w:cs="Arial" w:eastAsia="Arial" w:hAnsi="Arial"/>
          <w:sz w:val="13"/>
          <w:szCs w:val="13"/>
          <w:i w:val="1"/>
          <w:iCs w:val="1"/>
          <w:u w:val="single" w:color="auto"/>
          <w:color w:val="auto"/>
        </w:rPr>
        <w:t>Gain on sales of real estate</w:t>
      </w:r>
    </w:p>
    <w:p>
      <w:pPr>
        <w:spacing w:after="0" w:line="160" w:lineRule="exact"/>
        <w:rPr>
          <w:sz w:val="20"/>
          <w:szCs w:val="20"/>
          <w:color w:val="auto"/>
        </w:rPr>
      </w:pPr>
    </w:p>
    <w:p>
      <w:pPr>
        <w:ind w:left="640" w:right="679" w:firstLine="516"/>
        <w:spacing w:after="0" w:line="265" w:lineRule="auto"/>
        <w:rPr>
          <w:sz w:val="20"/>
          <w:szCs w:val="20"/>
          <w:color w:val="auto"/>
        </w:rPr>
      </w:pPr>
      <w:r>
        <w:rPr>
          <w:rFonts w:ascii="Arial" w:cs="Arial" w:eastAsia="Arial" w:hAnsi="Arial"/>
          <w:sz w:val="13"/>
          <w:szCs w:val="13"/>
          <w:color w:val="auto"/>
        </w:rPr>
        <w:t>During the six months ended June 30, 2023, we recognized $214.8 million of gains related to the dispositions of six real estate assets. The gains were classified in gain on sales of real estate within our consolidated statement of operations for the six months ended June 30, 2023.</w:t>
      </w:r>
    </w:p>
    <w:p>
      <w:pPr>
        <w:spacing w:after="0" w:line="119" w:lineRule="exact"/>
        <w:rPr>
          <w:sz w:val="20"/>
          <w:szCs w:val="20"/>
          <w:color w:val="auto"/>
        </w:rPr>
      </w:pPr>
    </w:p>
    <w:p>
      <w:pPr>
        <w:ind w:left="640"/>
        <w:spacing w:after="0"/>
        <w:rPr>
          <w:sz w:val="20"/>
          <w:szCs w:val="20"/>
          <w:color w:val="auto"/>
        </w:rPr>
      </w:pPr>
      <w:r>
        <w:rPr>
          <w:rFonts w:ascii="Arial" w:cs="Arial" w:eastAsia="Arial" w:hAnsi="Arial"/>
          <w:sz w:val="13"/>
          <w:szCs w:val="13"/>
          <w:i w:val="1"/>
          <w:iCs w:val="1"/>
          <w:u w:val="single" w:color="auto"/>
          <w:color w:val="auto"/>
        </w:rPr>
        <w:t>Other comprehensive loss</w:t>
      </w:r>
    </w:p>
    <w:p>
      <w:pPr>
        <w:spacing w:after="0" w:line="160" w:lineRule="exact"/>
        <w:rPr>
          <w:sz w:val="20"/>
          <w:szCs w:val="20"/>
          <w:color w:val="auto"/>
        </w:rPr>
      </w:pPr>
    </w:p>
    <w:p>
      <w:pPr>
        <w:ind w:left="640" w:right="699" w:firstLine="516"/>
        <w:spacing w:after="0" w:line="265" w:lineRule="auto"/>
        <w:rPr>
          <w:sz w:val="20"/>
          <w:szCs w:val="20"/>
          <w:color w:val="auto"/>
        </w:rPr>
      </w:pPr>
      <w:r>
        <w:rPr>
          <w:rFonts w:ascii="Arial" w:cs="Arial" w:eastAsia="Arial" w:hAnsi="Arial"/>
          <w:sz w:val="13"/>
          <w:szCs w:val="13"/>
          <w:color w:val="auto"/>
        </w:rPr>
        <w:t>Total other comprehensive loss for the six months ended June 30, 2024 decreased by $16.0 million to aggregate net unrealized losses of $11.8 million, compared to net unrealized gains of $4.2 million for the six months ended June 30, 2023, primarily in connection with the foreign currency translation related to our operations in Canada.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188595</wp:posOffset>
            </wp:positionV>
            <wp:extent cx="5584190" cy="36512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584190" cy="3651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40"/>
        <w:spacing w:after="0"/>
        <w:rPr>
          <w:sz w:val="20"/>
          <w:szCs w:val="20"/>
          <w:color w:val="auto"/>
        </w:rPr>
      </w:pPr>
      <w:r>
        <w:rPr>
          <w:rFonts w:ascii="Arial" w:cs="Arial" w:eastAsia="Arial" w:hAnsi="Arial"/>
          <w:sz w:val="13"/>
          <w:szCs w:val="13"/>
          <w:u w:val="single" w:color="auto"/>
          <w:color w:val="auto"/>
        </w:rPr>
        <w:t>Summary of capital expenditures</w:t>
      </w:r>
    </w:p>
    <w:p>
      <w:pPr>
        <w:spacing w:after="0" w:line="162" w:lineRule="exact"/>
        <w:rPr>
          <w:sz w:val="20"/>
          <w:szCs w:val="20"/>
          <w:color w:val="auto"/>
        </w:rPr>
      </w:pPr>
    </w:p>
    <w:p>
      <w:pPr>
        <w:ind w:left="640" w:right="739" w:firstLine="516"/>
        <w:spacing w:after="0" w:line="272" w:lineRule="auto"/>
        <w:rPr>
          <w:sz w:val="20"/>
          <w:szCs w:val="20"/>
          <w:color w:val="auto"/>
        </w:rPr>
      </w:pPr>
      <w:r>
        <w:rPr>
          <w:rFonts w:ascii="Arial" w:cs="Arial" w:eastAsia="Arial" w:hAnsi="Arial"/>
          <w:sz w:val="13"/>
          <w:szCs w:val="13"/>
          <w:color w:val="auto"/>
        </w:rPr>
        <w:t>Our construction spending for the six months ended June 30, 2024 and projected spending for the year ending December 31, 2024 consisted of the following (in thousands):</w:t>
      </w:r>
    </w:p>
    <w:p>
      <w:pPr>
        <w:spacing w:after="0" w:line="6" w:lineRule="exact"/>
        <w:rPr>
          <w:sz w:val="20"/>
          <w:szCs w:val="20"/>
          <w:color w:val="auto"/>
        </w:rPr>
      </w:pPr>
    </w:p>
    <w:tbl>
      <w:tblPr>
        <w:tblLayout w:type="fixed"/>
        <w:tblInd w:w="640" w:type="dxa"/>
        <w:tblCellMar>
          <w:top w:w="0" w:type="dxa"/>
          <w:left w:w="0" w:type="dxa"/>
          <w:bottom w:w="0" w:type="dxa"/>
          <w:right w:w="0" w:type="dxa"/>
        </w:tblCellMar>
      </w:tblPr>
      <w:tr>
        <w:trPr>
          <w:trHeight w:val="149"/>
        </w:trPr>
        <w:tc>
          <w:tcPr>
            <w:tcW w:w="4580" w:type="dxa"/>
            <w:vAlign w:val="bottom"/>
          </w:tcPr>
          <w:p>
            <w:pPr>
              <w:spacing w:after="0"/>
              <w:rPr>
                <w:sz w:val="12"/>
                <w:szCs w:val="12"/>
                <w:color w:val="auto"/>
              </w:rPr>
            </w:pPr>
          </w:p>
        </w:tc>
        <w:tc>
          <w:tcPr>
            <w:tcW w:w="1460" w:type="dxa"/>
            <w:vAlign w:val="bottom"/>
            <w:gridSpan w:val="3"/>
            <w:vMerge w:val="restart"/>
          </w:tcPr>
          <w:p>
            <w:pPr>
              <w:ind w:left="120"/>
              <w:spacing w:after="0"/>
              <w:rPr>
                <w:sz w:val="20"/>
                <w:szCs w:val="20"/>
                <w:color w:val="auto"/>
              </w:rPr>
            </w:pPr>
            <w:r>
              <w:rPr>
                <w:rFonts w:ascii="Arial" w:cs="Arial" w:eastAsia="Arial" w:hAnsi="Arial"/>
                <w:sz w:val="13"/>
                <w:szCs w:val="13"/>
                <w:color w:val="auto"/>
              </w:rPr>
              <w:t>Six Months Ended</w:t>
            </w:r>
          </w:p>
        </w:tc>
        <w:tc>
          <w:tcPr>
            <w:tcW w:w="1640" w:type="dxa"/>
            <w:vAlign w:val="bottom"/>
            <w:gridSpan w:val="3"/>
          </w:tcPr>
          <w:p>
            <w:pPr>
              <w:jc w:val="center"/>
              <w:ind w:right="140"/>
              <w:spacing w:after="0"/>
              <w:rPr>
                <w:sz w:val="20"/>
                <w:szCs w:val="20"/>
                <w:color w:val="auto"/>
              </w:rPr>
            </w:pPr>
            <w:r>
              <w:rPr>
                <w:rFonts w:ascii="Arial" w:cs="Arial" w:eastAsia="Arial" w:hAnsi="Arial"/>
                <w:sz w:val="13"/>
                <w:szCs w:val="13"/>
                <w:color w:val="auto"/>
                <w:w w:val="99"/>
              </w:rPr>
              <w:t>Projected Midpoint for</w:t>
            </w:r>
          </w:p>
        </w:tc>
        <w:tc>
          <w:tcPr>
            <w:tcW w:w="0" w:type="dxa"/>
            <w:vAlign w:val="bottom"/>
          </w:tcPr>
          <w:p>
            <w:pPr>
              <w:spacing w:after="0"/>
              <w:rPr>
                <w:sz w:val="1"/>
                <w:szCs w:val="1"/>
                <w:color w:val="auto"/>
              </w:rPr>
            </w:pPr>
          </w:p>
        </w:tc>
      </w:tr>
      <w:tr>
        <w:trPr>
          <w:trHeight w:val="129"/>
        </w:trPr>
        <w:tc>
          <w:tcPr>
            <w:tcW w:w="4580" w:type="dxa"/>
            <w:vAlign w:val="bottom"/>
          </w:tcPr>
          <w:p>
            <w:pPr>
              <w:spacing w:after="0"/>
              <w:rPr>
                <w:sz w:val="11"/>
                <w:szCs w:val="11"/>
                <w:color w:val="auto"/>
              </w:rPr>
            </w:pPr>
          </w:p>
        </w:tc>
        <w:tc>
          <w:tcPr>
            <w:tcW w:w="1460" w:type="dxa"/>
            <w:vAlign w:val="bottom"/>
            <w:gridSpan w:val="3"/>
            <w:vMerge w:val="continue"/>
          </w:tcPr>
          <w:p>
            <w:pPr>
              <w:spacing w:after="0"/>
              <w:rPr>
                <w:sz w:val="11"/>
                <w:szCs w:val="11"/>
                <w:color w:val="auto"/>
              </w:rPr>
            </w:pPr>
          </w:p>
        </w:tc>
        <w:tc>
          <w:tcPr>
            <w:tcW w:w="180" w:type="dxa"/>
            <w:vAlign w:val="bottom"/>
          </w:tcPr>
          <w:p>
            <w:pPr>
              <w:spacing w:after="0"/>
              <w:rPr>
                <w:sz w:val="11"/>
                <w:szCs w:val="11"/>
                <w:color w:val="auto"/>
              </w:rPr>
            </w:pPr>
          </w:p>
        </w:tc>
        <w:tc>
          <w:tcPr>
            <w:tcW w:w="1460" w:type="dxa"/>
            <w:vAlign w:val="bottom"/>
            <w:gridSpan w:val="2"/>
          </w:tcPr>
          <w:p>
            <w:pPr>
              <w:jc w:val="center"/>
              <w:ind w:right="300"/>
              <w:spacing w:after="0" w:line="129" w:lineRule="exact"/>
              <w:rPr>
                <w:sz w:val="20"/>
                <w:szCs w:val="20"/>
                <w:color w:val="auto"/>
              </w:rPr>
            </w:pPr>
            <w:r>
              <w:rPr>
                <w:rFonts w:ascii="Arial" w:cs="Arial" w:eastAsia="Arial" w:hAnsi="Arial"/>
                <w:sz w:val="13"/>
                <w:szCs w:val="13"/>
                <w:color w:val="auto"/>
                <w:w w:val="98"/>
              </w:rPr>
              <w:t>the Year Ending</w:t>
            </w:r>
          </w:p>
        </w:tc>
        <w:tc>
          <w:tcPr>
            <w:tcW w:w="0" w:type="dxa"/>
            <w:vAlign w:val="bottom"/>
          </w:tcPr>
          <w:p>
            <w:pPr>
              <w:spacing w:after="0"/>
              <w:rPr>
                <w:sz w:val="1"/>
                <w:szCs w:val="1"/>
                <w:color w:val="auto"/>
              </w:rPr>
            </w:pPr>
          </w:p>
        </w:tc>
      </w:tr>
      <w:tr>
        <w:trPr>
          <w:trHeight w:val="170"/>
        </w:trPr>
        <w:tc>
          <w:tcPr>
            <w:tcW w:w="4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ind w:left="20"/>
              <w:spacing w:after="0"/>
              <w:rPr>
                <w:sz w:val="20"/>
                <w:szCs w:val="20"/>
                <w:color w:val="auto"/>
              </w:rPr>
            </w:pPr>
            <w:r>
              <w:rPr>
                <w:rFonts w:ascii="Arial" w:cs="Arial" w:eastAsia="Arial" w:hAnsi="Arial"/>
                <w:sz w:val="13"/>
                <w:szCs w:val="13"/>
                <w:color w:val="auto"/>
              </w:rPr>
              <w:t>June 30, 2024</w:t>
            </w:r>
          </w:p>
        </w:tc>
        <w:tc>
          <w:tcPr>
            <w:tcW w:w="180" w:type="dxa"/>
            <w:vAlign w:val="bottom"/>
          </w:tcPr>
          <w:p>
            <w:pPr>
              <w:spacing w:after="0"/>
              <w:rPr>
                <w:sz w:val="14"/>
                <w:szCs w:val="14"/>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3"/>
                <w:szCs w:val="13"/>
                <w:color w:val="auto"/>
                <w:w w:val="98"/>
              </w:rPr>
              <w:t>December 31, 2024</w:t>
            </w:r>
          </w:p>
        </w:tc>
        <w:tc>
          <w:tcPr>
            <w:tcW w:w="0" w:type="dxa"/>
            <w:vAlign w:val="bottom"/>
          </w:tcPr>
          <w:p>
            <w:pPr>
              <w:spacing w:after="0"/>
              <w:rPr>
                <w:sz w:val="1"/>
                <w:szCs w:val="1"/>
                <w:color w:val="auto"/>
              </w:rPr>
            </w:pPr>
          </w:p>
        </w:tc>
      </w:tr>
      <w:tr>
        <w:trPr>
          <w:trHeight w:val="164"/>
        </w:trPr>
        <w:tc>
          <w:tcPr>
            <w:tcW w:w="45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Construction of Class A/A+ properties:</w:t>
            </w:r>
          </w:p>
        </w:tc>
        <w:tc>
          <w:tcPr>
            <w:tcW w:w="22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320" w:type="dxa"/>
            <w:vAlign w:val="bottom"/>
            <w:tcBorders>
              <w:top w:val="single" w:sz="8" w:color="auto"/>
            </w:tcBorders>
            <w:shd w:val="clear" w:color="auto" w:fill="CCEEFF"/>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4580" w:type="dxa"/>
            <w:vAlign w:val="bottom"/>
          </w:tcPr>
          <w:p>
            <w:pPr>
              <w:ind w:left="120"/>
              <w:spacing w:after="0"/>
              <w:rPr>
                <w:sz w:val="20"/>
                <w:szCs w:val="20"/>
                <w:color w:val="auto"/>
              </w:rPr>
            </w:pPr>
            <w:r>
              <w:rPr>
                <w:rFonts w:ascii="Arial" w:cs="Arial" w:eastAsia="Arial" w:hAnsi="Arial"/>
                <w:sz w:val="13"/>
                <w:szCs w:val="13"/>
                <w:color w:val="auto"/>
              </w:rPr>
              <w:t>Active construction projects</w:t>
            </w: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4580" w:type="dxa"/>
            <w:vAlign w:val="bottom"/>
            <w:shd w:val="clear" w:color="auto" w:fill="CCEEFF"/>
          </w:tcPr>
          <w:p>
            <w:pPr>
              <w:ind w:left="260"/>
              <w:spacing w:after="0" w:line="142" w:lineRule="exact"/>
              <w:rPr>
                <w:sz w:val="20"/>
                <w:szCs w:val="20"/>
                <w:color w:val="auto"/>
              </w:rPr>
            </w:pPr>
            <w:r>
              <w:rPr>
                <w:rFonts w:ascii="Arial" w:cs="Arial" w:eastAsia="Arial" w:hAnsi="Arial"/>
                <w:sz w:val="13"/>
                <w:szCs w:val="13"/>
                <w:color w:val="auto"/>
              </w:rPr>
              <w:t>Under construction and committed near-term projects</w:t>
            </w:r>
            <w:r>
              <w:rPr>
                <w:rFonts w:ascii="Arial" w:cs="Arial" w:eastAsia="Arial" w:hAnsi="Arial"/>
                <w:sz w:val="16"/>
                <w:szCs w:val="16"/>
                <w:color w:val="auto"/>
                <w:vertAlign w:val="superscript"/>
              </w:rPr>
              <w:t>(1)</w:t>
            </w:r>
            <w:r>
              <w:rPr>
                <w:rFonts w:ascii="Arial" w:cs="Arial" w:eastAsia="Arial" w:hAnsi="Arial"/>
                <w:sz w:val="13"/>
                <w:szCs w:val="13"/>
                <w:color w:val="auto"/>
              </w:rPr>
              <w:t xml:space="preserve"> and projects</w:t>
            </w:r>
          </w:p>
        </w:tc>
        <w:tc>
          <w:tcPr>
            <w:tcW w:w="220" w:type="dxa"/>
            <w:vAlign w:val="bottom"/>
            <w:vMerge w:val="restart"/>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888,641</w:t>
            </w:r>
          </w:p>
        </w:tc>
        <w:tc>
          <w:tcPr>
            <w:tcW w:w="18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1,778,000</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580" w:type="dxa"/>
            <w:vAlign w:val="bottom"/>
            <w:shd w:val="clear" w:color="auto" w:fill="CCEEFF"/>
          </w:tcPr>
          <w:p>
            <w:pPr>
              <w:ind w:left="320"/>
              <w:spacing w:after="0" w:line="172" w:lineRule="exact"/>
              <w:rPr>
                <w:sz w:val="20"/>
                <w:szCs w:val="20"/>
                <w:color w:val="auto"/>
              </w:rPr>
            </w:pPr>
            <w:r>
              <w:rPr>
                <w:rFonts w:ascii="Arial" w:cs="Arial" w:eastAsia="Arial" w:hAnsi="Arial"/>
                <w:sz w:val="13"/>
                <w:szCs w:val="13"/>
                <w:color w:val="auto"/>
              </w:rPr>
              <w:t>expected to commence active construction in 2024</w:t>
            </w:r>
            <w:r>
              <w:rPr>
                <w:rFonts w:ascii="Arial" w:cs="Arial" w:eastAsia="Arial" w:hAnsi="Arial"/>
                <w:sz w:val="16"/>
                <w:szCs w:val="16"/>
                <w:color w:val="auto"/>
                <w:vertAlign w:val="superscript"/>
              </w:rPr>
              <w:t>(2)</w:t>
            </w:r>
          </w:p>
        </w:tc>
        <w:tc>
          <w:tcPr>
            <w:tcW w:w="220" w:type="dxa"/>
            <w:vAlign w:val="bottom"/>
            <w:vMerge w:val="continue"/>
            <w:shd w:val="clear" w:color="auto" w:fill="CCEEFF"/>
          </w:tcPr>
          <w:p>
            <w:pPr>
              <w:spacing w:after="0"/>
              <w:rPr>
                <w:sz w:val="14"/>
                <w:szCs w:val="14"/>
                <w:color w:val="auto"/>
              </w:rPr>
            </w:pPr>
          </w:p>
        </w:tc>
        <w:tc>
          <w:tcPr>
            <w:tcW w:w="106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0" w:type="dxa"/>
            <w:vAlign w:val="bottom"/>
            <w:vMerge w:val="continue"/>
            <w:shd w:val="clear" w:color="auto" w:fill="CCEEFF"/>
          </w:tcPr>
          <w:p>
            <w:pPr>
              <w:spacing w:after="0"/>
              <w:rPr>
                <w:sz w:val="14"/>
                <w:szCs w:val="14"/>
                <w:color w:val="auto"/>
              </w:rPr>
            </w:pPr>
          </w:p>
        </w:tc>
        <w:tc>
          <w:tcPr>
            <w:tcW w:w="1320" w:type="dxa"/>
            <w:vAlign w:val="bottom"/>
            <w:vMerge w:val="continue"/>
            <w:shd w:val="clear" w:color="auto" w:fill="CCEEFF"/>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4580" w:type="dxa"/>
            <w:vAlign w:val="bottom"/>
          </w:tcPr>
          <w:p>
            <w:pPr>
              <w:ind w:left="160"/>
              <w:spacing w:after="0"/>
              <w:rPr>
                <w:sz w:val="20"/>
                <w:szCs w:val="20"/>
                <w:color w:val="auto"/>
              </w:rPr>
            </w:pPr>
            <w:r>
              <w:rPr>
                <w:rFonts w:ascii="Arial" w:cs="Arial" w:eastAsia="Arial" w:hAnsi="Arial"/>
                <w:sz w:val="13"/>
                <w:szCs w:val="13"/>
                <w:color w:val="auto"/>
              </w:rPr>
              <w:t>Future pipeline pre-construction</w:t>
            </w: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4580" w:type="dxa"/>
            <w:vAlign w:val="bottom"/>
            <w:shd w:val="clear" w:color="auto" w:fill="CCEEFF"/>
          </w:tcPr>
          <w:p>
            <w:pPr>
              <w:ind w:left="260"/>
              <w:spacing w:after="0" w:line="141" w:lineRule="exact"/>
              <w:rPr>
                <w:sz w:val="20"/>
                <w:szCs w:val="20"/>
                <w:color w:val="auto"/>
              </w:rPr>
            </w:pPr>
            <w:r>
              <w:rPr>
                <w:rFonts w:ascii="Arial" w:cs="Arial" w:eastAsia="Arial" w:hAnsi="Arial"/>
                <w:sz w:val="13"/>
                <w:szCs w:val="13"/>
                <w:color w:val="auto"/>
              </w:rPr>
              <w:t>Primarily mega campus expansion pre-construction work (entitlement,</w:t>
            </w:r>
          </w:p>
        </w:tc>
        <w:tc>
          <w:tcPr>
            <w:tcW w:w="22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257,218</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652,000</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580" w:type="dxa"/>
            <w:vAlign w:val="bottom"/>
            <w:shd w:val="clear" w:color="auto" w:fill="CCEEFF"/>
          </w:tcPr>
          <w:p>
            <w:pPr>
              <w:ind w:left="320"/>
              <w:spacing w:after="0"/>
              <w:rPr>
                <w:sz w:val="20"/>
                <w:szCs w:val="20"/>
                <w:color w:val="auto"/>
              </w:rPr>
            </w:pPr>
            <w:r>
              <w:rPr>
                <w:rFonts w:ascii="Arial" w:cs="Arial" w:eastAsia="Arial" w:hAnsi="Arial"/>
                <w:sz w:val="13"/>
                <w:szCs w:val="13"/>
                <w:color w:val="auto"/>
              </w:rPr>
              <w:t>design, and site work)</w:t>
            </w:r>
          </w:p>
        </w:tc>
        <w:tc>
          <w:tcPr>
            <w:tcW w:w="220" w:type="dxa"/>
            <w:vAlign w:val="bottom"/>
            <w:shd w:val="clear" w:color="auto" w:fill="CCEEFF"/>
          </w:tcPr>
          <w:p>
            <w:pPr>
              <w:spacing w:after="0"/>
              <w:rPr>
                <w:sz w:val="14"/>
                <w:szCs w:val="14"/>
                <w:color w:val="auto"/>
              </w:rPr>
            </w:pPr>
          </w:p>
        </w:tc>
        <w:tc>
          <w:tcPr>
            <w:tcW w:w="106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20" w:type="dxa"/>
            <w:vAlign w:val="bottom"/>
            <w:vMerge w:val="continue"/>
            <w:shd w:val="clear" w:color="auto" w:fill="CCEEFF"/>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4580" w:type="dxa"/>
            <w:vAlign w:val="bottom"/>
            <w:tcBorders>
              <w:bottom w:val="single" w:sz="8" w:color="CCEEFF"/>
            </w:tcBorders>
          </w:tcPr>
          <w:p>
            <w:pPr>
              <w:ind w:left="160"/>
              <w:spacing w:after="0"/>
              <w:rPr>
                <w:sz w:val="20"/>
                <w:szCs w:val="20"/>
                <w:color w:val="auto"/>
              </w:rPr>
            </w:pPr>
            <w:r>
              <w:rPr>
                <w:rFonts w:ascii="Arial" w:cs="Arial" w:eastAsia="Arial" w:hAnsi="Arial"/>
                <w:sz w:val="13"/>
                <w:szCs w:val="13"/>
                <w:color w:val="auto"/>
              </w:rPr>
              <w:t>Revenue- and non-revenue-enhancing capital expenditures</w:t>
            </w: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115,659</w:t>
            </w:r>
          </w:p>
        </w:tc>
        <w:tc>
          <w:tcPr>
            <w:tcW w:w="1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250,000</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4580" w:type="dxa"/>
            <w:vAlign w:val="bottom"/>
            <w:shd w:val="clear" w:color="auto" w:fill="CCEEFF"/>
          </w:tcPr>
          <w:p>
            <w:pPr>
              <w:ind w:left="40"/>
              <w:spacing w:after="0"/>
              <w:rPr>
                <w:sz w:val="20"/>
                <w:szCs w:val="20"/>
                <w:color w:val="auto"/>
              </w:rPr>
            </w:pPr>
            <w:r>
              <w:rPr>
                <w:rFonts w:ascii="Arial" w:cs="Arial" w:eastAsia="Arial" w:hAnsi="Arial"/>
                <w:sz w:val="13"/>
                <w:szCs w:val="13"/>
                <w:color w:val="auto"/>
              </w:rPr>
              <w:t>Construction spend (before contributions from noncontrolling interests)</w:t>
            </w:r>
          </w:p>
        </w:tc>
        <w:tc>
          <w:tcPr>
            <w:tcW w:w="2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1,261,518</w:t>
            </w: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2,680,000</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4580" w:type="dxa"/>
            <w:vAlign w:val="bottom"/>
          </w:tcPr>
          <w:p>
            <w:pPr>
              <w:ind w:left="220"/>
              <w:spacing w:after="0"/>
              <w:rPr>
                <w:sz w:val="20"/>
                <w:szCs w:val="20"/>
                <w:color w:val="auto"/>
              </w:rPr>
            </w:pPr>
            <w:r>
              <w:rPr>
                <w:rFonts w:ascii="Arial" w:cs="Arial" w:eastAsia="Arial" w:hAnsi="Arial"/>
                <w:sz w:val="13"/>
                <w:szCs w:val="13"/>
                <w:color w:val="auto"/>
              </w:rPr>
              <w:t>Contributions from noncontrolling interests (consolidated real estate joint</w:t>
            </w:r>
          </w:p>
        </w:tc>
        <w:tc>
          <w:tcPr>
            <w:tcW w:w="22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Arial" w:cs="Arial" w:eastAsia="Arial" w:hAnsi="Arial"/>
                <w:sz w:val="13"/>
                <w:szCs w:val="13"/>
                <w:color w:val="auto"/>
              </w:rPr>
              <w:t>(176,497)</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60" w:type="dxa"/>
            <w:vAlign w:val="bottom"/>
            <w:gridSpan w:val="2"/>
            <w:vMerge w:val="restart"/>
          </w:tcPr>
          <w:p>
            <w:pPr>
              <w:jc w:val="right"/>
              <w:spacing w:after="0"/>
              <w:rPr>
                <w:sz w:val="20"/>
                <w:szCs w:val="20"/>
                <w:color w:val="auto"/>
              </w:rPr>
            </w:pPr>
            <w:r>
              <w:rPr>
                <w:rFonts w:ascii="Arial" w:cs="Arial" w:eastAsia="Arial" w:hAnsi="Arial"/>
                <w:sz w:val="13"/>
                <w:szCs w:val="13"/>
                <w:color w:val="auto"/>
              </w:rPr>
              <w:t xml:space="preserve">(430,000) </w:t>
            </w:r>
            <w:r>
              <w:rPr>
                <w:rFonts w:ascii="Arial" w:cs="Arial" w:eastAsia="Arial" w:hAnsi="Arial"/>
                <w:sz w:val="16"/>
                <w:szCs w:val="16"/>
                <w:color w:val="auto"/>
                <w:vertAlign w:val="superscript"/>
              </w:rPr>
              <w:t>(3)</w:t>
            </w:r>
          </w:p>
        </w:tc>
        <w:tc>
          <w:tcPr>
            <w:tcW w:w="0" w:type="dxa"/>
            <w:vAlign w:val="bottom"/>
          </w:tcPr>
          <w:p>
            <w:pPr>
              <w:spacing w:after="0"/>
              <w:rPr>
                <w:sz w:val="1"/>
                <w:szCs w:val="1"/>
                <w:color w:val="auto"/>
              </w:rPr>
            </w:pPr>
          </w:p>
        </w:tc>
      </w:tr>
      <w:tr>
        <w:trPr>
          <w:trHeight w:val="161"/>
        </w:trPr>
        <w:tc>
          <w:tcPr>
            <w:tcW w:w="4580" w:type="dxa"/>
            <w:vAlign w:val="bottom"/>
          </w:tcPr>
          <w:p>
            <w:pPr>
              <w:ind w:left="340"/>
              <w:spacing w:after="0"/>
              <w:rPr>
                <w:sz w:val="20"/>
                <w:szCs w:val="20"/>
                <w:color w:val="auto"/>
              </w:rPr>
            </w:pPr>
            <w:r>
              <w:rPr>
                <w:rFonts w:ascii="Arial" w:cs="Arial" w:eastAsia="Arial" w:hAnsi="Arial"/>
                <w:sz w:val="13"/>
                <w:szCs w:val="13"/>
                <w:color w:val="auto"/>
              </w:rPr>
              <w:t>ventures)</w:t>
            </w:r>
          </w:p>
        </w:tc>
        <w:tc>
          <w:tcPr>
            <w:tcW w:w="22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4580" w:type="dxa"/>
            <w:vAlign w:val="bottom"/>
            <w:tcBorders>
              <w:top w:val="single" w:sz="8" w:color="CCEEFF"/>
              <w:bottom w:val="single" w:sz="8" w:color="CCEEFF"/>
            </w:tcBorders>
            <w:shd w:val="clear" w:color="auto" w:fill="CCEEFF"/>
          </w:tcPr>
          <w:p>
            <w:pPr>
              <w:ind w:left="60"/>
              <w:spacing w:after="0" w:line="141" w:lineRule="exact"/>
              <w:rPr>
                <w:sz w:val="20"/>
                <w:szCs w:val="20"/>
                <w:color w:val="auto"/>
              </w:rPr>
            </w:pPr>
            <w:r>
              <w:rPr>
                <w:rFonts w:ascii="Arial" w:cs="Arial" w:eastAsia="Arial" w:hAnsi="Arial"/>
                <w:sz w:val="13"/>
                <w:szCs w:val="13"/>
                <w:color w:val="auto"/>
              </w:rPr>
              <w:t>Total construction spending</w:t>
            </w:r>
          </w:p>
        </w:tc>
        <w:tc>
          <w:tcPr>
            <w:tcW w:w="220" w:type="dxa"/>
            <w:vAlign w:val="bottom"/>
            <w:tcBorders>
              <w:top w:val="single" w:sz="8" w:color="auto"/>
              <w:bottom w:val="single" w:sz="8" w:color="auto"/>
            </w:tcBorders>
            <w:shd w:val="clear" w:color="auto" w:fill="CCEEFF"/>
          </w:tcPr>
          <w:p>
            <w:pPr>
              <w:ind w:left="100"/>
              <w:spacing w:after="0" w:line="141" w:lineRule="exact"/>
              <w:rPr>
                <w:sz w:val="20"/>
                <w:szCs w:val="20"/>
                <w:color w:val="auto"/>
              </w:rPr>
            </w:pPr>
            <w:r>
              <w:rPr>
                <w:rFonts w:ascii="Arial" w:cs="Arial" w:eastAsia="Arial" w:hAnsi="Arial"/>
                <w:sz w:val="13"/>
                <w:szCs w:val="13"/>
                <w:color w:val="auto"/>
              </w:rPr>
              <w:t>$</w:t>
            </w:r>
          </w:p>
        </w:tc>
        <w:tc>
          <w:tcPr>
            <w:tcW w:w="106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1,085,021</w:t>
            </w: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w:t>
            </w:r>
          </w:p>
        </w:tc>
        <w:tc>
          <w:tcPr>
            <w:tcW w:w="132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2,250,000</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580" w:type="dxa"/>
            <w:vAlign w:val="bottom"/>
          </w:tcPr>
          <w:p>
            <w:pPr>
              <w:ind w:left="40"/>
              <w:spacing w:after="0" w:line="143" w:lineRule="exact"/>
              <w:rPr>
                <w:sz w:val="20"/>
                <w:szCs w:val="20"/>
                <w:color w:val="auto"/>
              </w:rPr>
            </w:pPr>
            <w:r>
              <w:rPr>
                <w:rFonts w:ascii="Arial" w:cs="Arial" w:eastAsia="Arial" w:hAnsi="Arial"/>
                <w:sz w:val="13"/>
                <w:szCs w:val="13"/>
                <w:color w:val="auto"/>
              </w:rPr>
              <w:t>2024 guidance range</w:t>
            </w: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gridSpan w:val="3"/>
          </w:tcPr>
          <w:p>
            <w:pPr>
              <w:jc w:val="right"/>
              <w:ind w:right="140"/>
              <w:spacing w:after="0" w:line="143" w:lineRule="exact"/>
              <w:rPr>
                <w:sz w:val="20"/>
                <w:szCs w:val="20"/>
                <w:color w:val="auto"/>
              </w:rPr>
            </w:pPr>
            <w:r>
              <w:rPr>
                <w:rFonts w:ascii="Arial" w:cs="Arial" w:eastAsia="Arial" w:hAnsi="Arial"/>
                <w:sz w:val="13"/>
                <w:szCs w:val="13"/>
                <w:color w:val="auto"/>
              </w:rPr>
              <w:t>$1,950,000 – $2,550,000</w:t>
            </w: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900" w:right="779" w:hanging="262"/>
        <w:spacing w:after="0" w:line="260" w:lineRule="auto"/>
        <w:tabs>
          <w:tab w:leader="none" w:pos="900" w:val="left"/>
        </w:tabs>
        <w:numPr>
          <w:ilvl w:val="0"/>
          <w:numId w:val="99"/>
        </w:numPr>
        <w:rPr>
          <w:rFonts w:ascii="Arial" w:cs="Arial" w:eastAsia="Arial" w:hAnsi="Arial"/>
          <w:sz w:val="10"/>
          <w:szCs w:val="10"/>
          <w:color w:val="auto"/>
        </w:rPr>
      </w:pPr>
      <w:r>
        <w:rPr>
          <w:rFonts w:ascii="Arial" w:cs="Arial" w:eastAsia="Arial" w:hAnsi="Arial"/>
          <w:sz w:val="10"/>
          <w:szCs w:val="10"/>
          <w:color w:val="auto"/>
        </w:rPr>
        <w:t>Includes projects under construction aggregating 4.9 million RSF and one committed near-term project aggregating 492,570 RSF expected to commence construction during the next two years after June 30, 2024, which are 61% leased/negotiating and expected to generate $480 million in incremental annual net operating income primarily commencing from the third quarter of 2024 through the first quarter of 2028.</w:t>
      </w:r>
    </w:p>
    <w:p>
      <w:pPr>
        <w:spacing w:after="0" w:line="1" w:lineRule="exact"/>
        <w:rPr>
          <w:rFonts w:ascii="Arial" w:cs="Arial" w:eastAsia="Arial" w:hAnsi="Arial"/>
          <w:sz w:val="10"/>
          <w:szCs w:val="10"/>
          <w:color w:val="auto"/>
        </w:rPr>
      </w:pPr>
    </w:p>
    <w:p>
      <w:pPr>
        <w:ind w:left="900" w:right="679" w:hanging="262"/>
        <w:spacing w:after="0" w:line="246" w:lineRule="auto"/>
        <w:tabs>
          <w:tab w:leader="none" w:pos="900" w:val="left"/>
        </w:tabs>
        <w:numPr>
          <w:ilvl w:val="0"/>
          <w:numId w:val="99"/>
        </w:numPr>
        <w:rPr>
          <w:rFonts w:ascii="Arial" w:cs="Arial" w:eastAsia="Arial" w:hAnsi="Arial"/>
          <w:sz w:val="10"/>
          <w:szCs w:val="10"/>
          <w:color w:val="auto"/>
        </w:rPr>
      </w:pPr>
      <w:r>
        <w:rPr>
          <w:rFonts w:ascii="Arial" w:cs="Arial" w:eastAsia="Arial" w:hAnsi="Arial"/>
          <w:sz w:val="10"/>
          <w:szCs w:val="10"/>
          <w:color w:val="auto"/>
        </w:rPr>
        <w:t>Includes certain priority anticipated development and redevelopment projects expected to commence active construction in 2024, subject to market conditions and leasing. Refer to “Investments in real estate” under “Definitions and reconciliations” in Item 2 for additional details, including value-creation square feet currently included in rental properties.</w:t>
      </w:r>
    </w:p>
    <w:p>
      <w:pPr>
        <w:ind w:left="900" w:hanging="262"/>
        <w:spacing w:after="0"/>
        <w:tabs>
          <w:tab w:leader="none" w:pos="900" w:val="left"/>
        </w:tabs>
        <w:numPr>
          <w:ilvl w:val="0"/>
          <w:numId w:val="99"/>
        </w:numPr>
        <w:rPr>
          <w:rFonts w:ascii="Arial" w:cs="Arial" w:eastAsia="Arial" w:hAnsi="Arial"/>
          <w:sz w:val="10"/>
          <w:szCs w:val="10"/>
          <w:color w:val="auto"/>
        </w:rPr>
      </w:pPr>
      <w:r>
        <w:rPr>
          <w:rFonts w:ascii="Arial" w:cs="Arial" w:eastAsia="Arial" w:hAnsi="Arial"/>
          <w:sz w:val="10"/>
          <w:szCs w:val="10"/>
          <w:color w:val="auto"/>
        </w:rPr>
        <w:t>Represents contractual capital commitments expected from existing consolidated real estate joint venture partners to fund construction.</w:t>
      </w:r>
    </w:p>
    <w:p>
      <w:pPr>
        <w:sectPr>
          <w:pgSz w:w="11900" w:h="16838" w:orient="portrait"/>
          <w:cols w:equalWidth="0" w:num="1">
            <w:col w:w="9019"/>
          </w:cols>
          <w:pgMar w:left="1440" w:top="120" w:right="1440" w:bottom="0" w:gutter="0" w:footer="0" w:header="0"/>
        </w:sectPr>
      </w:pPr>
    </w:p>
    <w:p>
      <w:pPr>
        <w:spacing w:after="0" w:line="158" w:lineRule="exact"/>
        <w:rPr>
          <w:sz w:val="20"/>
          <w:szCs w:val="20"/>
          <w:color w:val="auto"/>
        </w:rPr>
      </w:pPr>
    </w:p>
    <w:p>
      <w:pPr>
        <w:ind w:left="640"/>
        <w:spacing w:after="0"/>
        <w:rPr>
          <w:sz w:val="20"/>
          <w:szCs w:val="20"/>
          <w:color w:val="auto"/>
        </w:rPr>
      </w:pPr>
      <w:r>
        <w:rPr>
          <w:rFonts w:ascii="Arial" w:cs="Arial" w:eastAsia="Arial" w:hAnsi="Arial"/>
          <w:sz w:val="13"/>
          <w:szCs w:val="13"/>
          <w:u w:val="single" w:color="auto"/>
          <w:color w:val="auto"/>
        </w:rPr>
        <w:t>Projected capital contributions from partners in consolidated real estate joint ventures to fund construction</w:t>
      </w:r>
    </w:p>
    <w:p>
      <w:pPr>
        <w:spacing w:after="0" w:line="162" w:lineRule="exact"/>
        <w:rPr>
          <w:sz w:val="20"/>
          <w:szCs w:val="20"/>
          <w:color w:val="auto"/>
        </w:rPr>
      </w:pPr>
    </w:p>
    <w:p>
      <w:pPr>
        <w:ind w:left="1160"/>
        <w:spacing w:after="0"/>
        <w:rPr>
          <w:sz w:val="20"/>
          <w:szCs w:val="20"/>
          <w:color w:val="auto"/>
        </w:rPr>
      </w:pPr>
      <w:r>
        <w:rPr>
          <w:rFonts w:ascii="Arial" w:cs="Arial" w:eastAsia="Arial" w:hAnsi="Arial"/>
          <w:sz w:val="12"/>
          <w:szCs w:val="12"/>
          <w:color w:val="auto"/>
        </w:rPr>
        <w:t>The following table summarizes projected capital contributions from partners in our existing consolidated joint ventures to fund</w:t>
      </w:r>
    </w:p>
    <w:p>
      <w:pPr>
        <w:sectPr>
          <w:pgSz w:w="11900" w:h="16838" w:orient="portrait"/>
          <w:cols w:equalWidth="0" w:num="1">
            <w:col w:w="9019"/>
          </w:cols>
          <w:pgMar w:left="1440" w:top="120" w:right="1440" w:bottom="0" w:gutter="0" w:footer="0" w:header="0"/>
          <w:type w:val="continuous"/>
        </w:sectPr>
      </w:pPr>
    </w:p>
    <w:bookmarkStart w:id="54" w:name="page55"/>
    <w:bookmarkEnd w:id="54"/>
    <w:tbl>
      <w:tblPr>
        <w:tblLayout w:type="fixed"/>
        <w:tblInd w:w="640" w:type="dxa"/>
        <w:tblCellMar>
          <w:top w:w="0" w:type="dxa"/>
          <w:left w:w="0" w:type="dxa"/>
          <w:bottom w:w="0" w:type="dxa"/>
          <w:right w:w="0" w:type="dxa"/>
        </w:tblCellMar>
      </w:tblPr>
      <w:tr>
        <w:trPr>
          <w:trHeight w:val="149"/>
        </w:trPr>
        <w:tc>
          <w:tcPr>
            <w:tcW w:w="6100" w:type="dxa"/>
            <w:vAlign w:val="bottom"/>
            <w:gridSpan w:val="2"/>
          </w:tcPr>
          <w:p>
            <w:pPr>
              <w:spacing w:after="0"/>
              <w:rPr>
                <w:sz w:val="20"/>
                <w:szCs w:val="20"/>
                <w:color w:val="auto"/>
              </w:rPr>
            </w:pPr>
            <w:r>
              <w:rPr>
                <w:rFonts w:ascii="Arial" w:cs="Arial" w:eastAsia="Arial" w:hAnsi="Arial"/>
                <w:sz w:val="13"/>
                <w:szCs w:val="13"/>
                <w:color w:val="auto"/>
              </w:rPr>
              <w:t>construction through 2027 (in thousands):</w:t>
            </w:r>
          </w:p>
        </w:tc>
        <w:tc>
          <w:tcPr>
            <w:tcW w:w="340" w:type="dxa"/>
            <w:vAlign w:val="bottom"/>
          </w:tcPr>
          <w:p>
            <w:pPr>
              <w:spacing w:after="0"/>
              <w:rPr>
                <w:sz w:val="13"/>
                <w:szCs w:val="13"/>
                <w:color w:val="auto"/>
              </w:rPr>
            </w:pPr>
          </w:p>
        </w:tc>
        <w:tc>
          <w:tcPr>
            <w:tcW w:w="1300" w:type="dxa"/>
            <w:vAlign w:val="bottom"/>
            <w:vMerge w:val="restart"/>
          </w:tcPr>
          <w:p>
            <w:pPr>
              <w:jc w:val="right"/>
              <w:ind w:right="476"/>
              <w:spacing w:after="0"/>
              <w:rPr>
                <w:sz w:val="20"/>
                <w:szCs w:val="20"/>
                <w:color w:val="auto"/>
              </w:rPr>
            </w:pPr>
            <w:r>
              <w:rPr>
                <w:rFonts w:ascii="Arial" w:cs="Arial" w:eastAsia="Arial" w:hAnsi="Arial"/>
                <w:sz w:val="13"/>
                <w:szCs w:val="13"/>
                <w:color w:val="auto"/>
              </w:rPr>
              <w:t>Amount</w:t>
            </w:r>
            <w:r>
              <w:rPr>
                <w:rFonts w:ascii="Arial" w:cs="Arial" w:eastAsia="Arial" w:hAnsi="Arial"/>
                <w:sz w:val="16"/>
                <w:szCs w:val="16"/>
                <w:color w:val="auto"/>
                <w:vertAlign w:val="superscript"/>
              </w:rPr>
              <w:t>(1)</w:t>
            </w:r>
          </w:p>
        </w:tc>
        <w:tc>
          <w:tcPr>
            <w:tcW w:w="0" w:type="dxa"/>
            <w:vAlign w:val="bottom"/>
          </w:tcPr>
          <w:p>
            <w:pPr>
              <w:spacing w:after="0"/>
              <w:rPr>
                <w:sz w:val="1"/>
                <w:szCs w:val="1"/>
                <w:color w:val="auto"/>
              </w:rPr>
            </w:pPr>
          </w:p>
        </w:tc>
      </w:tr>
      <w:tr>
        <w:trPr>
          <w:trHeight w:val="172"/>
        </w:trPr>
        <w:tc>
          <w:tcPr>
            <w:tcW w:w="604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Projected timing</w:t>
            </w:r>
          </w:p>
        </w:tc>
        <w:tc>
          <w:tcPr>
            <w:tcW w:w="6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61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July 1, 2024 through December 31, 2024</w:t>
            </w:r>
          </w:p>
        </w:tc>
        <w:tc>
          <w:tcPr>
            <w:tcW w:w="34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253,503</w:t>
            </w:r>
          </w:p>
        </w:tc>
        <w:tc>
          <w:tcPr>
            <w:tcW w:w="0" w:type="dxa"/>
            <w:vAlign w:val="bottom"/>
          </w:tcPr>
          <w:p>
            <w:pPr>
              <w:spacing w:after="0"/>
              <w:rPr>
                <w:sz w:val="1"/>
                <w:szCs w:val="1"/>
                <w:color w:val="auto"/>
              </w:rPr>
            </w:pPr>
          </w:p>
        </w:tc>
      </w:tr>
      <w:tr>
        <w:trPr>
          <w:trHeight w:val="183"/>
        </w:trPr>
        <w:tc>
          <w:tcPr>
            <w:tcW w:w="6100" w:type="dxa"/>
            <w:vAlign w:val="bottom"/>
            <w:tcBorders>
              <w:bottom w:val="single" w:sz="8" w:color="CCEEFF"/>
            </w:tcBorders>
            <w:gridSpan w:val="2"/>
          </w:tcPr>
          <w:p>
            <w:pPr>
              <w:ind w:left="40"/>
              <w:spacing w:after="0"/>
              <w:rPr>
                <w:sz w:val="20"/>
                <w:szCs w:val="20"/>
                <w:color w:val="auto"/>
              </w:rPr>
            </w:pPr>
            <w:r>
              <w:rPr>
                <w:rFonts w:ascii="Arial" w:cs="Arial" w:eastAsia="Arial" w:hAnsi="Arial"/>
                <w:sz w:val="13"/>
                <w:szCs w:val="13"/>
                <w:color w:val="auto"/>
              </w:rPr>
              <w:t>2025 through 2027</w:t>
            </w:r>
          </w:p>
        </w:tc>
        <w:tc>
          <w:tcPr>
            <w:tcW w:w="3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804,528</w:t>
            </w:r>
          </w:p>
        </w:tc>
        <w:tc>
          <w:tcPr>
            <w:tcW w:w="0" w:type="dxa"/>
            <w:vAlign w:val="bottom"/>
          </w:tcPr>
          <w:p>
            <w:pPr>
              <w:spacing w:after="0"/>
              <w:rPr>
                <w:sz w:val="1"/>
                <w:szCs w:val="1"/>
                <w:color w:val="auto"/>
              </w:rPr>
            </w:pPr>
          </w:p>
        </w:tc>
      </w:tr>
      <w:tr>
        <w:trPr>
          <w:trHeight w:val="166"/>
        </w:trPr>
        <w:tc>
          <w:tcPr>
            <w:tcW w:w="6100" w:type="dxa"/>
            <w:vAlign w:val="bottom"/>
            <w:tcBorders>
              <w:bottom w:val="single" w:sz="8" w:color="CCEEFF"/>
            </w:tcBorders>
            <w:gridSpan w:val="2"/>
            <w:shd w:val="clear" w:color="auto" w:fill="CCEEFF"/>
          </w:tcPr>
          <w:p>
            <w:pPr>
              <w:ind w:left="140"/>
              <w:spacing w:after="0" w:line="141" w:lineRule="exact"/>
              <w:rPr>
                <w:sz w:val="20"/>
                <w:szCs w:val="20"/>
                <w:color w:val="auto"/>
              </w:rPr>
            </w:pPr>
            <w:r>
              <w:rPr>
                <w:rFonts w:ascii="Arial" w:cs="Arial" w:eastAsia="Arial" w:hAnsi="Arial"/>
                <w:sz w:val="13"/>
                <w:szCs w:val="13"/>
                <w:color w:val="auto"/>
              </w:rPr>
              <w:t>Total</w:t>
            </w:r>
          </w:p>
        </w:tc>
        <w:tc>
          <w:tcPr>
            <w:tcW w:w="340" w:type="dxa"/>
            <w:vAlign w:val="bottom"/>
            <w:tcBorders>
              <w:bottom w:val="single" w:sz="8" w:color="auto"/>
            </w:tcBorders>
            <w:shd w:val="clear" w:color="auto" w:fill="CCEEFF"/>
          </w:tcPr>
          <w:p>
            <w:pPr>
              <w:jc w:val="right"/>
              <w:ind w:right="156"/>
              <w:spacing w:after="0" w:line="141" w:lineRule="exact"/>
              <w:rPr>
                <w:sz w:val="20"/>
                <w:szCs w:val="20"/>
                <w:color w:val="auto"/>
              </w:rPr>
            </w:pPr>
            <w:r>
              <w:rPr>
                <w:rFonts w:ascii="Arial" w:cs="Arial" w:eastAsia="Arial" w:hAnsi="Arial"/>
                <w:sz w:val="13"/>
                <w:szCs w:val="13"/>
                <w:color w:val="auto"/>
              </w:rPr>
              <w:t>$</w:t>
            </w:r>
          </w:p>
        </w:tc>
        <w:tc>
          <w:tcPr>
            <w:tcW w:w="1300" w:type="dxa"/>
            <w:vAlign w:val="bottom"/>
            <w:tcBorders>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1,058,031</w:t>
            </w:r>
          </w:p>
        </w:tc>
        <w:tc>
          <w:tcPr>
            <w:tcW w:w="0" w:type="dxa"/>
            <w:vAlign w:val="bottom"/>
          </w:tcPr>
          <w:p>
            <w:pPr>
              <w:spacing w:after="0"/>
              <w:rPr>
                <w:sz w:val="1"/>
                <w:szCs w:val="1"/>
                <w:color w:val="auto"/>
              </w:rPr>
            </w:pP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-537845</wp:posOffset>
            </wp:positionV>
            <wp:extent cx="5584190" cy="356298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584190" cy="3562985"/>
                    </a:xfrm>
                    <a:prstGeom prst="rect">
                      <a:avLst/>
                    </a:prstGeom>
                    <a:noFill/>
                  </pic:spPr>
                </pic:pic>
              </a:graphicData>
            </a:graphic>
          </wp:anchor>
        </w:drawing>
      </w:r>
    </w:p>
    <w:p>
      <w:pPr>
        <w:spacing w:after="0" w:line="40" w:lineRule="exact"/>
        <w:rPr>
          <w:sz w:val="20"/>
          <w:szCs w:val="20"/>
          <w:color w:val="auto"/>
        </w:rPr>
      </w:pPr>
    </w:p>
    <w:p>
      <w:pPr>
        <w:ind w:left="900" w:hanging="262"/>
        <w:spacing w:after="0"/>
        <w:tabs>
          <w:tab w:leader="none" w:pos="900" w:val="left"/>
        </w:tabs>
        <w:numPr>
          <w:ilvl w:val="0"/>
          <w:numId w:val="100"/>
        </w:numPr>
        <w:rPr>
          <w:rFonts w:ascii="Arial" w:cs="Arial" w:eastAsia="Arial" w:hAnsi="Arial"/>
          <w:sz w:val="10"/>
          <w:szCs w:val="10"/>
          <w:color w:val="auto"/>
        </w:rPr>
      </w:pPr>
      <w:r>
        <w:rPr>
          <w:rFonts w:ascii="Arial" w:cs="Arial" w:eastAsia="Arial" w:hAnsi="Arial"/>
          <w:sz w:val="10"/>
          <w:szCs w:val="10"/>
          <w:color w:val="auto"/>
        </w:rPr>
        <w:t>Represents reductions to our consolidated construction spending.</w:t>
      </w:r>
    </w:p>
    <w:p>
      <w:pPr>
        <w:spacing w:after="0" w:line="168" w:lineRule="exact"/>
        <w:rPr>
          <w:sz w:val="20"/>
          <w:szCs w:val="20"/>
          <w:color w:val="auto"/>
        </w:rPr>
      </w:pPr>
    </w:p>
    <w:p>
      <w:pPr>
        <w:ind w:left="640"/>
        <w:spacing w:after="0"/>
        <w:rPr>
          <w:sz w:val="20"/>
          <w:szCs w:val="20"/>
          <w:color w:val="auto"/>
        </w:rPr>
      </w:pPr>
      <w:r>
        <w:rPr>
          <w:rFonts w:ascii="Arial" w:cs="Arial" w:eastAsia="Arial" w:hAnsi="Arial"/>
          <w:sz w:val="13"/>
          <w:szCs w:val="13"/>
          <w:u w:val="single" w:color="auto"/>
          <w:color w:val="auto"/>
        </w:rPr>
        <w:t>Capitalization of interest</w:t>
      </w:r>
    </w:p>
    <w:p>
      <w:pPr>
        <w:spacing w:after="0" w:line="162" w:lineRule="exact"/>
        <w:rPr>
          <w:sz w:val="20"/>
          <w:szCs w:val="20"/>
          <w:color w:val="auto"/>
        </w:rPr>
      </w:pPr>
    </w:p>
    <w:p>
      <w:pPr>
        <w:ind w:left="640" w:right="739" w:firstLine="516"/>
        <w:spacing w:after="0" w:line="272" w:lineRule="auto"/>
        <w:rPr>
          <w:sz w:val="20"/>
          <w:szCs w:val="20"/>
          <w:color w:val="auto"/>
        </w:rPr>
      </w:pPr>
      <w:r>
        <w:rPr>
          <w:rFonts w:ascii="Arial" w:cs="Arial" w:eastAsia="Arial" w:hAnsi="Arial"/>
          <w:sz w:val="13"/>
          <w:szCs w:val="13"/>
          <w:color w:val="auto"/>
        </w:rPr>
        <w:t>Our construction spending includes capitalized interest. The table below provides key categories of interest capitalized during the six months ended June 30, 2024:</w:t>
      </w:r>
    </w:p>
    <w:p>
      <w:pPr>
        <w:spacing w:after="0" w:line="33" w:lineRule="exact"/>
        <w:rPr>
          <w:sz w:val="20"/>
          <w:szCs w:val="20"/>
          <w:color w:val="auto"/>
        </w:rPr>
      </w:pPr>
    </w:p>
    <w:tbl>
      <w:tblPr>
        <w:tblLayout w:type="fixed"/>
        <w:tblInd w:w="640" w:type="dxa"/>
        <w:tblCellMar>
          <w:top w:w="0" w:type="dxa"/>
          <w:left w:w="0" w:type="dxa"/>
          <w:bottom w:w="0" w:type="dxa"/>
          <w:right w:w="0" w:type="dxa"/>
        </w:tblCellMar>
      </w:tblPr>
      <w:tr>
        <w:trPr>
          <w:trHeight w:val="163"/>
        </w:trPr>
        <w:tc>
          <w:tcPr>
            <w:tcW w:w="3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3"/>
          </w:tcPr>
          <w:p>
            <w:pPr>
              <w:jc w:val="right"/>
              <w:ind w:right="279"/>
              <w:spacing w:after="0"/>
              <w:rPr>
                <w:sz w:val="20"/>
                <w:szCs w:val="20"/>
                <w:color w:val="auto"/>
              </w:rPr>
            </w:pPr>
            <w:r>
              <w:rPr>
                <w:rFonts w:ascii="Arial" w:cs="Arial" w:eastAsia="Arial" w:hAnsi="Arial"/>
                <w:sz w:val="12"/>
                <w:szCs w:val="12"/>
                <w:color w:val="auto"/>
              </w:rPr>
              <w:t>Six Months Ended June 30, 2024</w:t>
            </w:r>
          </w:p>
        </w:tc>
        <w:tc>
          <w:tcPr>
            <w:tcW w:w="40" w:type="dxa"/>
            <w:vAlign w:val="bottom"/>
          </w:tcPr>
          <w:p>
            <w:pPr>
              <w:spacing w:after="0"/>
              <w:rPr>
                <w:sz w:val="14"/>
                <w:szCs w:val="14"/>
                <w:color w:val="auto"/>
              </w:rPr>
            </w:pPr>
          </w:p>
        </w:tc>
        <w:tc>
          <w:tcPr>
            <w:tcW w:w="1900" w:type="dxa"/>
            <w:vAlign w:val="bottom"/>
            <w:tcBorders>
              <w:bottom w:val="single" w:sz="8" w:color="auto"/>
            </w:tcBorders>
            <w:gridSpan w:val="2"/>
          </w:tcPr>
          <w:p>
            <w:pPr>
              <w:ind w:left="40"/>
              <w:spacing w:after="0"/>
              <w:rPr>
                <w:sz w:val="20"/>
                <w:szCs w:val="20"/>
                <w:color w:val="auto"/>
              </w:rPr>
            </w:pPr>
            <w:r>
              <w:rPr>
                <w:rFonts w:ascii="Arial" w:cs="Arial" w:eastAsia="Arial" w:hAnsi="Arial"/>
                <w:sz w:val="12"/>
                <w:szCs w:val="12"/>
                <w:color w:val="auto"/>
              </w:rPr>
              <w:t>Upon Completion of Construction</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3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tcPr>
          <w:p>
            <w:pPr>
              <w:jc w:val="center"/>
              <w:ind w:right="40"/>
              <w:spacing w:after="0"/>
              <w:rPr>
                <w:sz w:val="20"/>
                <w:szCs w:val="20"/>
                <w:color w:val="auto"/>
              </w:rPr>
            </w:pPr>
            <w:r>
              <w:rPr>
                <w:rFonts w:ascii="Arial" w:cs="Arial" w:eastAsia="Arial" w:hAnsi="Arial"/>
                <w:sz w:val="12"/>
                <w:szCs w:val="12"/>
                <w:color w:val="auto"/>
              </w:rPr>
              <w:t>Percentage of</w:t>
            </w:r>
          </w:p>
        </w:tc>
        <w:tc>
          <w:tcPr>
            <w:tcW w:w="7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1200" w:type="dxa"/>
            <w:vAlign w:val="bottom"/>
            <w:gridSpan w:val="2"/>
          </w:tcPr>
          <w:p>
            <w:pPr>
              <w:ind w:left="40"/>
              <w:spacing w:after="0" w:line="122" w:lineRule="exact"/>
              <w:rPr>
                <w:sz w:val="20"/>
                <w:szCs w:val="20"/>
                <w:color w:val="auto"/>
              </w:rPr>
            </w:pPr>
            <w:r>
              <w:rPr>
                <w:rFonts w:ascii="Arial" w:cs="Arial" w:eastAsia="Arial" w:hAnsi="Arial"/>
                <w:sz w:val="12"/>
                <w:szCs w:val="12"/>
                <w:color w:val="auto"/>
              </w:rPr>
              <w:t>Average Real Estate</w:t>
            </w:r>
          </w:p>
        </w:tc>
        <w:tc>
          <w:tcPr>
            <w:tcW w:w="180" w:type="dxa"/>
            <w:vAlign w:val="bottom"/>
          </w:tcPr>
          <w:p>
            <w:pPr>
              <w:spacing w:after="0"/>
              <w:rPr>
                <w:sz w:val="10"/>
                <w:szCs w:val="10"/>
                <w:color w:val="auto"/>
              </w:rPr>
            </w:pPr>
          </w:p>
        </w:tc>
        <w:tc>
          <w:tcPr>
            <w:tcW w:w="1120" w:type="dxa"/>
            <w:vAlign w:val="bottom"/>
            <w:gridSpan w:val="2"/>
          </w:tcPr>
          <w:p>
            <w:pPr>
              <w:jc w:val="center"/>
              <w:ind w:right="40"/>
              <w:spacing w:after="0" w:line="122" w:lineRule="exact"/>
              <w:rPr>
                <w:sz w:val="20"/>
                <w:szCs w:val="20"/>
                <w:color w:val="auto"/>
              </w:rPr>
            </w:pPr>
            <w:r>
              <w:rPr>
                <w:rFonts w:ascii="Arial" w:cs="Arial" w:eastAsia="Arial" w:hAnsi="Arial"/>
                <w:sz w:val="12"/>
                <w:szCs w:val="12"/>
                <w:color w:val="auto"/>
                <w:w w:val="98"/>
              </w:rPr>
              <w:t>Total Capitalized</w:t>
            </w:r>
          </w:p>
        </w:tc>
        <w:tc>
          <w:tcPr>
            <w:tcW w:w="780" w:type="dxa"/>
            <w:vAlign w:val="bottom"/>
            <w:vMerge w:val="restart"/>
          </w:tcPr>
          <w:p>
            <w:pPr>
              <w:jc w:val="right"/>
              <w:ind w:right="239"/>
              <w:spacing w:after="0"/>
              <w:rPr>
                <w:sz w:val="20"/>
                <w:szCs w:val="20"/>
                <w:color w:val="auto"/>
              </w:rPr>
            </w:pPr>
            <w:r>
              <w:rPr>
                <w:rFonts w:ascii="Arial" w:cs="Arial" w:eastAsia="Arial" w:hAnsi="Arial"/>
                <w:sz w:val="12"/>
                <w:szCs w:val="12"/>
                <w:color w:val="auto"/>
              </w:rPr>
              <w:t>RSF</w:t>
            </w:r>
          </w:p>
        </w:tc>
        <w:tc>
          <w:tcPr>
            <w:tcW w:w="1120" w:type="dxa"/>
            <w:vAlign w:val="bottom"/>
          </w:tcPr>
          <w:p>
            <w:pPr>
              <w:jc w:val="center"/>
              <w:spacing w:after="0" w:line="122" w:lineRule="exact"/>
              <w:rPr>
                <w:sz w:val="20"/>
                <w:szCs w:val="20"/>
                <w:color w:val="auto"/>
              </w:rPr>
            </w:pPr>
            <w:r>
              <w:rPr>
                <w:rFonts w:ascii="Arial" w:cs="Arial" w:eastAsia="Arial" w:hAnsi="Arial"/>
                <w:sz w:val="12"/>
                <w:szCs w:val="12"/>
                <w:color w:val="auto"/>
              </w:rPr>
              <w:t>Potential Growth in</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3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jc w:val="right"/>
              <w:ind w:right="59"/>
              <w:spacing w:after="0"/>
              <w:rPr>
                <w:sz w:val="20"/>
                <w:szCs w:val="20"/>
                <w:color w:val="auto"/>
              </w:rPr>
            </w:pPr>
            <w:r>
              <w:rPr>
                <w:rFonts w:ascii="Arial" w:cs="Arial" w:eastAsia="Arial" w:hAnsi="Arial"/>
                <w:sz w:val="12"/>
                <w:szCs w:val="12"/>
                <w:color w:val="auto"/>
              </w:rPr>
              <w:t>Basis Capitalized</w:t>
            </w:r>
          </w:p>
        </w:tc>
        <w:tc>
          <w:tcPr>
            <w:tcW w:w="180" w:type="dxa"/>
            <w:vAlign w:val="bottom"/>
          </w:tcPr>
          <w:p>
            <w:pPr>
              <w:spacing w:after="0"/>
              <w:rPr>
                <w:sz w:val="13"/>
                <w:szCs w:val="13"/>
                <w:color w:val="auto"/>
              </w:rPr>
            </w:pPr>
          </w:p>
        </w:tc>
        <w:tc>
          <w:tcPr>
            <w:tcW w:w="1120" w:type="dxa"/>
            <w:vAlign w:val="bottom"/>
            <w:gridSpan w:val="2"/>
          </w:tcPr>
          <w:p>
            <w:pPr>
              <w:jc w:val="center"/>
              <w:ind w:right="40"/>
              <w:spacing w:after="0"/>
              <w:rPr>
                <w:sz w:val="20"/>
                <w:szCs w:val="20"/>
                <w:color w:val="auto"/>
              </w:rPr>
            </w:pPr>
            <w:r>
              <w:rPr>
                <w:rFonts w:ascii="Arial" w:cs="Arial" w:eastAsia="Arial" w:hAnsi="Arial"/>
                <w:sz w:val="12"/>
                <w:szCs w:val="12"/>
                <w:color w:val="auto"/>
                <w:w w:val="99"/>
              </w:rPr>
              <w:t>Interest</w:t>
            </w:r>
          </w:p>
        </w:tc>
        <w:tc>
          <w:tcPr>
            <w:tcW w:w="780" w:type="dxa"/>
            <w:vAlign w:val="bottom"/>
            <w:vMerge w:val="continue"/>
          </w:tcPr>
          <w:p>
            <w:pPr>
              <w:spacing w:after="0"/>
              <w:rPr>
                <w:sz w:val="13"/>
                <w:szCs w:val="13"/>
                <w:color w:val="auto"/>
              </w:rPr>
            </w:pPr>
          </w:p>
        </w:tc>
        <w:tc>
          <w:tcPr>
            <w:tcW w:w="1120" w:type="dxa"/>
            <w:vAlign w:val="bottom"/>
          </w:tcPr>
          <w:p>
            <w:pPr>
              <w:jc w:val="center"/>
              <w:spacing w:after="0"/>
              <w:rPr>
                <w:sz w:val="20"/>
                <w:szCs w:val="20"/>
                <w:color w:val="auto"/>
              </w:rPr>
            </w:pPr>
            <w:r>
              <w:rPr>
                <w:rFonts w:ascii="Arial" w:cs="Arial" w:eastAsia="Arial" w:hAnsi="Arial"/>
                <w:sz w:val="12"/>
                <w:szCs w:val="12"/>
                <w:color w:val="auto"/>
              </w:rPr>
              <w:t>Operating RSF</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3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2"/>
                <w:szCs w:val="12"/>
                <w:color w:val="auto"/>
              </w:rPr>
              <w:t>Construction of Class A/A+ properties:</w:t>
            </w:r>
          </w:p>
        </w:tc>
        <w:tc>
          <w:tcPr>
            <w:tcW w:w="12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right w:val="single" w:sz="8" w:color="CCEEFF"/>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340" w:type="dxa"/>
            <w:vAlign w:val="bottom"/>
            <w:tcBorders>
              <w:bottom w:val="single" w:sz="8" w:color="CCEEFF"/>
            </w:tcBorders>
          </w:tcPr>
          <w:p>
            <w:pPr>
              <w:ind w:left="120"/>
              <w:spacing w:after="0"/>
              <w:rPr>
                <w:sz w:val="20"/>
                <w:szCs w:val="20"/>
                <w:color w:val="auto"/>
              </w:rPr>
            </w:pPr>
            <w:r>
              <w:rPr>
                <w:rFonts w:ascii="Arial" w:cs="Arial" w:eastAsia="Arial" w:hAnsi="Arial"/>
                <w:sz w:val="12"/>
                <w:szCs w:val="12"/>
                <w:color w:val="auto"/>
              </w:rPr>
              <w:t>Active construction projects</w:t>
            </w:r>
          </w:p>
        </w:tc>
        <w:tc>
          <w:tcPr>
            <w:tcW w:w="120" w:type="dxa"/>
            <w:vAlign w:val="bottom"/>
            <w:tcBorders>
              <w:bottom w:val="single" w:sz="8" w:color="CCEEFF"/>
            </w:tcBorders>
          </w:tcPr>
          <w:p>
            <w:pPr>
              <w:spacing w:after="0"/>
              <w:rPr>
                <w:sz w:val="15"/>
                <w:szCs w:val="15"/>
                <w:color w:val="auto"/>
              </w:rPr>
            </w:pPr>
          </w:p>
        </w:tc>
        <w:tc>
          <w:tcPr>
            <w:tcW w:w="108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08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780" w:type="dxa"/>
            <w:vAlign w:val="bottom"/>
            <w:tcBorders>
              <w:bottom w:val="single" w:sz="8" w:color="CCEEFF"/>
            </w:tcBorders>
          </w:tcPr>
          <w:p>
            <w:pPr>
              <w:spacing w:after="0"/>
              <w:rPr>
                <w:sz w:val="15"/>
                <w:szCs w:val="15"/>
                <w:color w:val="auto"/>
              </w:rPr>
            </w:pPr>
          </w:p>
        </w:tc>
        <w:tc>
          <w:tcPr>
            <w:tcW w:w="1120" w:type="dxa"/>
            <w:vAlign w:val="bottom"/>
            <w:tcBorders>
              <w:bottom w:val="single" w:sz="8" w:color="B6B6B6"/>
            </w:tcBorders>
          </w:tcPr>
          <w:p>
            <w:pPr>
              <w:spacing w:after="0"/>
              <w:rPr>
                <w:sz w:val="15"/>
                <w:szCs w:val="15"/>
                <w:color w:val="auto"/>
              </w:rPr>
            </w:pPr>
          </w:p>
        </w:tc>
        <w:tc>
          <w:tcPr>
            <w:tcW w:w="20" w:type="dxa"/>
            <w:vAlign w:val="bottom"/>
            <w:tcBorders>
              <w:bottom w:val="single" w:sz="8" w:color="B6B6B6"/>
            </w:tcBorders>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3340" w:type="dxa"/>
            <w:vAlign w:val="bottom"/>
            <w:shd w:val="clear" w:color="auto" w:fill="CCEEFF"/>
          </w:tcPr>
          <w:p>
            <w:pPr>
              <w:ind w:left="300"/>
              <w:spacing w:after="0"/>
              <w:rPr>
                <w:sz w:val="20"/>
                <w:szCs w:val="20"/>
                <w:color w:val="auto"/>
              </w:rPr>
            </w:pPr>
            <w:r>
              <w:rPr>
                <w:rFonts w:ascii="Arial" w:cs="Arial" w:eastAsia="Arial" w:hAnsi="Arial"/>
                <w:sz w:val="12"/>
                <w:szCs w:val="12"/>
                <w:color w:val="auto"/>
              </w:rPr>
              <w:t>Under construction and committed near-term projects</w:t>
            </w:r>
          </w:p>
        </w:tc>
        <w:tc>
          <w:tcPr>
            <w:tcW w:w="120" w:type="dxa"/>
            <w:vAlign w:val="bottom"/>
            <w:shd w:val="clear" w:color="auto" w:fill="CCEEFF"/>
          </w:tcPr>
          <w:p>
            <w:pPr>
              <w:ind w:left="40"/>
              <w:spacing w:after="0"/>
              <w:rPr>
                <w:sz w:val="20"/>
                <w:szCs w:val="20"/>
                <w:color w:val="auto"/>
              </w:rPr>
            </w:pPr>
            <w:r>
              <w:rPr>
                <w:rFonts w:ascii="Arial" w:cs="Arial" w:eastAsia="Arial" w:hAnsi="Arial"/>
                <w:sz w:val="12"/>
                <w:szCs w:val="12"/>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2,723,268</w:t>
            </w:r>
          </w:p>
        </w:tc>
        <w:tc>
          <w:tcPr>
            <w:tcW w:w="18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199"/>
              <w:spacing w:after="0"/>
              <w:rPr>
                <w:sz w:val="20"/>
                <w:szCs w:val="20"/>
                <w:color w:val="auto"/>
              </w:rPr>
            </w:pPr>
            <w:r>
              <w:rPr>
                <w:rFonts w:ascii="Arial" w:cs="Arial" w:eastAsia="Arial" w:hAnsi="Arial"/>
                <w:sz w:val="12"/>
                <w:szCs w:val="12"/>
                <w:color w:val="auto"/>
              </w:rPr>
              <w:t>34%</w:t>
            </w:r>
          </w:p>
        </w:tc>
        <w:tc>
          <w:tcPr>
            <w:tcW w:w="40" w:type="dxa"/>
            <w:vAlign w:val="bottom"/>
            <w:shd w:val="clear" w:color="auto" w:fill="CCEEFF"/>
          </w:tcPr>
          <w:p>
            <w:pPr>
              <w:spacing w:after="0"/>
              <w:rPr>
                <w:sz w:val="14"/>
                <w:szCs w:val="14"/>
                <w:color w:val="auto"/>
              </w:rPr>
            </w:pPr>
          </w:p>
        </w:tc>
        <w:tc>
          <w:tcPr>
            <w:tcW w:w="780" w:type="dxa"/>
            <w:vAlign w:val="bottom"/>
            <w:tcBorders>
              <w:right w:val="single" w:sz="8" w:color="B6B6B6"/>
            </w:tcBorders>
            <w:shd w:val="clear" w:color="auto" w:fill="CCEEFF"/>
          </w:tcPr>
          <w:p>
            <w:pPr>
              <w:jc w:val="right"/>
              <w:ind w:right="59"/>
              <w:spacing w:after="0"/>
              <w:rPr>
                <w:sz w:val="20"/>
                <w:szCs w:val="20"/>
                <w:color w:val="auto"/>
              </w:rPr>
            </w:pPr>
            <w:r>
              <w:rPr>
                <w:rFonts w:ascii="Arial" w:cs="Arial" w:eastAsia="Arial" w:hAnsi="Arial"/>
                <w:sz w:val="12"/>
                <w:szCs w:val="12"/>
                <w:color w:val="auto"/>
              </w:rPr>
              <w:t>5,432,915</w:t>
            </w:r>
          </w:p>
        </w:tc>
        <w:tc>
          <w:tcPr>
            <w:tcW w:w="1120" w:type="dxa"/>
            <w:vAlign w:val="bottom"/>
            <w:shd w:val="clear" w:color="auto" w:fill="CCEEFF"/>
          </w:tcPr>
          <w:p>
            <w:pPr>
              <w:spacing w:after="0"/>
              <w:rPr>
                <w:sz w:val="14"/>
                <w:szCs w:val="14"/>
                <w:color w:val="auto"/>
              </w:rPr>
            </w:pPr>
          </w:p>
        </w:tc>
        <w:tc>
          <w:tcPr>
            <w:tcW w:w="20" w:type="dxa"/>
            <w:vAlign w:val="bottom"/>
            <w:shd w:val="clear" w:color="auto" w:fill="B6B6B6"/>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340" w:type="dxa"/>
            <w:vAlign w:val="bottom"/>
          </w:tcPr>
          <w:p>
            <w:pPr>
              <w:ind w:left="120"/>
              <w:spacing w:after="0"/>
              <w:rPr>
                <w:sz w:val="20"/>
                <w:szCs w:val="20"/>
                <w:color w:val="auto"/>
              </w:rPr>
            </w:pPr>
            <w:r>
              <w:rPr>
                <w:rFonts w:ascii="Arial" w:cs="Arial" w:eastAsia="Arial" w:hAnsi="Arial"/>
                <w:sz w:val="12"/>
                <w:szCs w:val="12"/>
                <w:color w:val="auto"/>
              </w:rPr>
              <w:t>Future pipeline pre-construction</w:t>
            </w: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Borders>
              <w:right w:val="single" w:sz="8" w:color="B6B6B6"/>
            </w:tcBorders>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0" w:type="dxa"/>
            <w:vAlign w:val="bottom"/>
            <w:shd w:val="clear" w:color="auto" w:fill="B6B6B6"/>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340" w:type="dxa"/>
            <w:vAlign w:val="bottom"/>
            <w:shd w:val="clear" w:color="auto" w:fill="CCEEFF"/>
          </w:tcPr>
          <w:p>
            <w:pPr>
              <w:ind w:left="300"/>
              <w:spacing w:after="0"/>
              <w:rPr>
                <w:sz w:val="20"/>
                <w:szCs w:val="20"/>
                <w:color w:val="auto"/>
              </w:rPr>
            </w:pPr>
            <w:r>
              <w:rPr>
                <w:rFonts w:ascii="Arial" w:cs="Arial" w:eastAsia="Arial" w:hAnsi="Arial"/>
                <w:sz w:val="12"/>
                <w:szCs w:val="12"/>
                <w:color w:val="auto"/>
              </w:rPr>
              <w:t>Priority anticipated projects</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624,317</w:t>
            </w:r>
          </w:p>
        </w:tc>
        <w:tc>
          <w:tcPr>
            <w:tcW w:w="180" w:type="dxa"/>
            <w:vAlign w:val="bottom"/>
            <w:shd w:val="clear" w:color="auto" w:fill="CCEEFF"/>
          </w:tcPr>
          <w:p>
            <w:pPr>
              <w:jc w:val="right"/>
              <w:spacing w:after="0"/>
              <w:rPr>
                <w:sz w:val="20"/>
                <w:szCs w:val="20"/>
                <w:color w:val="auto"/>
              </w:rPr>
            </w:pPr>
            <w:r>
              <w:rPr>
                <w:rFonts w:ascii="Arial" w:cs="Arial" w:eastAsia="Arial" w:hAnsi="Arial"/>
                <w:sz w:val="8"/>
                <w:szCs w:val="8"/>
                <w:color w:val="auto"/>
              </w:rPr>
              <w:t>(1)</w:t>
            </w:r>
          </w:p>
        </w:tc>
        <w:tc>
          <w:tcPr>
            <w:tcW w:w="1080" w:type="dxa"/>
            <w:vAlign w:val="bottom"/>
            <w:shd w:val="clear" w:color="auto" w:fill="CCEEFF"/>
          </w:tcPr>
          <w:p>
            <w:pPr>
              <w:jc w:val="right"/>
              <w:ind w:right="299"/>
              <w:spacing w:after="0"/>
              <w:rPr>
                <w:sz w:val="20"/>
                <w:szCs w:val="20"/>
                <w:color w:val="auto"/>
              </w:rPr>
            </w:pPr>
            <w:r>
              <w:rPr>
                <w:rFonts w:ascii="Arial" w:cs="Arial" w:eastAsia="Arial" w:hAnsi="Arial"/>
                <w:sz w:val="12"/>
                <w:szCs w:val="12"/>
                <w:color w:val="auto"/>
              </w:rPr>
              <w:t>8</w:t>
            </w:r>
          </w:p>
        </w:tc>
        <w:tc>
          <w:tcPr>
            <w:tcW w:w="40" w:type="dxa"/>
            <w:vAlign w:val="bottom"/>
            <w:shd w:val="clear" w:color="auto" w:fill="CCEEFF"/>
          </w:tcPr>
          <w:p>
            <w:pPr>
              <w:spacing w:after="0"/>
              <w:rPr>
                <w:sz w:val="15"/>
                <w:szCs w:val="15"/>
                <w:color w:val="auto"/>
              </w:rPr>
            </w:pPr>
          </w:p>
        </w:tc>
        <w:tc>
          <w:tcPr>
            <w:tcW w:w="780" w:type="dxa"/>
            <w:vAlign w:val="bottom"/>
            <w:tcBorders>
              <w:right w:val="single" w:sz="8" w:color="B6B6B6"/>
            </w:tcBorders>
            <w:shd w:val="clear" w:color="auto" w:fill="CCEEFF"/>
          </w:tcPr>
          <w:p>
            <w:pPr>
              <w:jc w:val="right"/>
              <w:ind w:right="59"/>
              <w:spacing w:after="0"/>
              <w:rPr>
                <w:sz w:val="20"/>
                <w:szCs w:val="20"/>
                <w:color w:val="auto"/>
              </w:rPr>
            </w:pPr>
            <w:r>
              <w:rPr>
                <w:rFonts w:ascii="Arial" w:cs="Arial" w:eastAsia="Arial" w:hAnsi="Arial"/>
                <w:sz w:val="12"/>
                <w:szCs w:val="12"/>
                <w:color w:val="auto"/>
              </w:rPr>
              <w:t>2,670,922</w:t>
            </w:r>
          </w:p>
        </w:tc>
        <w:tc>
          <w:tcPr>
            <w:tcW w:w="1120" w:type="dxa"/>
            <w:vAlign w:val="bottom"/>
            <w:vMerge w:val="restart"/>
            <w:shd w:val="clear" w:color="auto" w:fill="CCEEFF"/>
          </w:tcPr>
          <w:p>
            <w:pPr>
              <w:jc w:val="center"/>
              <w:spacing w:after="0"/>
              <w:rPr>
                <w:sz w:val="20"/>
                <w:szCs w:val="20"/>
                <w:color w:val="auto"/>
              </w:rPr>
            </w:pPr>
            <w:r>
              <w:rPr>
                <w:rFonts w:ascii="Arial" w:cs="Arial" w:eastAsia="Arial" w:hAnsi="Arial"/>
                <w:sz w:val="20"/>
                <w:szCs w:val="20"/>
                <w:color w:val="auto"/>
                <w:w w:val="99"/>
              </w:rPr>
              <w:t>77%</w:t>
            </w:r>
          </w:p>
        </w:tc>
        <w:tc>
          <w:tcPr>
            <w:tcW w:w="20" w:type="dxa"/>
            <w:vAlign w:val="bottom"/>
            <w:shd w:val="clear" w:color="auto" w:fill="B6B6B6"/>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3340" w:type="dxa"/>
            <w:vAlign w:val="bottom"/>
            <w:vMerge w:val="restart"/>
          </w:tcPr>
          <w:p>
            <w:pPr>
              <w:ind w:left="300"/>
              <w:spacing w:after="0"/>
              <w:rPr>
                <w:sz w:val="20"/>
                <w:szCs w:val="20"/>
                <w:color w:val="auto"/>
              </w:rPr>
            </w:pPr>
            <w:r>
              <w:rPr>
                <w:rFonts w:ascii="Arial" w:cs="Arial" w:eastAsia="Arial" w:hAnsi="Arial"/>
                <w:sz w:val="12"/>
                <w:szCs w:val="12"/>
                <w:color w:val="auto"/>
              </w:rPr>
              <w:t>Primarily mega campus expansion pre-construction</w:t>
            </w:r>
          </w:p>
        </w:tc>
        <w:tc>
          <w:tcPr>
            <w:tcW w:w="120" w:type="dxa"/>
            <w:vAlign w:val="bottom"/>
          </w:tcPr>
          <w:p>
            <w:pPr>
              <w:spacing w:after="0"/>
              <w:rPr>
                <w:sz w:val="10"/>
                <w:szCs w:val="10"/>
                <w:color w:val="auto"/>
              </w:rPr>
            </w:pPr>
          </w:p>
        </w:tc>
        <w:tc>
          <w:tcPr>
            <w:tcW w:w="1080" w:type="dxa"/>
            <w:vAlign w:val="bottom"/>
            <w:vMerge w:val="restart"/>
          </w:tcPr>
          <w:p>
            <w:pPr>
              <w:jc w:val="right"/>
              <w:spacing w:after="0"/>
              <w:rPr>
                <w:sz w:val="20"/>
                <w:szCs w:val="20"/>
                <w:color w:val="auto"/>
              </w:rPr>
            </w:pPr>
            <w:r>
              <w:rPr>
                <w:rFonts w:ascii="Arial" w:cs="Arial" w:eastAsia="Arial" w:hAnsi="Arial"/>
                <w:sz w:val="12"/>
                <w:szCs w:val="12"/>
                <w:color w:val="auto"/>
              </w:rPr>
              <w:t>3,579,182</w:t>
            </w:r>
          </w:p>
        </w:tc>
        <w:tc>
          <w:tcPr>
            <w:tcW w:w="180" w:type="dxa"/>
            <w:vAlign w:val="bottom"/>
            <w:vMerge w:val="restart"/>
          </w:tcPr>
          <w:p>
            <w:pPr>
              <w:jc w:val="right"/>
              <w:spacing w:after="0"/>
              <w:rPr>
                <w:sz w:val="20"/>
                <w:szCs w:val="20"/>
                <w:color w:val="auto"/>
              </w:rPr>
            </w:pPr>
            <w:r>
              <w:rPr>
                <w:rFonts w:ascii="Arial" w:cs="Arial" w:eastAsia="Arial" w:hAnsi="Arial"/>
                <w:sz w:val="8"/>
                <w:szCs w:val="8"/>
                <w:color w:val="auto"/>
              </w:rPr>
              <w:t>(1)</w:t>
            </w:r>
          </w:p>
        </w:tc>
        <w:tc>
          <w:tcPr>
            <w:tcW w:w="1080" w:type="dxa"/>
            <w:vAlign w:val="bottom"/>
            <w:vMerge w:val="restart"/>
          </w:tcPr>
          <w:p>
            <w:pPr>
              <w:jc w:val="right"/>
              <w:ind w:right="299"/>
              <w:spacing w:after="0"/>
              <w:rPr>
                <w:sz w:val="20"/>
                <w:szCs w:val="20"/>
                <w:color w:val="auto"/>
              </w:rPr>
            </w:pPr>
            <w:r>
              <w:rPr>
                <w:rFonts w:ascii="Arial" w:cs="Arial" w:eastAsia="Arial" w:hAnsi="Arial"/>
                <w:sz w:val="12"/>
                <w:szCs w:val="12"/>
                <w:color w:val="auto"/>
              </w:rPr>
              <w:t>44</w:t>
            </w:r>
          </w:p>
        </w:tc>
        <w:tc>
          <w:tcPr>
            <w:tcW w:w="40" w:type="dxa"/>
            <w:vAlign w:val="bottom"/>
          </w:tcPr>
          <w:p>
            <w:pPr>
              <w:spacing w:after="0"/>
              <w:rPr>
                <w:sz w:val="10"/>
                <w:szCs w:val="10"/>
                <w:color w:val="auto"/>
              </w:rPr>
            </w:pPr>
          </w:p>
        </w:tc>
        <w:tc>
          <w:tcPr>
            <w:tcW w:w="780" w:type="dxa"/>
            <w:vAlign w:val="bottom"/>
            <w:tcBorders>
              <w:right w:val="single" w:sz="8" w:color="B6B6B6"/>
            </w:tcBorders>
            <w:vMerge w:val="restart"/>
          </w:tcPr>
          <w:p>
            <w:pPr>
              <w:jc w:val="right"/>
              <w:ind w:right="59"/>
              <w:spacing w:after="0"/>
              <w:rPr>
                <w:sz w:val="20"/>
                <w:szCs w:val="20"/>
                <w:color w:val="auto"/>
              </w:rPr>
            </w:pPr>
            <w:r>
              <w:rPr>
                <w:rFonts w:ascii="Arial" w:cs="Arial" w:eastAsia="Arial" w:hAnsi="Arial"/>
                <w:sz w:val="12"/>
                <w:szCs w:val="12"/>
                <w:color w:val="auto"/>
              </w:rPr>
              <w:t>27,261,766</w:t>
            </w:r>
          </w:p>
        </w:tc>
        <w:tc>
          <w:tcPr>
            <w:tcW w:w="1120" w:type="dxa"/>
            <w:vAlign w:val="bottom"/>
            <w:vMerge w:val="continue"/>
            <w:shd w:val="clear" w:color="auto" w:fill="CCEEFF"/>
          </w:tcPr>
          <w:p>
            <w:pPr>
              <w:spacing w:after="0"/>
              <w:rPr>
                <w:sz w:val="10"/>
                <w:szCs w:val="10"/>
                <w:color w:val="auto"/>
              </w:rPr>
            </w:pPr>
          </w:p>
        </w:tc>
        <w:tc>
          <w:tcPr>
            <w:tcW w:w="20" w:type="dxa"/>
            <w:vAlign w:val="bottom"/>
            <w:shd w:val="clear" w:color="auto" w:fill="B6B6B6"/>
          </w:tcPr>
          <w:p>
            <w:pPr>
              <w:spacing w:after="0"/>
              <w:rPr>
                <w:sz w:val="10"/>
                <w:szCs w:val="10"/>
                <w:color w:val="auto"/>
              </w:rPr>
            </w:pPr>
          </w:p>
        </w:tc>
        <w:tc>
          <w:tcPr>
            <w:tcW w:w="0" w:type="dxa"/>
            <w:vAlign w:val="bottom"/>
          </w:tcPr>
          <w:p>
            <w:pPr>
              <w:spacing w:after="0"/>
              <w:rPr>
                <w:sz w:val="1"/>
                <w:szCs w:val="1"/>
                <w:color w:val="auto"/>
              </w:rPr>
            </w:pPr>
          </w:p>
        </w:tc>
      </w:tr>
      <w:tr>
        <w:trPr>
          <w:trHeight w:val="33"/>
        </w:trPr>
        <w:tc>
          <w:tcPr>
            <w:tcW w:w="334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vMerge w:val="continue"/>
          </w:tcPr>
          <w:p>
            <w:pPr>
              <w:spacing w:after="0"/>
              <w:rPr>
                <w:sz w:val="2"/>
                <w:szCs w:val="2"/>
                <w:color w:val="auto"/>
              </w:rPr>
            </w:pPr>
          </w:p>
        </w:tc>
        <w:tc>
          <w:tcPr>
            <w:tcW w:w="180" w:type="dxa"/>
            <w:vAlign w:val="bottom"/>
            <w:vMerge w:val="continue"/>
          </w:tcPr>
          <w:p>
            <w:pPr>
              <w:spacing w:after="0"/>
              <w:rPr>
                <w:sz w:val="2"/>
                <w:szCs w:val="2"/>
                <w:color w:val="auto"/>
              </w:rPr>
            </w:pPr>
          </w:p>
        </w:tc>
        <w:tc>
          <w:tcPr>
            <w:tcW w:w="10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780" w:type="dxa"/>
            <w:vAlign w:val="bottom"/>
            <w:tcBorders>
              <w:right w:val="single" w:sz="8" w:color="B6B6B6"/>
            </w:tcBorders>
            <w:vMerge w:val="continue"/>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0" w:type="dxa"/>
            <w:vAlign w:val="bottom"/>
            <w:shd w:val="clear" w:color="auto" w:fill="B6B6B6"/>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3340" w:type="dxa"/>
            <w:vAlign w:val="bottom"/>
          </w:tcPr>
          <w:p>
            <w:pPr>
              <w:ind w:left="420"/>
              <w:spacing w:after="0"/>
              <w:rPr>
                <w:sz w:val="20"/>
                <w:szCs w:val="20"/>
                <w:color w:val="auto"/>
              </w:rPr>
            </w:pPr>
            <w:r>
              <w:rPr>
                <w:rFonts w:ascii="Arial" w:cs="Arial" w:eastAsia="Arial" w:hAnsi="Arial"/>
                <w:sz w:val="12"/>
                <w:szCs w:val="12"/>
                <w:color w:val="auto"/>
              </w:rPr>
              <w:t>work (entitlement, design, and site work)</w:t>
            </w:r>
          </w:p>
        </w:tc>
        <w:tc>
          <w:tcPr>
            <w:tcW w:w="12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Borders>
              <w:right w:val="single" w:sz="8" w:color="B6B6B6"/>
            </w:tcBorders>
            <w:vMerge w:val="continue"/>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0" w:type="dxa"/>
            <w:vAlign w:val="bottom"/>
            <w:shd w:val="clear" w:color="auto" w:fill="B6B6B6"/>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3340" w:type="dxa"/>
            <w:vAlign w:val="bottom"/>
            <w:shd w:val="clear" w:color="auto" w:fill="CCEEFF"/>
          </w:tcPr>
          <w:p>
            <w:pPr>
              <w:ind w:left="40"/>
              <w:spacing w:after="0"/>
              <w:rPr>
                <w:sz w:val="20"/>
                <w:szCs w:val="20"/>
                <w:color w:val="auto"/>
              </w:rPr>
            </w:pPr>
            <w:r>
              <w:rPr>
                <w:rFonts w:ascii="Arial" w:cs="Arial" w:eastAsia="Arial" w:hAnsi="Arial"/>
                <w:sz w:val="12"/>
                <w:szCs w:val="12"/>
                <w:color w:val="auto"/>
              </w:rPr>
              <w:t>Smaller redevelopments and repositioning capital projects</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1,123,183</w:t>
            </w: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299"/>
              <w:spacing w:after="0"/>
              <w:rPr>
                <w:sz w:val="20"/>
                <w:szCs w:val="20"/>
                <w:color w:val="auto"/>
              </w:rPr>
            </w:pPr>
            <w:r>
              <w:rPr>
                <w:rFonts w:ascii="Arial" w:cs="Arial" w:eastAsia="Arial" w:hAnsi="Arial"/>
                <w:sz w:val="12"/>
                <w:szCs w:val="12"/>
                <w:color w:val="auto"/>
              </w:rPr>
              <w:t>14</w:t>
            </w:r>
          </w:p>
        </w:tc>
        <w:tc>
          <w:tcPr>
            <w:tcW w:w="40" w:type="dxa"/>
            <w:vAlign w:val="bottom"/>
            <w:shd w:val="clear" w:color="auto" w:fill="CCEEFF"/>
          </w:tcPr>
          <w:p>
            <w:pPr>
              <w:spacing w:after="0"/>
              <w:rPr>
                <w:sz w:val="15"/>
                <w:szCs w:val="15"/>
                <w:color w:val="auto"/>
              </w:rPr>
            </w:pPr>
          </w:p>
        </w:tc>
        <w:tc>
          <w:tcPr>
            <w:tcW w:w="780" w:type="dxa"/>
            <w:vAlign w:val="bottom"/>
            <w:tcBorders>
              <w:right w:val="single" w:sz="8" w:color="B6B6B6"/>
            </w:tcBorders>
            <w:shd w:val="clear" w:color="auto" w:fill="CCEEFF"/>
          </w:tcPr>
          <w:p>
            <w:pPr>
              <w:jc w:val="right"/>
              <w:ind w:right="39"/>
              <w:spacing w:after="0"/>
              <w:rPr>
                <w:sz w:val="20"/>
                <w:szCs w:val="20"/>
                <w:color w:val="auto"/>
              </w:rPr>
            </w:pPr>
            <w:r>
              <w:rPr>
                <w:rFonts w:ascii="Arial" w:cs="Arial" w:eastAsia="Arial" w:hAnsi="Arial"/>
                <w:sz w:val="12"/>
                <w:szCs w:val="12"/>
                <w:color w:val="auto"/>
              </w:rPr>
              <w:t>N/A</w:t>
            </w:r>
          </w:p>
        </w:tc>
        <w:tc>
          <w:tcPr>
            <w:tcW w:w="1120" w:type="dxa"/>
            <w:vAlign w:val="bottom"/>
            <w:shd w:val="clear" w:color="auto" w:fill="CCEEFF"/>
          </w:tcPr>
          <w:p>
            <w:pPr>
              <w:spacing w:after="0"/>
              <w:rPr>
                <w:sz w:val="15"/>
                <w:szCs w:val="15"/>
                <w:color w:val="auto"/>
              </w:rPr>
            </w:pPr>
          </w:p>
        </w:tc>
        <w:tc>
          <w:tcPr>
            <w:tcW w:w="20" w:type="dxa"/>
            <w:vAlign w:val="bottom"/>
            <w:shd w:val="clear" w:color="auto" w:fill="B6B6B6"/>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3340" w:type="dxa"/>
            <w:vAlign w:val="bottom"/>
          </w:tcPr>
          <w:p>
            <w:pPr>
              <w:spacing w:after="0"/>
              <w:rPr>
                <w:sz w:val="12"/>
                <w:szCs w:val="12"/>
                <w:color w:val="auto"/>
              </w:rPr>
            </w:pPr>
          </w:p>
        </w:tc>
        <w:tc>
          <w:tcPr>
            <w:tcW w:w="1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2"/>
                <w:szCs w:val="12"/>
                <w:color w:val="auto"/>
                <w:w w:val="8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8,049,950</w:t>
            </w:r>
          </w:p>
        </w:tc>
        <w:tc>
          <w:tcPr>
            <w:tcW w:w="180" w:type="dxa"/>
            <w:vAlign w:val="bottom"/>
          </w:tcPr>
          <w:p>
            <w:pPr>
              <w:spacing w:after="0"/>
              <w:rPr>
                <w:sz w:val="12"/>
                <w:szCs w:val="12"/>
                <w:color w:val="auto"/>
              </w:rPr>
            </w:pPr>
          </w:p>
        </w:tc>
        <w:tc>
          <w:tcPr>
            <w:tcW w:w="10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2"/>
                <w:szCs w:val="12"/>
                <w:color w:val="auto"/>
              </w:rPr>
              <w:t>100%</w:t>
            </w:r>
          </w:p>
        </w:tc>
        <w:tc>
          <w:tcPr>
            <w:tcW w:w="4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2"/>
                <w:szCs w:val="12"/>
                <w:color w:val="auto"/>
              </w:rPr>
              <w:t>35,365,603</w:t>
            </w:r>
          </w:p>
        </w:tc>
        <w:tc>
          <w:tcPr>
            <w:tcW w:w="1120" w:type="dxa"/>
            <w:vAlign w:val="bottom"/>
            <w:tcBorders>
              <w:top w:val="single" w:sz="8" w:color="B6B6B6"/>
            </w:tcBorders>
          </w:tcPr>
          <w:p>
            <w:pPr>
              <w:spacing w:after="0"/>
              <w:rPr>
                <w:sz w:val="12"/>
                <w:szCs w:val="12"/>
                <w:color w:val="auto"/>
              </w:rPr>
            </w:pPr>
          </w:p>
        </w:tc>
        <w:tc>
          <w:tcPr>
            <w:tcW w:w="20" w:type="dxa"/>
            <w:vAlign w:val="bottom"/>
            <w:tcBorders>
              <w:top w:val="single" w:sz="8" w:color="B6B6B6"/>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left="900" w:right="1019" w:hanging="262"/>
        <w:spacing w:after="0" w:line="283" w:lineRule="auto"/>
        <w:tabs>
          <w:tab w:leader="none" w:pos="900" w:val="left"/>
        </w:tabs>
        <w:numPr>
          <w:ilvl w:val="0"/>
          <w:numId w:val="101"/>
        </w:numPr>
        <w:rPr>
          <w:rFonts w:ascii="Arial" w:cs="Arial" w:eastAsia="Arial" w:hAnsi="Arial"/>
          <w:sz w:val="10"/>
          <w:szCs w:val="10"/>
          <w:color w:val="auto"/>
        </w:rPr>
      </w:pPr>
      <w:r>
        <w:rPr>
          <w:rFonts w:ascii="Arial" w:cs="Arial" w:eastAsia="Arial" w:hAnsi="Arial"/>
          <w:sz w:val="10"/>
          <w:szCs w:val="10"/>
          <w:color w:val="auto"/>
        </w:rPr>
        <w:t>Average real estate basis capitalized related to our future pipeline pre-construction includes 32% from four key active and future value-creation projects on mega campuses.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188595</wp:posOffset>
            </wp:positionV>
            <wp:extent cx="5584190" cy="689038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584190" cy="689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Projected results</w:t>
      </w:r>
    </w:p>
    <w:p>
      <w:pPr>
        <w:spacing w:after="0" w:line="162" w:lineRule="exact"/>
        <w:rPr>
          <w:sz w:val="20"/>
          <w:szCs w:val="20"/>
          <w:color w:val="auto"/>
        </w:rPr>
      </w:pPr>
    </w:p>
    <w:p>
      <w:pPr>
        <w:ind w:left="640" w:right="759" w:firstLine="516"/>
        <w:spacing w:after="0" w:line="251" w:lineRule="auto"/>
        <w:rPr>
          <w:sz w:val="20"/>
          <w:szCs w:val="20"/>
          <w:color w:val="auto"/>
        </w:rPr>
      </w:pPr>
      <w:r>
        <w:rPr>
          <w:rFonts w:ascii="Arial" w:cs="Arial" w:eastAsia="Arial" w:hAnsi="Arial"/>
          <w:sz w:val="13"/>
          <w:szCs w:val="13"/>
          <w:color w:val="auto"/>
        </w:rPr>
        <w:t>We present updated guidance for EPS attributable to Alexandria’s common stockholders – diluted, funds from operations per share attributable to Alexandria’s common stockholders – diluted, and funds from operations per share attributable to Alexandria’s common stockholders – diluted, as adjusted, based on our current view of existing market conditions and other assumptions for the year ending December 31, 2024 as set forth in the tables below. The tables below also provide a reconciliation of EPS attributable to Alexandria’s common stockholders – diluted, the most directly comparable financial measure presented in accordance with GAAP, to funds from operations per share and funds from operations per share, as adjusted, non-GAAP measures, and other key assumptions included in our updated guidance for the year ending December 31, 2024. There can be no assurance that actual amounts will not be materially higher or lower than these expectations. Refer to our discussion of “Forward-looking statements” at the beginning of this Item 2.</w:t>
      </w:r>
    </w:p>
    <w:p>
      <w:pPr>
        <w:spacing w:after="0" w:line="183"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5640" w:type="dxa"/>
            <w:vAlign w:val="bottom"/>
          </w:tcPr>
          <w:p>
            <w:pPr>
              <w:ind w:left="40"/>
              <w:spacing w:after="0"/>
              <w:rPr>
                <w:sz w:val="20"/>
                <w:szCs w:val="20"/>
                <w:color w:val="auto"/>
              </w:rPr>
            </w:pPr>
            <w:r>
              <w:rPr>
                <w:rFonts w:ascii="Arial" w:cs="Arial" w:eastAsia="Arial" w:hAnsi="Arial"/>
                <w:sz w:val="13"/>
                <w:szCs w:val="13"/>
                <w:b w:val="1"/>
                <w:bCs w:val="1"/>
                <w:color w:val="auto"/>
              </w:rPr>
              <w:t>Projected 2024 Earnings per Share and Funds From Operations per Share Attributable to</w:t>
            </w:r>
          </w:p>
        </w:tc>
        <w:tc>
          <w:tcPr>
            <w:tcW w:w="1040" w:type="dxa"/>
            <w:vAlign w:val="bottom"/>
            <w:gridSpan w:val="2"/>
            <w:vMerge w:val="restart"/>
          </w:tcPr>
          <w:p>
            <w:pPr>
              <w:jc w:val="center"/>
              <w:ind w:right="40"/>
              <w:spacing w:after="0"/>
              <w:rPr>
                <w:sz w:val="20"/>
                <w:szCs w:val="20"/>
                <w:color w:val="auto"/>
              </w:rPr>
            </w:pPr>
            <w:r>
              <w:rPr>
                <w:rFonts w:ascii="Arial" w:cs="Arial" w:eastAsia="Arial" w:hAnsi="Arial"/>
                <w:sz w:val="13"/>
                <w:szCs w:val="13"/>
                <w:b w:val="1"/>
                <w:bCs w:val="1"/>
                <w:color w:val="auto"/>
              </w:rPr>
              <w:t>As of 7/22/24</w:t>
            </w:r>
          </w:p>
        </w:tc>
        <w:tc>
          <w:tcPr>
            <w:tcW w:w="10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8"/>
              </w:rPr>
              <w:t>As of 4/22/24</w:t>
            </w:r>
          </w:p>
        </w:tc>
        <w:tc>
          <w:tcPr>
            <w:tcW w:w="0" w:type="dxa"/>
            <w:vAlign w:val="bottom"/>
          </w:tcPr>
          <w:p>
            <w:pPr>
              <w:spacing w:after="0"/>
              <w:rPr>
                <w:sz w:val="1"/>
                <w:szCs w:val="1"/>
                <w:color w:val="auto"/>
              </w:rPr>
            </w:pPr>
          </w:p>
        </w:tc>
      </w:tr>
      <w:tr>
        <w:trPr>
          <w:trHeight w:val="161"/>
        </w:trPr>
        <w:tc>
          <w:tcPr>
            <w:tcW w:w="5640" w:type="dxa"/>
            <w:vAlign w:val="bottom"/>
            <w:tcBorders>
              <w:bottom w:val="single" w:sz="8" w:color="auto"/>
            </w:tcBorders>
          </w:tcPr>
          <w:p>
            <w:pPr>
              <w:ind w:left="160"/>
              <w:spacing w:after="0"/>
              <w:rPr>
                <w:sz w:val="20"/>
                <w:szCs w:val="20"/>
                <w:color w:val="auto"/>
              </w:rPr>
            </w:pPr>
            <w:r>
              <w:rPr>
                <w:rFonts w:ascii="Arial" w:cs="Arial" w:eastAsia="Arial" w:hAnsi="Arial"/>
                <w:sz w:val="13"/>
                <w:szCs w:val="13"/>
                <w:b w:val="1"/>
                <w:bCs w:val="1"/>
                <w:color w:val="auto"/>
              </w:rPr>
              <w:t>Alexandria’s Common Stockholders – Diluted</w:t>
            </w:r>
          </w:p>
        </w:tc>
        <w:tc>
          <w:tcPr>
            <w:tcW w:w="1040" w:type="dxa"/>
            <w:vAlign w:val="bottom"/>
            <w:tcBorders>
              <w:bottom w:val="single" w:sz="8" w:color="auto"/>
            </w:tcBorders>
            <w:gridSpan w:val="2"/>
            <w:vMerge w:val="continue"/>
          </w:tcPr>
          <w:p>
            <w:pPr>
              <w:spacing w:after="0"/>
              <w:rPr>
                <w:sz w:val="13"/>
                <w:szCs w:val="13"/>
                <w:color w:val="auto"/>
              </w:rPr>
            </w:pPr>
          </w:p>
        </w:tc>
        <w:tc>
          <w:tcPr>
            <w:tcW w:w="100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5640" w:type="dxa"/>
            <w:vAlign w:val="bottom"/>
            <w:shd w:val="clear" w:color="auto" w:fill="CCEEFF"/>
          </w:tcPr>
          <w:p>
            <w:pPr>
              <w:ind w:left="40"/>
              <w:spacing w:after="0" w:line="152" w:lineRule="exact"/>
              <w:rPr>
                <w:sz w:val="20"/>
                <w:szCs w:val="20"/>
                <w:color w:val="auto"/>
              </w:rPr>
            </w:pPr>
            <w:r>
              <w:rPr>
                <w:rFonts w:ascii="Arial" w:cs="Arial" w:eastAsia="Arial" w:hAnsi="Arial"/>
                <w:sz w:val="13"/>
                <w:szCs w:val="13"/>
                <w:color w:val="auto"/>
              </w:rPr>
              <w:t>Earnings per share</w:t>
            </w:r>
            <w:r>
              <w:rPr>
                <w:rFonts w:ascii="Arial" w:cs="Arial" w:eastAsia="Arial" w:hAnsi="Arial"/>
                <w:sz w:val="16"/>
                <w:szCs w:val="16"/>
                <w:color w:val="auto"/>
                <w:vertAlign w:val="superscript"/>
              </w:rPr>
              <w:t>(1)</w:t>
            </w:r>
          </w:p>
        </w:tc>
        <w:tc>
          <w:tcPr>
            <w:tcW w:w="1040" w:type="dxa"/>
            <w:vAlign w:val="bottom"/>
            <w:gridSpan w:val="2"/>
            <w:shd w:val="clear" w:color="auto" w:fill="CCEEFF"/>
          </w:tcPr>
          <w:p>
            <w:pPr>
              <w:jc w:val="center"/>
              <w:ind w:right="60"/>
              <w:spacing w:after="0"/>
              <w:rPr>
                <w:sz w:val="20"/>
                <w:szCs w:val="20"/>
                <w:color w:val="auto"/>
              </w:rPr>
            </w:pPr>
            <w:r>
              <w:rPr>
                <w:rFonts w:ascii="Arial" w:cs="Arial" w:eastAsia="Arial" w:hAnsi="Arial"/>
                <w:sz w:val="13"/>
                <w:szCs w:val="13"/>
                <w:color w:val="auto"/>
                <w:w w:val="98"/>
              </w:rPr>
              <w:t>$2.98 to $3.10</w:t>
            </w:r>
          </w:p>
        </w:tc>
        <w:tc>
          <w:tcPr>
            <w:tcW w:w="10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8"/>
              </w:rPr>
              <w:t>$3.60 to $3.72</w:t>
            </w:r>
          </w:p>
        </w:tc>
        <w:tc>
          <w:tcPr>
            <w:tcW w:w="0" w:type="dxa"/>
            <w:vAlign w:val="bottom"/>
          </w:tcPr>
          <w:p>
            <w:pPr>
              <w:spacing w:after="0"/>
              <w:rPr>
                <w:sz w:val="1"/>
                <w:szCs w:val="1"/>
                <w:color w:val="auto"/>
              </w:rPr>
            </w:pPr>
          </w:p>
        </w:tc>
      </w:tr>
      <w:tr>
        <w:trPr>
          <w:trHeight w:val="172"/>
        </w:trPr>
        <w:tc>
          <w:tcPr>
            <w:tcW w:w="5640" w:type="dxa"/>
            <w:vAlign w:val="bottom"/>
          </w:tcPr>
          <w:p>
            <w:pPr>
              <w:ind w:left="140"/>
              <w:spacing w:after="0"/>
              <w:rPr>
                <w:sz w:val="20"/>
                <w:szCs w:val="20"/>
                <w:color w:val="auto"/>
              </w:rPr>
            </w:pPr>
            <w:r>
              <w:rPr>
                <w:rFonts w:ascii="Arial" w:cs="Arial" w:eastAsia="Arial" w:hAnsi="Arial"/>
                <w:sz w:val="13"/>
                <w:szCs w:val="13"/>
                <w:color w:val="auto"/>
              </w:rPr>
              <w:t>Depreciation and amortization of real estate assets</w:t>
            </w:r>
          </w:p>
        </w:tc>
        <w:tc>
          <w:tcPr>
            <w:tcW w:w="1000" w:type="dxa"/>
            <w:vAlign w:val="bottom"/>
          </w:tcPr>
          <w:p>
            <w:pPr>
              <w:jc w:val="center"/>
              <w:spacing w:after="0"/>
              <w:rPr>
                <w:sz w:val="20"/>
                <w:szCs w:val="20"/>
                <w:color w:val="auto"/>
              </w:rPr>
            </w:pPr>
            <w:r>
              <w:rPr>
                <w:rFonts w:ascii="Arial" w:cs="Arial" w:eastAsia="Arial" w:hAnsi="Arial"/>
                <w:sz w:val="13"/>
                <w:szCs w:val="13"/>
                <w:color w:val="auto"/>
                <w:w w:val="94"/>
              </w:rPr>
              <w:t>5.95</w:t>
            </w:r>
          </w:p>
        </w:tc>
        <w:tc>
          <w:tcPr>
            <w:tcW w:w="4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3"/>
                <w:szCs w:val="13"/>
                <w:color w:val="auto"/>
              </w:rPr>
              <w:t>5.95</w:t>
            </w:r>
          </w:p>
        </w:tc>
        <w:tc>
          <w:tcPr>
            <w:tcW w:w="0" w:type="dxa"/>
            <w:vAlign w:val="bottom"/>
          </w:tcPr>
          <w:p>
            <w:pPr>
              <w:spacing w:after="0"/>
              <w:rPr>
                <w:sz w:val="1"/>
                <w:szCs w:val="1"/>
                <w:color w:val="auto"/>
              </w:rPr>
            </w:pPr>
          </w:p>
        </w:tc>
      </w:tr>
      <w:tr>
        <w:trPr>
          <w:trHeight w:val="172"/>
        </w:trPr>
        <w:tc>
          <w:tcPr>
            <w:tcW w:w="56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Impairment of real estate – rental properties and land</w:t>
            </w:r>
          </w:p>
        </w:tc>
        <w:tc>
          <w:tcPr>
            <w:tcW w:w="10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0.01</w:t>
            </w:r>
          </w:p>
        </w:tc>
        <w:tc>
          <w:tcPr>
            <w:tcW w:w="40" w:type="dxa"/>
            <w:vAlign w:val="bottom"/>
            <w:shd w:val="clear" w:color="auto" w:fill="CCEEFF"/>
          </w:tcPr>
          <w:p>
            <w:pPr>
              <w:spacing w:after="0"/>
              <w:rPr>
                <w:sz w:val="14"/>
                <w:szCs w:val="14"/>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564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Allocation of unvested restricted stock awards</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4"/>
              </w:rPr>
              <w:t>(0.05)</w:t>
            </w:r>
          </w:p>
        </w:tc>
        <w:tc>
          <w:tcPr>
            <w:tcW w:w="4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9"/>
              </w:rPr>
              <w:t>(0.06)</w:t>
            </w:r>
          </w:p>
        </w:tc>
        <w:tc>
          <w:tcPr>
            <w:tcW w:w="0" w:type="dxa"/>
            <w:vAlign w:val="bottom"/>
          </w:tcPr>
          <w:p>
            <w:pPr>
              <w:spacing w:after="0"/>
              <w:rPr>
                <w:sz w:val="1"/>
                <w:szCs w:val="1"/>
                <w:color w:val="auto"/>
              </w:rPr>
            </w:pPr>
          </w:p>
        </w:tc>
      </w:tr>
      <w:tr>
        <w:trPr>
          <w:trHeight w:val="152"/>
        </w:trPr>
        <w:tc>
          <w:tcPr>
            <w:tcW w:w="5640" w:type="dxa"/>
            <w:vAlign w:val="bottom"/>
            <w:shd w:val="clear" w:color="auto" w:fill="CCEEFF"/>
          </w:tcPr>
          <w:p>
            <w:pPr>
              <w:ind w:left="40"/>
              <w:spacing w:after="0" w:line="152" w:lineRule="exact"/>
              <w:rPr>
                <w:sz w:val="20"/>
                <w:szCs w:val="20"/>
                <w:color w:val="auto"/>
              </w:rPr>
            </w:pPr>
            <w:r>
              <w:rPr>
                <w:rFonts w:ascii="Arial" w:cs="Arial" w:eastAsia="Arial" w:hAnsi="Arial"/>
                <w:sz w:val="13"/>
                <w:szCs w:val="13"/>
                <w:color w:val="auto"/>
              </w:rPr>
              <w:t>Funds from operations per share</w:t>
            </w:r>
            <w:r>
              <w:rPr>
                <w:rFonts w:ascii="Arial" w:cs="Arial" w:eastAsia="Arial" w:hAnsi="Arial"/>
                <w:sz w:val="16"/>
                <w:szCs w:val="16"/>
                <w:color w:val="auto"/>
                <w:vertAlign w:val="superscript"/>
              </w:rPr>
              <w:t>(2)</w:t>
            </w:r>
          </w:p>
        </w:tc>
        <w:tc>
          <w:tcPr>
            <w:tcW w:w="1040" w:type="dxa"/>
            <w:vAlign w:val="bottom"/>
            <w:gridSpan w:val="2"/>
            <w:shd w:val="clear" w:color="auto" w:fill="CCEEFF"/>
          </w:tcPr>
          <w:p>
            <w:pPr>
              <w:jc w:val="center"/>
              <w:ind w:right="60"/>
              <w:spacing w:after="0"/>
              <w:rPr>
                <w:sz w:val="20"/>
                <w:szCs w:val="20"/>
                <w:color w:val="auto"/>
              </w:rPr>
            </w:pPr>
            <w:r>
              <w:rPr>
                <w:rFonts w:ascii="Arial" w:cs="Arial" w:eastAsia="Arial" w:hAnsi="Arial"/>
                <w:sz w:val="13"/>
                <w:szCs w:val="13"/>
                <w:color w:val="auto"/>
                <w:w w:val="98"/>
              </w:rPr>
              <w:t>$8.89 to $9.01</w:t>
            </w:r>
          </w:p>
        </w:tc>
        <w:tc>
          <w:tcPr>
            <w:tcW w:w="10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8"/>
              </w:rPr>
              <w:t>$9.49 to $9.61</w:t>
            </w:r>
          </w:p>
        </w:tc>
        <w:tc>
          <w:tcPr>
            <w:tcW w:w="0" w:type="dxa"/>
            <w:vAlign w:val="bottom"/>
          </w:tcPr>
          <w:p>
            <w:pPr>
              <w:spacing w:after="0"/>
              <w:rPr>
                <w:sz w:val="1"/>
                <w:szCs w:val="1"/>
                <w:color w:val="auto"/>
              </w:rPr>
            </w:pPr>
          </w:p>
        </w:tc>
      </w:tr>
      <w:tr>
        <w:trPr>
          <w:trHeight w:val="172"/>
        </w:trPr>
        <w:tc>
          <w:tcPr>
            <w:tcW w:w="5640" w:type="dxa"/>
            <w:vAlign w:val="bottom"/>
          </w:tcPr>
          <w:p>
            <w:pPr>
              <w:ind w:left="120"/>
              <w:spacing w:after="0"/>
              <w:rPr>
                <w:sz w:val="20"/>
                <w:szCs w:val="20"/>
                <w:color w:val="auto"/>
              </w:rPr>
            </w:pPr>
            <w:r>
              <w:rPr>
                <w:rFonts w:ascii="Arial" w:cs="Arial" w:eastAsia="Arial" w:hAnsi="Arial"/>
                <w:sz w:val="13"/>
                <w:szCs w:val="13"/>
                <w:color w:val="auto"/>
              </w:rPr>
              <w:t>Unrealized losses (gains) on non-real estate investments</w:t>
            </w:r>
          </w:p>
        </w:tc>
        <w:tc>
          <w:tcPr>
            <w:tcW w:w="1000" w:type="dxa"/>
            <w:vAlign w:val="bottom"/>
          </w:tcPr>
          <w:p>
            <w:pPr>
              <w:jc w:val="center"/>
              <w:spacing w:after="0"/>
              <w:rPr>
                <w:sz w:val="20"/>
                <w:szCs w:val="20"/>
                <w:color w:val="auto"/>
              </w:rPr>
            </w:pPr>
            <w:r>
              <w:rPr>
                <w:rFonts w:ascii="Arial" w:cs="Arial" w:eastAsia="Arial" w:hAnsi="Arial"/>
                <w:sz w:val="13"/>
                <w:szCs w:val="13"/>
                <w:color w:val="auto"/>
                <w:w w:val="94"/>
              </w:rPr>
              <w:t>0.20</w:t>
            </w:r>
          </w:p>
        </w:tc>
        <w:tc>
          <w:tcPr>
            <w:tcW w:w="4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3"/>
                <w:szCs w:val="13"/>
                <w:color w:val="auto"/>
                <w:w w:val="99"/>
              </w:rPr>
              <w:t>(0.17)</w:t>
            </w:r>
          </w:p>
        </w:tc>
        <w:tc>
          <w:tcPr>
            <w:tcW w:w="0" w:type="dxa"/>
            <w:vAlign w:val="bottom"/>
          </w:tcPr>
          <w:p>
            <w:pPr>
              <w:spacing w:after="0"/>
              <w:rPr>
                <w:sz w:val="1"/>
                <w:szCs w:val="1"/>
                <w:color w:val="auto"/>
              </w:rPr>
            </w:pPr>
          </w:p>
        </w:tc>
      </w:tr>
      <w:tr>
        <w:trPr>
          <w:trHeight w:val="172"/>
        </w:trPr>
        <w:tc>
          <w:tcPr>
            <w:tcW w:w="56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Impairment of non-real estate investments</w:t>
            </w:r>
          </w:p>
        </w:tc>
        <w:tc>
          <w:tcPr>
            <w:tcW w:w="10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0.16</w:t>
            </w:r>
          </w:p>
        </w:tc>
        <w:tc>
          <w:tcPr>
            <w:tcW w:w="40" w:type="dxa"/>
            <w:vAlign w:val="bottom"/>
            <w:shd w:val="clear" w:color="auto" w:fill="CCEEFF"/>
          </w:tcPr>
          <w:p>
            <w:pPr>
              <w:spacing w:after="0"/>
              <w:rPr>
                <w:sz w:val="14"/>
                <w:szCs w:val="14"/>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0.09</w:t>
            </w:r>
          </w:p>
        </w:tc>
        <w:tc>
          <w:tcPr>
            <w:tcW w:w="0" w:type="dxa"/>
            <w:vAlign w:val="bottom"/>
          </w:tcPr>
          <w:p>
            <w:pPr>
              <w:spacing w:after="0"/>
              <w:rPr>
                <w:sz w:val="1"/>
                <w:szCs w:val="1"/>
                <w:color w:val="auto"/>
              </w:rPr>
            </w:pPr>
          </w:p>
        </w:tc>
      </w:tr>
      <w:tr>
        <w:trPr>
          <w:trHeight w:val="172"/>
        </w:trPr>
        <w:tc>
          <w:tcPr>
            <w:tcW w:w="5640" w:type="dxa"/>
            <w:vAlign w:val="bottom"/>
          </w:tcPr>
          <w:p>
            <w:pPr>
              <w:ind w:left="140"/>
              <w:spacing w:after="0"/>
              <w:rPr>
                <w:sz w:val="20"/>
                <w:szCs w:val="20"/>
                <w:color w:val="auto"/>
              </w:rPr>
            </w:pPr>
            <w:r>
              <w:rPr>
                <w:rFonts w:ascii="Arial" w:cs="Arial" w:eastAsia="Arial" w:hAnsi="Arial"/>
                <w:sz w:val="13"/>
                <w:szCs w:val="13"/>
                <w:color w:val="auto"/>
              </w:rPr>
              <w:t>Impairment of real estate</w:t>
            </w:r>
          </w:p>
        </w:tc>
        <w:tc>
          <w:tcPr>
            <w:tcW w:w="1000" w:type="dxa"/>
            <w:vAlign w:val="bottom"/>
          </w:tcPr>
          <w:p>
            <w:pPr>
              <w:jc w:val="center"/>
              <w:spacing w:after="0"/>
              <w:rPr>
                <w:sz w:val="20"/>
                <w:szCs w:val="20"/>
                <w:color w:val="auto"/>
              </w:rPr>
            </w:pPr>
            <w:r>
              <w:rPr>
                <w:rFonts w:ascii="Arial" w:cs="Arial" w:eastAsia="Arial" w:hAnsi="Arial"/>
                <w:sz w:val="13"/>
                <w:szCs w:val="13"/>
                <w:color w:val="auto"/>
                <w:w w:val="94"/>
              </w:rPr>
              <w:t>0.17</w:t>
            </w:r>
          </w:p>
        </w:tc>
        <w:tc>
          <w:tcPr>
            <w:tcW w:w="4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56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Allocation to unvested restricted stock awards</w:t>
            </w:r>
          </w:p>
        </w:tc>
        <w:tc>
          <w:tcPr>
            <w:tcW w:w="10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4"/>
              </w:rPr>
              <w:t>(0.01)</w:t>
            </w:r>
          </w:p>
        </w:tc>
        <w:tc>
          <w:tcPr>
            <w:tcW w:w="40" w:type="dxa"/>
            <w:vAlign w:val="bottom"/>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0"/>
        </w:trPr>
        <w:tc>
          <w:tcPr>
            <w:tcW w:w="5640" w:type="dxa"/>
            <w:vAlign w:val="bottom"/>
          </w:tcPr>
          <w:p>
            <w:pPr>
              <w:ind w:left="40"/>
              <w:spacing w:after="0" w:line="110" w:lineRule="exact"/>
              <w:rPr>
                <w:sz w:val="20"/>
                <w:szCs w:val="20"/>
                <w:color w:val="auto"/>
              </w:rPr>
            </w:pPr>
            <w:r>
              <w:rPr>
                <w:rFonts w:ascii="Arial" w:cs="Arial" w:eastAsia="Arial" w:hAnsi="Arial"/>
                <w:sz w:val="10"/>
                <w:szCs w:val="10"/>
                <w:color w:val="auto"/>
              </w:rPr>
              <w:t>Funds from operations per share, as adjusted</w:t>
            </w:r>
            <w:r>
              <w:rPr>
                <w:rFonts w:ascii="Arial" w:cs="Arial" w:eastAsia="Arial" w:hAnsi="Arial"/>
                <w:sz w:val="12"/>
                <w:szCs w:val="12"/>
                <w:color w:val="auto"/>
                <w:vertAlign w:val="superscript"/>
              </w:rPr>
              <w:t>(2)</w:t>
            </w:r>
          </w:p>
        </w:tc>
        <w:tc>
          <w:tcPr>
            <w:tcW w:w="1040" w:type="dxa"/>
            <w:vAlign w:val="bottom"/>
            <w:gridSpan w:val="2"/>
          </w:tcPr>
          <w:p>
            <w:pPr>
              <w:jc w:val="center"/>
              <w:ind w:right="20"/>
              <w:spacing w:after="0" w:line="120" w:lineRule="exact"/>
              <w:rPr>
                <w:sz w:val="20"/>
                <w:szCs w:val="20"/>
                <w:color w:val="auto"/>
              </w:rPr>
            </w:pPr>
            <w:r>
              <w:rPr>
                <w:rFonts w:ascii="Arial" w:cs="Arial" w:eastAsia="Arial" w:hAnsi="Arial"/>
                <w:sz w:val="13"/>
                <w:szCs w:val="13"/>
                <w:color w:val="auto"/>
                <w:w w:val="98"/>
              </w:rPr>
              <w:t>$9.41 to $9.53</w:t>
            </w:r>
          </w:p>
        </w:tc>
        <w:tc>
          <w:tcPr>
            <w:tcW w:w="1000" w:type="dxa"/>
            <w:vAlign w:val="bottom"/>
          </w:tcPr>
          <w:p>
            <w:pPr>
              <w:jc w:val="center"/>
              <w:spacing w:after="0" w:line="120" w:lineRule="exact"/>
              <w:rPr>
                <w:sz w:val="20"/>
                <w:szCs w:val="20"/>
                <w:color w:val="auto"/>
              </w:rPr>
            </w:pPr>
            <w:r>
              <w:rPr>
                <w:rFonts w:ascii="Arial" w:cs="Arial" w:eastAsia="Arial" w:hAnsi="Arial"/>
                <w:sz w:val="13"/>
                <w:szCs w:val="13"/>
                <w:color w:val="auto"/>
                <w:w w:val="98"/>
              </w:rPr>
              <w:t>$9.41 to $9.53</w:t>
            </w:r>
          </w:p>
        </w:tc>
        <w:tc>
          <w:tcPr>
            <w:tcW w:w="0" w:type="dxa"/>
            <w:vAlign w:val="bottom"/>
          </w:tcPr>
          <w:p>
            <w:pPr>
              <w:spacing w:after="0"/>
              <w:rPr>
                <w:sz w:val="1"/>
                <w:szCs w:val="1"/>
                <w:color w:val="auto"/>
              </w:rPr>
            </w:pPr>
          </w:p>
        </w:tc>
      </w:tr>
      <w:tr>
        <w:trPr>
          <w:trHeight w:val="20"/>
        </w:trPr>
        <w:tc>
          <w:tcPr>
            <w:tcW w:w="564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Midpoint</w:t>
            </w:r>
          </w:p>
        </w:tc>
        <w:tc>
          <w:tcPr>
            <w:tcW w:w="10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8"/>
              </w:rPr>
              <w:t>$9.47</w:t>
            </w:r>
          </w:p>
        </w:tc>
        <w:tc>
          <w:tcPr>
            <w:tcW w:w="40" w:type="dxa"/>
            <w:vAlign w:val="bottom"/>
            <w:shd w:val="clear" w:color="auto" w:fill="CCEEFF"/>
          </w:tcPr>
          <w:p>
            <w:pPr>
              <w:spacing w:after="0"/>
              <w:rPr>
                <w:sz w:val="15"/>
                <w:szCs w:val="15"/>
                <w:color w:val="auto"/>
              </w:rPr>
            </w:pPr>
          </w:p>
        </w:tc>
        <w:tc>
          <w:tcPr>
            <w:tcW w:w="1000" w:type="dxa"/>
            <w:vAlign w:val="bottom"/>
            <w:shd w:val="clear" w:color="auto" w:fill="CCEEFF"/>
          </w:tcPr>
          <w:p>
            <w:pPr>
              <w:jc w:val="center"/>
              <w:ind w:left="16"/>
              <w:spacing w:after="0"/>
              <w:rPr>
                <w:sz w:val="20"/>
                <w:szCs w:val="20"/>
                <w:color w:val="auto"/>
              </w:rPr>
            </w:pPr>
            <w:r>
              <w:rPr>
                <w:rFonts w:ascii="Arial" w:cs="Arial" w:eastAsia="Arial" w:hAnsi="Arial"/>
                <w:sz w:val="13"/>
                <w:szCs w:val="13"/>
                <w:color w:val="auto"/>
                <w:w w:val="98"/>
              </w:rPr>
              <w:t>$9.47</w:t>
            </w:r>
          </w:p>
        </w:tc>
        <w:tc>
          <w:tcPr>
            <w:tcW w:w="0" w:type="dxa"/>
            <w:vAlign w:val="bottom"/>
          </w:tcPr>
          <w:p>
            <w:pPr>
              <w:spacing w:after="0"/>
              <w:rPr>
                <w:sz w:val="1"/>
                <w:szCs w:val="1"/>
                <w:color w:val="auto"/>
              </w:rPr>
            </w:pPr>
          </w:p>
        </w:tc>
      </w:tr>
    </w:tbl>
    <w:p>
      <w:pPr>
        <w:spacing w:after="0" w:line="125" w:lineRule="exact"/>
        <w:rPr>
          <w:sz w:val="20"/>
          <w:szCs w:val="20"/>
          <w:color w:val="auto"/>
        </w:rPr>
      </w:pPr>
    </w:p>
    <w:p>
      <w:pPr>
        <w:ind w:left="900" w:right="659" w:hanging="262"/>
        <w:spacing w:after="0" w:line="268" w:lineRule="auto"/>
        <w:tabs>
          <w:tab w:leader="none" w:pos="900" w:val="left"/>
        </w:tabs>
        <w:numPr>
          <w:ilvl w:val="0"/>
          <w:numId w:val="102"/>
        </w:numPr>
        <w:rPr>
          <w:rFonts w:ascii="Arial" w:cs="Arial" w:eastAsia="Arial" w:hAnsi="Arial"/>
          <w:sz w:val="10"/>
          <w:szCs w:val="10"/>
          <w:color w:val="auto"/>
        </w:rPr>
      </w:pPr>
      <w:r>
        <w:rPr>
          <w:rFonts w:ascii="Arial" w:cs="Arial" w:eastAsia="Arial" w:hAnsi="Arial"/>
          <w:sz w:val="10"/>
          <w:szCs w:val="10"/>
          <w:color w:val="auto"/>
        </w:rPr>
        <w:t>Excludes unrealized gains or losses on non-real estate investments after June 30, 2024 that are required to be recognized in earnings and are excluded from funds from operations per share, as adjusted.</w:t>
      </w:r>
    </w:p>
    <w:p>
      <w:pPr>
        <w:ind w:left="900" w:hanging="262"/>
        <w:spacing w:after="0"/>
        <w:tabs>
          <w:tab w:leader="none" w:pos="900" w:val="left"/>
        </w:tabs>
        <w:numPr>
          <w:ilvl w:val="0"/>
          <w:numId w:val="102"/>
        </w:numPr>
        <w:rPr>
          <w:rFonts w:ascii="Arial" w:cs="Arial" w:eastAsia="Arial" w:hAnsi="Arial"/>
          <w:sz w:val="10"/>
          <w:szCs w:val="10"/>
          <w:color w:val="auto"/>
        </w:rPr>
      </w:pPr>
      <w:r>
        <w:rPr>
          <w:rFonts w:ascii="Arial" w:cs="Arial" w:eastAsia="Arial" w:hAnsi="Arial"/>
          <w:sz w:val="10"/>
          <w:szCs w:val="10"/>
          <w:color w:val="auto"/>
        </w:rPr>
        <w:t>Refer to “Definitions and reconciliations” in Item 2 for additional information.</w:t>
      </w:r>
    </w:p>
    <w:p>
      <w:pPr>
        <w:spacing w:after="0" w:line="135" w:lineRule="exact"/>
        <w:rPr>
          <w:sz w:val="20"/>
          <w:szCs w:val="20"/>
          <w:color w:val="auto"/>
        </w:rPr>
      </w:pPr>
    </w:p>
    <w:tbl>
      <w:tblPr>
        <w:tblLayout w:type="fixed"/>
        <w:tblInd w:w="640" w:type="dxa"/>
        <w:tblCellMar>
          <w:top w:w="0" w:type="dxa"/>
          <w:left w:w="0" w:type="dxa"/>
          <w:bottom w:w="0" w:type="dxa"/>
          <w:right w:w="0" w:type="dxa"/>
        </w:tblCellMar>
      </w:tblPr>
      <w:tr>
        <w:trPr>
          <w:trHeight w:val="184"/>
        </w:trPr>
        <w:tc>
          <w:tcPr>
            <w:tcW w:w="6260" w:type="dxa"/>
            <w:vAlign w:val="bottom"/>
            <w:gridSpan w:val="2"/>
          </w:tcPr>
          <w:p>
            <w:pPr>
              <w:ind w:left="40"/>
              <w:spacing w:after="0"/>
              <w:rPr>
                <w:sz w:val="20"/>
                <w:szCs w:val="20"/>
                <w:color w:val="auto"/>
              </w:rPr>
            </w:pPr>
            <w:r>
              <w:rPr>
                <w:rFonts w:ascii="Arial" w:cs="Arial" w:eastAsia="Arial" w:hAnsi="Arial"/>
                <w:sz w:val="13"/>
                <w:szCs w:val="13"/>
                <w:b w:val="1"/>
                <w:bCs w:val="1"/>
                <w:color w:val="auto"/>
              </w:rPr>
              <w:t>Key Assumptions</w:t>
            </w:r>
            <w:r>
              <w:rPr>
                <w:rFonts w:ascii="Arial" w:cs="Arial" w:eastAsia="Arial" w:hAnsi="Arial"/>
                <w:sz w:val="16"/>
                <w:szCs w:val="16"/>
                <w:b w:val="1"/>
                <w:bCs w:val="1"/>
                <w:color w:val="auto"/>
                <w:vertAlign w:val="superscript"/>
              </w:rPr>
              <w:t>(1)</w:t>
            </w:r>
          </w:p>
        </w:tc>
        <w:tc>
          <w:tcPr>
            <w:tcW w:w="1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2024</w:t>
            </w:r>
          </w:p>
        </w:tc>
        <w:tc>
          <w:tcPr>
            <w:tcW w:w="860" w:type="dxa"/>
            <w:vAlign w:val="bottom"/>
            <w:tcBorders>
              <w:bottom w:val="single" w:sz="8" w:color="auto"/>
            </w:tcBorders>
            <w:gridSpan w:val="4"/>
          </w:tcPr>
          <w:p>
            <w:pPr>
              <w:jc w:val="right"/>
              <w:ind w:right="236"/>
              <w:spacing w:after="0"/>
              <w:rPr>
                <w:sz w:val="20"/>
                <w:szCs w:val="20"/>
                <w:color w:val="auto"/>
              </w:rPr>
            </w:pPr>
            <w:r>
              <w:rPr>
                <w:rFonts w:ascii="Arial" w:cs="Arial" w:eastAsia="Arial" w:hAnsi="Arial"/>
                <w:sz w:val="13"/>
                <w:szCs w:val="13"/>
                <w:color w:val="auto"/>
                <w:w w:val="96"/>
              </w:rPr>
              <w:t>Guidance</w:t>
            </w:r>
          </w:p>
        </w:tc>
      </w:tr>
      <w:tr>
        <w:trPr>
          <w:trHeight w:val="163"/>
        </w:trPr>
        <w:tc>
          <w:tcPr>
            <w:tcW w:w="6260" w:type="dxa"/>
            <w:vAlign w:val="bottom"/>
            <w:gridSpan w:val="2"/>
          </w:tcPr>
          <w:p>
            <w:pPr>
              <w:ind w:left="40"/>
              <w:spacing w:after="0"/>
              <w:rPr>
                <w:sz w:val="20"/>
                <w:szCs w:val="20"/>
                <w:color w:val="auto"/>
              </w:rPr>
            </w:pPr>
            <w:r>
              <w:rPr>
                <w:rFonts w:ascii="Arial" w:cs="Arial" w:eastAsia="Arial" w:hAnsi="Arial"/>
                <w:sz w:val="13"/>
                <w:szCs w:val="13"/>
                <w:i w:val="1"/>
                <w:iCs w:val="1"/>
                <w:color w:val="auto"/>
              </w:rPr>
              <w:t>(Dollars in millions)</w:t>
            </w:r>
          </w:p>
        </w:tc>
        <w:tc>
          <w:tcPr>
            <w:tcW w:w="160" w:type="dxa"/>
            <w:vAlign w:val="bottom"/>
          </w:tcPr>
          <w:p>
            <w:pPr>
              <w:spacing w:after="0"/>
              <w:rPr>
                <w:sz w:val="14"/>
                <w:szCs w:val="14"/>
                <w:color w:val="auto"/>
              </w:rPr>
            </w:pPr>
          </w:p>
        </w:tc>
        <w:tc>
          <w:tcPr>
            <w:tcW w:w="460" w:type="dxa"/>
            <w:vAlign w:val="bottom"/>
          </w:tcPr>
          <w:p>
            <w:pPr>
              <w:jc w:val="right"/>
              <w:ind w:right="116"/>
              <w:spacing w:after="0"/>
              <w:rPr>
                <w:sz w:val="20"/>
                <w:szCs w:val="20"/>
                <w:color w:val="auto"/>
              </w:rPr>
            </w:pPr>
            <w:r>
              <w:rPr>
                <w:rFonts w:ascii="Arial" w:cs="Arial" w:eastAsia="Arial" w:hAnsi="Arial"/>
                <w:sz w:val="13"/>
                <w:szCs w:val="13"/>
                <w:color w:val="auto"/>
              </w:rPr>
              <w:t>Low</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ind w:right="276"/>
              <w:spacing w:after="0"/>
              <w:rPr>
                <w:sz w:val="20"/>
                <w:szCs w:val="20"/>
                <w:color w:val="auto"/>
              </w:rPr>
            </w:pPr>
            <w:r>
              <w:rPr>
                <w:rFonts w:ascii="Arial" w:cs="Arial" w:eastAsia="Arial" w:hAnsi="Arial"/>
                <w:sz w:val="13"/>
                <w:szCs w:val="13"/>
                <w:color w:val="auto"/>
              </w:rPr>
              <w:t>High</w:t>
            </w:r>
          </w:p>
        </w:tc>
      </w:tr>
      <w:tr>
        <w:trPr>
          <w:trHeight w:val="23"/>
        </w:trPr>
        <w:tc>
          <w:tcPr>
            <w:tcW w:w="62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r>
      <w:tr>
        <w:trPr>
          <w:trHeight w:val="204"/>
        </w:trPr>
        <w:tc>
          <w:tcPr>
            <w:tcW w:w="626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Occupancy percentage for operating properties in North America as of December 31, 2024</w:t>
            </w: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94.6%</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95.6%</w:t>
            </w:r>
          </w:p>
        </w:tc>
      </w:tr>
      <w:tr>
        <w:trPr>
          <w:trHeight w:val="172"/>
        </w:trPr>
        <w:tc>
          <w:tcPr>
            <w:tcW w:w="6260" w:type="dxa"/>
            <w:vAlign w:val="bottom"/>
            <w:gridSpan w:val="2"/>
          </w:tcPr>
          <w:p>
            <w:pPr>
              <w:ind w:left="40"/>
              <w:spacing w:after="0"/>
              <w:rPr>
                <w:sz w:val="20"/>
                <w:szCs w:val="20"/>
                <w:color w:val="auto"/>
              </w:rPr>
            </w:pPr>
            <w:r>
              <w:rPr>
                <w:rFonts w:ascii="Arial" w:cs="Arial" w:eastAsia="Arial" w:hAnsi="Arial"/>
                <w:sz w:val="13"/>
                <w:szCs w:val="13"/>
                <w:color w:val="auto"/>
              </w:rPr>
              <w:t>Lease renewals and re-leasing of space:</w:t>
            </w: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72"/>
        </w:trPr>
        <w:tc>
          <w:tcPr>
            <w:tcW w:w="626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Rental rate increases</w:t>
            </w:r>
          </w:p>
        </w:tc>
        <w:tc>
          <w:tcPr>
            <w:tcW w:w="16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19.0%</w:t>
            </w:r>
          </w:p>
        </w:tc>
      </w:tr>
      <w:tr>
        <w:trPr>
          <w:trHeight w:val="172"/>
        </w:trPr>
        <w:tc>
          <w:tcPr>
            <w:tcW w:w="6260" w:type="dxa"/>
            <w:vAlign w:val="bottom"/>
            <w:gridSpan w:val="2"/>
          </w:tcPr>
          <w:p>
            <w:pPr>
              <w:ind w:left="140"/>
              <w:spacing w:after="0"/>
              <w:rPr>
                <w:sz w:val="20"/>
                <w:szCs w:val="20"/>
                <w:color w:val="auto"/>
              </w:rPr>
            </w:pPr>
            <w:r>
              <w:rPr>
                <w:rFonts w:ascii="Arial" w:cs="Arial" w:eastAsia="Arial" w:hAnsi="Arial"/>
                <w:sz w:val="13"/>
                <w:szCs w:val="13"/>
                <w:color w:val="auto"/>
              </w:rPr>
              <w:t>Rental rate increases (cash basis)</w:t>
            </w:r>
          </w:p>
        </w:tc>
        <w:tc>
          <w:tcPr>
            <w:tcW w:w="1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5.0%</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ind w:right="116"/>
              <w:spacing w:after="0"/>
              <w:rPr>
                <w:sz w:val="20"/>
                <w:szCs w:val="20"/>
                <w:color w:val="auto"/>
              </w:rPr>
            </w:pPr>
            <w:r>
              <w:rPr>
                <w:rFonts w:ascii="Arial" w:cs="Arial" w:eastAsia="Arial" w:hAnsi="Arial"/>
                <w:sz w:val="13"/>
                <w:szCs w:val="13"/>
                <w:color w:val="auto"/>
              </w:rPr>
              <w:t>13.0%</w:t>
            </w:r>
          </w:p>
        </w:tc>
      </w:tr>
      <w:tr>
        <w:trPr>
          <w:trHeight w:val="172"/>
        </w:trPr>
        <w:tc>
          <w:tcPr>
            <w:tcW w:w="626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Same property performance:</w:t>
            </w:r>
          </w:p>
        </w:tc>
        <w:tc>
          <w:tcPr>
            <w:tcW w:w="1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r>
      <w:tr>
        <w:trPr>
          <w:trHeight w:val="172"/>
        </w:trPr>
        <w:tc>
          <w:tcPr>
            <w:tcW w:w="6260" w:type="dxa"/>
            <w:vAlign w:val="bottom"/>
            <w:gridSpan w:val="2"/>
          </w:tcPr>
          <w:p>
            <w:pPr>
              <w:ind w:left="140"/>
              <w:spacing w:after="0"/>
              <w:rPr>
                <w:sz w:val="20"/>
                <w:szCs w:val="20"/>
                <w:color w:val="auto"/>
              </w:rPr>
            </w:pPr>
            <w:r>
              <w:rPr>
                <w:rFonts w:ascii="Arial" w:cs="Arial" w:eastAsia="Arial" w:hAnsi="Arial"/>
                <w:sz w:val="13"/>
                <w:szCs w:val="13"/>
                <w:color w:val="auto"/>
              </w:rPr>
              <w:t>Net operating income increases</w:t>
            </w:r>
          </w:p>
        </w:tc>
        <w:tc>
          <w:tcPr>
            <w:tcW w:w="1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0.5%</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ind w:right="116"/>
              <w:spacing w:after="0"/>
              <w:rPr>
                <w:sz w:val="20"/>
                <w:szCs w:val="20"/>
                <w:color w:val="auto"/>
              </w:rPr>
            </w:pPr>
            <w:r>
              <w:rPr>
                <w:rFonts w:ascii="Arial" w:cs="Arial" w:eastAsia="Arial" w:hAnsi="Arial"/>
                <w:sz w:val="13"/>
                <w:szCs w:val="13"/>
                <w:color w:val="auto"/>
              </w:rPr>
              <w:t>2.5%</w:t>
            </w:r>
          </w:p>
        </w:tc>
      </w:tr>
      <w:tr>
        <w:trPr>
          <w:trHeight w:val="172"/>
        </w:trPr>
        <w:tc>
          <w:tcPr>
            <w:tcW w:w="626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Net operating income increases (cash basis)</w:t>
            </w:r>
          </w:p>
        </w:tc>
        <w:tc>
          <w:tcPr>
            <w:tcW w:w="16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5.0%</w:t>
            </w:r>
          </w:p>
        </w:tc>
      </w:tr>
      <w:tr>
        <w:trPr>
          <w:trHeight w:val="172"/>
        </w:trPr>
        <w:tc>
          <w:tcPr>
            <w:tcW w:w="6260" w:type="dxa"/>
            <w:vAlign w:val="bottom"/>
            <w:gridSpan w:val="2"/>
          </w:tcPr>
          <w:p>
            <w:pPr>
              <w:ind w:left="40"/>
              <w:spacing w:after="0"/>
              <w:rPr>
                <w:sz w:val="20"/>
                <w:szCs w:val="20"/>
                <w:color w:val="auto"/>
              </w:rPr>
            </w:pPr>
            <w:r>
              <w:rPr>
                <w:rFonts w:ascii="Arial" w:cs="Arial" w:eastAsia="Arial" w:hAnsi="Arial"/>
                <w:sz w:val="13"/>
                <w:szCs w:val="13"/>
                <w:color w:val="auto"/>
              </w:rPr>
              <w:t>Straight-line rent revenue</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169</w:t>
            </w:r>
          </w:p>
        </w:tc>
        <w:tc>
          <w:tcPr>
            <w:tcW w:w="220" w:type="dxa"/>
            <w:vAlign w:val="bottom"/>
            <w:gridSpan w:val="3"/>
          </w:tcPr>
          <w:p>
            <w:pPr>
              <w:jc w:val="right"/>
              <w:ind w:right="40"/>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136"/>
              <w:spacing w:after="0"/>
              <w:rPr>
                <w:sz w:val="20"/>
                <w:szCs w:val="20"/>
                <w:color w:val="auto"/>
              </w:rPr>
            </w:pPr>
            <w:r>
              <w:rPr>
                <w:rFonts w:ascii="Arial" w:cs="Arial" w:eastAsia="Arial" w:hAnsi="Arial"/>
                <w:sz w:val="13"/>
                <w:szCs w:val="13"/>
                <w:color w:val="auto"/>
              </w:rPr>
              <w:t>184</w:t>
            </w:r>
          </w:p>
        </w:tc>
      </w:tr>
      <w:tr>
        <w:trPr>
          <w:trHeight w:val="172"/>
        </w:trPr>
        <w:tc>
          <w:tcPr>
            <w:tcW w:w="626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General and administrative expenses</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181</w:t>
            </w:r>
          </w:p>
        </w:tc>
        <w:tc>
          <w:tcPr>
            <w:tcW w:w="22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191</w:t>
            </w:r>
          </w:p>
        </w:tc>
      </w:tr>
      <w:tr>
        <w:trPr>
          <w:trHeight w:val="172"/>
        </w:trPr>
        <w:tc>
          <w:tcPr>
            <w:tcW w:w="6260" w:type="dxa"/>
            <w:vAlign w:val="bottom"/>
            <w:gridSpan w:val="2"/>
          </w:tcPr>
          <w:p>
            <w:pPr>
              <w:ind w:left="40"/>
              <w:spacing w:after="0"/>
              <w:rPr>
                <w:sz w:val="20"/>
                <w:szCs w:val="20"/>
                <w:color w:val="auto"/>
              </w:rPr>
            </w:pPr>
            <w:r>
              <w:rPr>
                <w:rFonts w:ascii="Arial" w:cs="Arial" w:eastAsia="Arial" w:hAnsi="Arial"/>
                <w:sz w:val="13"/>
                <w:szCs w:val="13"/>
                <w:color w:val="auto"/>
              </w:rPr>
              <w:t>Capitalization of interest</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325</w:t>
            </w:r>
          </w:p>
        </w:tc>
        <w:tc>
          <w:tcPr>
            <w:tcW w:w="220" w:type="dxa"/>
            <w:vAlign w:val="bottom"/>
            <w:gridSpan w:val="3"/>
          </w:tcPr>
          <w:p>
            <w:pPr>
              <w:jc w:val="right"/>
              <w:ind w:right="40"/>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136"/>
              <w:spacing w:after="0"/>
              <w:rPr>
                <w:sz w:val="20"/>
                <w:szCs w:val="20"/>
                <w:color w:val="auto"/>
              </w:rPr>
            </w:pPr>
            <w:r>
              <w:rPr>
                <w:rFonts w:ascii="Arial" w:cs="Arial" w:eastAsia="Arial" w:hAnsi="Arial"/>
                <w:sz w:val="13"/>
                <w:szCs w:val="13"/>
                <w:color w:val="auto"/>
              </w:rPr>
              <w:t>355</w:t>
            </w:r>
          </w:p>
        </w:tc>
      </w:tr>
      <w:tr>
        <w:trPr>
          <w:trHeight w:val="172"/>
        </w:trPr>
        <w:tc>
          <w:tcPr>
            <w:tcW w:w="626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Interest expense</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154</w:t>
            </w:r>
          </w:p>
        </w:tc>
        <w:tc>
          <w:tcPr>
            <w:tcW w:w="22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184</w:t>
            </w:r>
          </w:p>
        </w:tc>
      </w:tr>
      <w:tr>
        <w:trPr>
          <w:trHeight w:val="236"/>
        </w:trPr>
        <w:tc>
          <w:tcPr>
            <w:tcW w:w="6260" w:type="dxa"/>
            <w:vAlign w:val="bottom"/>
            <w:gridSpan w:val="2"/>
          </w:tcPr>
          <w:p>
            <w:pPr>
              <w:ind w:left="40"/>
              <w:spacing w:after="0"/>
              <w:rPr>
                <w:sz w:val="20"/>
                <w:szCs w:val="20"/>
                <w:color w:val="auto"/>
              </w:rPr>
            </w:pPr>
            <w:r>
              <w:rPr>
                <w:rFonts w:ascii="Arial" w:cs="Arial" w:eastAsia="Arial" w:hAnsi="Arial"/>
                <w:sz w:val="13"/>
                <w:szCs w:val="13"/>
                <w:color w:val="auto"/>
              </w:rPr>
              <w:t>Realized gains on non-real estate investments</w:t>
            </w:r>
            <w:r>
              <w:rPr>
                <w:rFonts w:ascii="Arial" w:cs="Arial" w:eastAsia="Arial" w:hAnsi="Arial"/>
                <w:sz w:val="16"/>
                <w:szCs w:val="16"/>
                <w:color w:val="auto"/>
                <w:vertAlign w:val="superscript"/>
              </w:rPr>
              <w:t>(2)</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95</w:t>
            </w:r>
          </w:p>
        </w:tc>
        <w:tc>
          <w:tcPr>
            <w:tcW w:w="220" w:type="dxa"/>
            <w:vAlign w:val="bottom"/>
            <w:gridSpan w:val="3"/>
          </w:tcPr>
          <w:p>
            <w:pPr>
              <w:jc w:val="right"/>
              <w:ind w:right="40"/>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136"/>
              <w:spacing w:after="0"/>
              <w:rPr>
                <w:sz w:val="20"/>
                <w:szCs w:val="20"/>
                <w:color w:val="auto"/>
              </w:rPr>
            </w:pPr>
            <w:r>
              <w:rPr>
                <w:rFonts w:ascii="Arial" w:cs="Arial" w:eastAsia="Arial" w:hAnsi="Arial"/>
                <w:sz w:val="13"/>
                <w:szCs w:val="13"/>
                <w:color w:val="auto"/>
              </w:rPr>
              <w:t>125</w:t>
            </w:r>
          </w:p>
        </w:tc>
      </w:tr>
    </w:tbl>
    <w:p>
      <w:pPr>
        <w:spacing w:after="0" w:line="28" w:lineRule="exact"/>
        <w:rPr>
          <w:sz w:val="20"/>
          <w:szCs w:val="20"/>
          <w:color w:val="auto"/>
        </w:rPr>
      </w:pPr>
    </w:p>
    <w:p>
      <w:pPr>
        <w:ind w:left="900" w:right="699" w:hanging="262"/>
        <w:spacing w:after="0" w:line="257" w:lineRule="auto"/>
        <w:tabs>
          <w:tab w:leader="none" w:pos="900" w:val="left"/>
        </w:tabs>
        <w:numPr>
          <w:ilvl w:val="0"/>
          <w:numId w:val="103"/>
        </w:numPr>
        <w:rPr>
          <w:rFonts w:ascii="Arial" w:cs="Arial" w:eastAsia="Arial" w:hAnsi="Arial"/>
          <w:sz w:val="10"/>
          <w:szCs w:val="10"/>
          <w:color w:val="auto"/>
        </w:rPr>
      </w:pPr>
      <w:r>
        <w:rPr>
          <w:rFonts w:ascii="Arial" w:cs="Arial" w:eastAsia="Arial" w:hAnsi="Arial"/>
          <w:sz w:val="10"/>
          <w:szCs w:val="10"/>
          <w:color w:val="auto"/>
        </w:rPr>
        <w:t>Our assumptions presented in the table above are subject to a number of variables and uncertainties, including those discussed as “Forward-looking statements” under Part I; “Item 1A. Risk factors”; and “Item 7. Management’s discussion and analysis of financial condition and results of operations” of our annual report on Form 10-K for the year ended December 31, 2023, as well as in “Item 1A. Risk factors” within “Part II – Other information” of this quarterly report on Form 10-Q. To the extent our full-year earnings guidance is updated during the year, we will provide additional disclosure supporting reasons for any significant changes to such guidance.</w:t>
      </w:r>
    </w:p>
    <w:p>
      <w:pPr>
        <w:ind w:left="900" w:right="919" w:hanging="262"/>
        <w:spacing w:after="0" w:line="262" w:lineRule="auto"/>
        <w:tabs>
          <w:tab w:leader="none" w:pos="900" w:val="left"/>
        </w:tabs>
        <w:numPr>
          <w:ilvl w:val="0"/>
          <w:numId w:val="103"/>
        </w:numPr>
        <w:rPr>
          <w:rFonts w:ascii="Arial" w:cs="Arial" w:eastAsia="Arial" w:hAnsi="Arial"/>
          <w:sz w:val="10"/>
          <w:szCs w:val="10"/>
          <w:color w:val="auto"/>
          <w:highlight w:val="white"/>
        </w:rPr>
      </w:pPr>
      <w:r>
        <w:rPr>
          <w:rFonts w:ascii="Arial" w:cs="Arial" w:eastAsia="Arial" w:hAnsi="Arial"/>
          <w:sz w:val="10"/>
          <w:szCs w:val="10"/>
          <w:color w:val="auto"/>
        </w:rPr>
        <w:t>Represents realized gains and losses included in funds from operations per share – diluted, as adjusted, and excludes significant impairments realized on non-real estate investments, if any. Refer to Note 7 – “Investments” to our unaudited consolidated financial statements in Item 1 for additional details.</w:t>
      </w:r>
    </w:p>
    <w:p>
      <w:pPr>
        <w:spacing w:after="0" w:line="11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Key Credit Metric Targets</w:t>
      </w:r>
      <w:r>
        <w:rPr>
          <w:rFonts w:ascii="Arial" w:cs="Arial" w:eastAsia="Arial" w:hAnsi="Arial"/>
          <w:sz w:val="16"/>
          <w:szCs w:val="16"/>
          <w:b w:val="1"/>
          <w:bCs w:val="1"/>
          <w:color w:val="auto"/>
          <w:vertAlign w:val="superscript"/>
        </w:rPr>
        <w:t>(1)</w:t>
      </w:r>
    </w:p>
    <w:tbl>
      <w:tblPr>
        <w:tblLayout w:type="fixed"/>
        <w:tblInd w:w="640" w:type="dxa"/>
        <w:tblCellMar>
          <w:top w:w="0" w:type="dxa"/>
          <w:left w:w="0" w:type="dxa"/>
          <w:bottom w:w="0" w:type="dxa"/>
          <w:right w:w="0" w:type="dxa"/>
        </w:tblCellMar>
      </w:tblPr>
      <w:tr>
        <w:trPr>
          <w:trHeight w:val="163"/>
        </w:trPr>
        <w:tc>
          <w:tcPr>
            <w:tcW w:w="542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Net debt and preferred stock to Adjusted EBITDA – fourth quarter of 2024 annualized</w:t>
            </w:r>
          </w:p>
        </w:tc>
        <w:tc>
          <w:tcPr>
            <w:tcW w:w="2320" w:type="dxa"/>
            <w:vAlign w:val="bottom"/>
            <w:tcBorders>
              <w:top w:val="single" w:sz="8" w:color="auto"/>
            </w:tcBorders>
            <w:shd w:val="clear" w:color="auto" w:fill="CCEEFF"/>
          </w:tcPr>
          <w:p>
            <w:pPr>
              <w:jc w:val="center"/>
              <w:ind w:left="336"/>
              <w:spacing w:after="0"/>
              <w:rPr>
                <w:sz w:val="20"/>
                <w:szCs w:val="20"/>
                <w:color w:val="auto"/>
              </w:rPr>
            </w:pPr>
            <w:r>
              <w:rPr>
                <w:rFonts w:ascii="Arial" w:cs="Arial" w:eastAsia="Arial" w:hAnsi="Arial"/>
                <w:sz w:val="13"/>
                <w:szCs w:val="13"/>
                <w:color w:val="auto"/>
                <w:w w:val="98"/>
              </w:rPr>
              <w:t>Less than or equal to 5.1x</w:t>
            </w:r>
          </w:p>
        </w:tc>
      </w:tr>
      <w:tr>
        <w:trPr>
          <w:trHeight w:val="201"/>
        </w:trPr>
        <w:tc>
          <w:tcPr>
            <w:tcW w:w="5420" w:type="dxa"/>
            <w:vAlign w:val="bottom"/>
          </w:tcPr>
          <w:p>
            <w:pPr>
              <w:ind w:left="40"/>
              <w:spacing w:after="0"/>
              <w:rPr>
                <w:sz w:val="20"/>
                <w:szCs w:val="20"/>
                <w:color w:val="auto"/>
              </w:rPr>
            </w:pPr>
            <w:r>
              <w:rPr>
                <w:rFonts w:ascii="Arial" w:cs="Arial" w:eastAsia="Arial" w:hAnsi="Arial"/>
                <w:sz w:val="13"/>
                <w:szCs w:val="13"/>
                <w:color w:val="auto"/>
              </w:rPr>
              <w:t>Fixed-charge coverage ratio – fourth quarter of 2024 annualized</w:t>
            </w:r>
          </w:p>
        </w:tc>
        <w:tc>
          <w:tcPr>
            <w:tcW w:w="2320" w:type="dxa"/>
            <w:vAlign w:val="bottom"/>
          </w:tcPr>
          <w:p>
            <w:pPr>
              <w:jc w:val="center"/>
              <w:ind w:left="336"/>
              <w:spacing w:after="0"/>
              <w:rPr>
                <w:sz w:val="20"/>
                <w:szCs w:val="20"/>
                <w:color w:val="auto"/>
              </w:rPr>
            </w:pPr>
            <w:r>
              <w:rPr>
                <w:rFonts w:ascii="Arial" w:cs="Arial" w:eastAsia="Arial" w:hAnsi="Arial"/>
                <w:sz w:val="13"/>
                <w:szCs w:val="13"/>
                <w:color w:val="auto"/>
                <w:w w:val="98"/>
              </w:rPr>
              <w:t>Greater than or equal to 4.5x</w:t>
            </w:r>
          </w:p>
        </w:tc>
      </w:tr>
    </w:tbl>
    <w:p>
      <w:pPr>
        <w:spacing w:after="0" w:line="74" w:lineRule="exact"/>
        <w:rPr>
          <w:sz w:val="20"/>
          <w:szCs w:val="20"/>
          <w:color w:val="auto"/>
        </w:rPr>
      </w:pPr>
    </w:p>
    <w:p>
      <w:pPr>
        <w:sectPr>
          <w:pgSz w:w="11900" w:h="16838" w:orient="portrait"/>
          <w:cols w:equalWidth="0" w:num="1">
            <w:col w:w="9019"/>
          </w:cols>
          <w:pgMar w:left="1440" w:top="98" w:right="1440" w:bottom="795" w:gutter="0" w:footer="0" w:header="0"/>
        </w:sectPr>
      </w:pPr>
    </w:p>
    <w:p>
      <w:pPr>
        <w:ind w:left="900" w:hanging="262"/>
        <w:spacing w:after="0"/>
        <w:tabs>
          <w:tab w:leader="none" w:pos="900" w:val="left"/>
        </w:tabs>
        <w:numPr>
          <w:ilvl w:val="0"/>
          <w:numId w:val="104"/>
        </w:numPr>
        <w:rPr>
          <w:rFonts w:ascii="Arial" w:cs="Arial" w:eastAsia="Arial" w:hAnsi="Arial"/>
          <w:sz w:val="10"/>
          <w:szCs w:val="10"/>
          <w:color w:val="auto"/>
        </w:rPr>
      </w:pPr>
      <w:r>
        <w:rPr>
          <w:rFonts w:ascii="Arial" w:cs="Arial" w:eastAsia="Arial" w:hAnsi="Arial"/>
          <w:sz w:val="10"/>
          <w:szCs w:val="10"/>
          <w:color w:val="auto"/>
        </w:rPr>
        <w:t>Refer to “Definitions and reconciliations” in Item 2 for additional information.</w:t>
      </w:r>
    </w:p>
    <w:p>
      <w:pPr>
        <w:sectPr>
          <w:pgSz w:w="11900" w:h="16838" w:orient="portrait"/>
          <w:cols w:equalWidth="0" w:num="1">
            <w:col w:w="9019"/>
          </w:cols>
          <w:pgMar w:left="1440" w:top="98" w:right="1440" w:bottom="795" w:gutter="0" w:footer="0" w:header="0"/>
          <w:type w:val="continuous"/>
        </w:sectPr>
      </w:pPr>
    </w:p>
    <w:bookmarkStart w:id="55" w:name="page56"/>
    <w:bookmarkEnd w:id="55"/>
    <w:p>
      <w:pPr>
        <w:spacing w:after="0" w:line="1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982345</wp:posOffset>
            </wp:positionH>
            <wp:positionV relativeFrom="page">
              <wp:posOffset>88900</wp:posOffset>
            </wp:positionV>
            <wp:extent cx="5584190" cy="3232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584190" cy="32321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3"/>
          <w:szCs w:val="13"/>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188595</wp:posOffset>
            </wp:positionV>
            <wp:extent cx="5584190" cy="722058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Consolidated and unconsolidated real estate joint ventures</w:t>
      </w:r>
    </w:p>
    <w:p>
      <w:pPr>
        <w:spacing w:after="0" w:line="162" w:lineRule="exact"/>
        <w:rPr>
          <w:sz w:val="20"/>
          <w:szCs w:val="20"/>
          <w:color w:val="auto"/>
        </w:rPr>
      </w:pPr>
    </w:p>
    <w:p>
      <w:pPr>
        <w:ind w:left="640" w:right="639" w:firstLine="516"/>
        <w:spacing w:after="0" w:line="253" w:lineRule="auto"/>
        <w:rPr>
          <w:sz w:val="20"/>
          <w:szCs w:val="20"/>
          <w:color w:val="auto"/>
        </w:rPr>
      </w:pPr>
      <w:r>
        <w:rPr>
          <w:rFonts w:ascii="Arial" w:cs="Arial" w:eastAsia="Arial" w:hAnsi="Arial"/>
          <w:sz w:val="13"/>
          <w:szCs w:val="13"/>
          <w:color w:val="auto"/>
        </w:rPr>
        <w:t>We present components of balance sheet and operating results information for the noncontrolling interest share of our consolidated real estate joint ventures and for our share of investments in unconsolidated real estate joint ventures to help investors estimate balance sheet and operating results information related to our partially owned entities. These amounts are estimated by computing, for each joint venture that we consolidate in our financial statements, the noncontrolling interest percentage of each financial item to arrive at the cumulative noncontrolling interest share of each component presented. In addition, for our real estate joint ventures that we do not control and do not consolidate, we apply our economic ownership percentage to the unconsolidated real estate joint ventures to arrive at our proportionate share of each component presented. Refer to Note 4 – “Consolidated and unconsolidated real estate joint ventures” to our unaudited consolidated financial statements in Item 1 for further discussion.</w:t>
      </w:r>
    </w:p>
    <w:p>
      <w:pPr>
        <w:spacing w:after="0" w:line="139"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Consolidated Real Estate Joint Ventures</w:t>
      </w:r>
    </w:p>
    <w:tbl>
      <w:tblPr>
        <w:tblLayout w:type="fixed"/>
        <w:tblInd w:w="640" w:type="dxa"/>
        <w:tblCellMar>
          <w:top w:w="0" w:type="dxa"/>
          <w:left w:w="0" w:type="dxa"/>
          <w:bottom w:w="0" w:type="dxa"/>
          <w:right w:w="0" w:type="dxa"/>
        </w:tblCellMar>
      </w:tblPr>
      <w:tr>
        <w:trPr>
          <w:trHeight w:val="183"/>
        </w:trPr>
        <w:tc>
          <w:tcPr>
            <w:tcW w:w="5320" w:type="dxa"/>
            <w:vAlign w:val="bottom"/>
            <w:vMerge w:val="restart"/>
          </w:tcPr>
          <w:p>
            <w:pPr>
              <w:ind w:left="1900"/>
              <w:spacing w:after="0"/>
              <w:rPr>
                <w:sz w:val="20"/>
                <w:szCs w:val="20"/>
                <w:color w:val="auto"/>
              </w:rPr>
            </w:pPr>
            <w:r>
              <w:rPr>
                <w:rFonts w:ascii="Arial" w:cs="Arial" w:eastAsia="Arial" w:hAnsi="Arial"/>
                <w:sz w:val="13"/>
                <w:szCs w:val="13"/>
                <w:color w:val="auto"/>
              </w:rPr>
              <w:t>Property/Market/Submarket</w:t>
            </w:r>
          </w:p>
        </w:tc>
        <w:tc>
          <w:tcPr>
            <w:tcW w:w="40" w:type="dxa"/>
            <w:vAlign w:val="bottom"/>
            <w:vMerge w:val="restart"/>
          </w:tcPr>
          <w:p>
            <w:pPr>
              <w:spacing w:after="0"/>
              <w:rPr>
                <w:sz w:val="15"/>
                <w:szCs w:val="15"/>
                <w:color w:val="auto"/>
              </w:rPr>
            </w:pPr>
          </w:p>
        </w:tc>
        <w:tc>
          <w:tcPr>
            <w:tcW w:w="1180" w:type="dxa"/>
            <w:vAlign w:val="bottom"/>
            <w:gridSpan w:val="3"/>
          </w:tcPr>
          <w:p>
            <w:pPr>
              <w:jc w:val="center"/>
              <w:ind w:right="80"/>
              <w:spacing w:after="0"/>
              <w:rPr>
                <w:sz w:val="20"/>
                <w:szCs w:val="20"/>
                <w:color w:val="auto"/>
              </w:rPr>
            </w:pPr>
            <w:r>
              <w:rPr>
                <w:rFonts w:ascii="Arial" w:cs="Arial" w:eastAsia="Arial" w:hAnsi="Arial"/>
                <w:sz w:val="13"/>
                <w:szCs w:val="13"/>
                <w:color w:val="auto"/>
                <w:w w:val="93"/>
              </w:rPr>
              <w:t>Noncontrolling</w:t>
            </w:r>
            <w:r>
              <w:rPr>
                <w:rFonts w:ascii="Arial" w:cs="Arial" w:eastAsia="Arial" w:hAnsi="Arial"/>
                <w:sz w:val="16"/>
                <w:szCs w:val="16"/>
                <w:color w:val="auto"/>
                <w:w w:val="93"/>
                <w:vertAlign w:val="superscript"/>
              </w:rPr>
              <w:t>(1)</w:t>
            </w:r>
          </w:p>
        </w:tc>
        <w:tc>
          <w:tcPr>
            <w:tcW w:w="1020" w:type="dxa"/>
            <w:vAlign w:val="bottom"/>
          </w:tcPr>
          <w:p>
            <w:pPr>
              <w:jc w:val="center"/>
              <w:ind w:left="118"/>
              <w:spacing w:after="0"/>
              <w:rPr>
                <w:sz w:val="20"/>
                <w:szCs w:val="20"/>
                <w:color w:val="auto"/>
              </w:rPr>
            </w:pPr>
            <w:r>
              <w:rPr>
                <w:rFonts w:ascii="Arial" w:cs="Arial" w:eastAsia="Arial" w:hAnsi="Arial"/>
                <w:sz w:val="13"/>
                <w:szCs w:val="13"/>
                <w:color w:val="auto"/>
                <w:w w:val="96"/>
              </w:rPr>
              <w:t>Operating RSF</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5320" w:type="dxa"/>
            <w:vAlign w:val="bottom"/>
            <w:tcBorders>
              <w:bottom w:val="single" w:sz="8" w:color="auto"/>
            </w:tcBorders>
            <w:vMerge w:val="continue"/>
          </w:tcPr>
          <w:p>
            <w:pPr>
              <w:spacing w:after="0"/>
              <w:rPr>
                <w:sz w:val="13"/>
                <w:szCs w:val="13"/>
                <w:color w:val="auto"/>
              </w:rPr>
            </w:pPr>
          </w:p>
        </w:tc>
        <w:tc>
          <w:tcPr>
            <w:tcW w:w="40" w:type="dxa"/>
            <w:vAlign w:val="bottom"/>
            <w:tcBorders>
              <w:bottom w:val="single" w:sz="8" w:color="CCEEFF"/>
            </w:tcBorders>
            <w:vMerge w:val="continue"/>
          </w:tcPr>
          <w:p>
            <w:pPr>
              <w:spacing w:after="0"/>
              <w:rPr>
                <w:sz w:val="13"/>
                <w:szCs w:val="13"/>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color w:val="auto"/>
                <w:w w:val="95"/>
              </w:rPr>
              <w:t>Interest Share</w:t>
            </w:r>
          </w:p>
        </w:tc>
        <w:tc>
          <w:tcPr>
            <w:tcW w:w="80" w:type="dxa"/>
            <w:vAlign w:val="bottom"/>
            <w:tcBorders>
              <w:bottom w:val="single" w:sz="8" w:color="CCEEFF"/>
            </w:tcBorders>
          </w:tcPr>
          <w:p>
            <w:pPr>
              <w:spacing w:after="0"/>
              <w:rPr>
                <w:sz w:val="13"/>
                <w:szCs w:val="13"/>
                <w:color w:val="auto"/>
              </w:rPr>
            </w:pPr>
          </w:p>
        </w:tc>
        <w:tc>
          <w:tcPr>
            <w:tcW w:w="1020" w:type="dxa"/>
            <w:vAlign w:val="bottom"/>
            <w:tcBorders>
              <w:bottom w:val="single" w:sz="8" w:color="auto"/>
            </w:tcBorders>
          </w:tcPr>
          <w:p>
            <w:pPr>
              <w:jc w:val="center"/>
              <w:ind w:left="98"/>
              <w:spacing w:after="0"/>
              <w:rPr>
                <w:sz w:val="20"/>
                <w:szCs w:val="20"/>
                <w:color w:val="auto"/>
              </w:rPr>
            </w:pPr>
            <w:r>
              <w:rPr>
                <w:rFonts w:ascii="Arial" w:cs="Arial" w:eastAsia="Arial" w:hAnsi="Arial"/>
                <w:sz w:val="13"/>
                <w:szCs w:val="13"/>
                <w:color w:val="auto"/>
                <w:w w:val="96"/>
              </w:rPr>
              <w:t>at 100%</w:t>
            </w:r>
          </w:p>
        </w:tc>
        <w:tc>
          <w:tcPr>
            <w:tcW w:w="1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536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50 and 60 Binney Street/Greater Boston/Cambridge/Inner Suburbs</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66.0%</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532,395</w:t>
            </w:r>
          </w:p>
        </w:tc>
        <w:tc>
          <w:tcPr>
            <w:tcW w:w="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5360" w:type="dxa"/>
            <w:vAlign w:val="bottom"/>
            <w:gridSpan w:val="2"/>
          </w:tcPr>
          <w:p>
            <w:pPr>
              <w:ind w:left="40"/>
              <w:spacing w:after="0"/>
              <w:rPr>
                <w:sz w:val="20"/>
                <w:szCs w:val="20"/>
                <w:color w:val="auto"/>
              </w:rPr>
            </w:pPr>
            <w:r>
              <w:rPr>
                <w:rFonts w:ascii="Arial" w:cs="Arial" w:eastAsia="Arial" w:hAnsi="Arial"/>
                <w:sz w:val="13"/>
                <w:szCs w:val="13"/>
                <w:color w:val="auto"/>
              </w:rPr>
              <w:t>75/125 Binney Street/Greater Boston/Cambridge/Inner Suburbs</w:t>
            </w:r>
          </w:p>
        </w:tc>
        <w:tc>
          <w:tcPr>
            <w:tcW w:w="840" w:type="dxa"/>
            <w:vAlign w:val="bottom"/>
          </w:tcPr>
          <w:p>
            <w:pPr>
              <w:jc w:val="right"/>
              <w:spacing w:after="0"/>
              <w:rPr>
                <w:sz w:val="20"/>
                <w:szCs w:val="20"/>
                <w:color w:val="auto"/>
              </w:rPr>
            </w:pPr>
            <w:r>
              <w:rPr>
                <w:rFonts w:ascii="Arial" w:cs="Arial" w:eastAsia="Arial" w:hAnsi="Arial"/>
                <w:sz w:val="13"/>
                <w:szCs w:val="13"/>
                <w:color w:val="auto"/>
              </w:rPr>
              <w:t>60.0%</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right"/>
              <w:ind w:right="58"/>
              <w:spacing w:after="0"/>
              <w:rPr>
                <w:sz w:val="20"/>
                <w:szCs w:val="20"/>
                <w:color w:val="auto"/>
              </w:rPr>
            </w:pPr>
            <w:r>
              <w:rPr>
                <w:rFonts w:ascii="Arial" w:cs="Arial" w:eastAsia="Arial" w:hAnsi="Arial"/>
                <w:sz w:val="13"/>
                <w:szCs w:val="13"/>
                <w:color w:val="auto"/>
              </w:rPr>
              <w:t>388,269</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36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100 and 225 Binney Street and 300 Third Street/Greater Boston/Cambridge/Inner Suburbs</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70.0%</w:t>
            </w: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870,106</w:t>
            </w: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360" w:type="dxa"/>
            <w:vAlign w:val="bottom"/>
            <w:gridSpan w:val="2"/>
          </w:tcPr>
          <w:p>
            <w:pPr>
              <w:ind w:left="40"/>
              <w:spacing w:after="0"/>
              <w:rPr>
                <w:sz w:val="20"/>
                <w:szCs w:val="20"/>
                <w:color w:val="auto"/>
              </w:rPr>
            </w:pPr>
            <w:r>
              <w:rPr>
                <w:rFonts w:ascii="Arial" w:cs="Arial" w:eastAsia="Arial" w:hAnsi="Arial"/>
                <w:sz w:val="13"/>
                <w:szCs w:val="13"/>
                <w:color w:val="auto"/>
              </w:rPr>
              <w:t>99 Coolidge Avenue/Greater Boston/Cambridge/Inner Suburbs</w:t>
            </w:r>
          </w:p>
        </w:tc>
        <w:tc>
          <w:tcPr>
            <w:tcW w:w="840" w:type="dxa"/>
            <w:vAlign w:val="bottom"/>
          </w:tcPr>
          <w:p>
            <w:pPr>
              <w:jc w:val="right"/>
              <w:spacing w:after="0"/>
              <w:rPr>
                <w:sz w:val="20"/>
                <w:szCs w:val="20"/>
                <w:color w:val="auto"/>
              </w:rPr>
            </w:pPr>
            <w:r>
              <w:rPr>
                <w:rFonts w:ascii="Arial" w:cs="Arial" w:eastAsia="Arial" w:hAnsi="Arial"/>
                <w:sz w:val="13"/>
                <w:szCs w:val="13"/>
                <w:color w:val="auto"/>
              </w:rPr>
              <w:t>25.0%</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right"/>
              <w:ind w:right="78"/>
              <w:spacing w:after="0"/>
              <w:rPr>
                <w:sz w:val="20"/>
                <w:szCs w:val="20"/>
                <w:color w:val="auto"/>
              </w:rPr>
            </w:pPr>
            <w:r>
              <w:rPr>
                <w:rFonts w:ascii="Arial" w:cs="Arial" w:eastAsia="Arial" w:hAnsi="Arial"/>
                <w:sz w:val="13"/>
                <w:szCs w:val="13"/>
                <w:color w:val="auto"/>
              </w:rPr>
              <w:t>116,414</w:t>
            </w:r>
          </w:p>
        </w:tc>
        <w:tc>
          <w:tcPr>
            <w:tcW w:w="180" w:type="dxa"/>
            <w:vAlign w:val="bottom"/>
          </w:tcPr>
          <w:p>
            <w:pPr>
              <w:jc w:val="right"/>
              <w:ind w:right="39"/>
              <w:spacing w:after="0"/>
              <w:rPr>
                <w:sz w:val="20"/>
                <w:szCs w:val="20"/>
                <w:color w:val="auto"/>
              </w:rPr>
            </w:pPr>
            <w:r>
              <w:rPr>
                <w:rFonts w:ascii="Arial" w:cs="Arial" w:eastAsia="Arial" w:hAnsi="Arial"/>
                <w:sz w:val="8"/>
                <w:szCs w:val="8"/>
                <w:color w:val="auto"/>
                <w:w w:val="81"/>
              </w:rPr>
              <w:t>(2)</w:t>
            </w:r>
          </w:p>
        </w:tc>
        <w:tc>
          <w:tcPr>
            <w:tcW w:w="0" w:type="dxa"/>
            <w:vAlign w:val="bottom"/>
          </w:tcPr>
          <w:p>
            <w:pPr>
              <w:spacing w:after="0"/>
              <w:rPr>
                <w:sz w:val="1"/>
                <w:szCs w:val="1"/>
                <w:color w:val="auto"/>
              </w:rPr>
            </w:pPr>
          </w:p>
        </w:tc>
      </w:tr>
      <w:tr>
        <w:trPr>
          <w:trHeight w:val="172"/>
        </w:trPr>
        <w:tc>
          <w:tcPr>
            <w:tcW w:w="536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15 Necco Street/Greater Boston/Seaport Innovation District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43.3%</w:t>
            </w: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345,996</w:t>
            </w: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360" w:type="dxa"/>
            <w:vAlign w:val="bottom"/>
            <w:gridSpan w:val="2"/>
          </w:tcPr>
          <w:p>
            <w:pPr>
              <w:ind w:left="40"/>
              <w:spacing w:after="0"/>
              <w:rPr>
                <w:sz w:val="20"/>
                <w:szCs w:val="20"/>
                <w:color w:val="auto"/>
              </w:rPr>
            </w:pPr>
            <w:r>
              <w:rPr>
                <w:rFonts w:ascii="Arial" w:cs="Arial" w:eastAsia="Arial" w:hAnsi="Arial"/>
                <w:sz w:val="13"/>
                <w:szCs w:val="13"/>
                <w:color w:val="auto"/>
              </w:rPr>
              <w:t>285, 299, 307, and 345 Dorchester Avenue/Greater Boston/Seaport Innovation District</w:t>
            </w:r>
          </w:p>
        </w:tc>
        <w:tc>
          <w:tcPr>
            <w:tcW w:w="840" w:type="dxa"/>
            <w:vAlign w:val="bottom"/>
          </w:tcPr>
          <w:p>
            <w:pPr>
              <w:jc w:val="right"/>
              <w:spacing w:after="0"/>
              <w:rPr>
                <w:sz w:val="20"/>
                <w:szCs w:val="20"/>
                <w:color w:val="auto"/>
              </w:rPr>
            </w:pPr>
            <w:r>
              <w:rPr>
                <w:rFonts w:ascii="Arial" w:cs="Arial" w:eastAsia="Arial" w:hAnsi="Arial"/>
                <w:sz w:val="13"/>
                <w:szCs w:val="13"/>
                <w:color w:val="auto"/>
              </w:rPr>
              <w:t>40.0%</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right"/>
              <w:ind w:right="58"/>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39"/>
              <w:spacing w:after="0"/>
              <w:rPr>
                <w:sz w:val="20"/>
                <w:szCs w:val="20"/>
                <w:color w:val="auto"/>
              </w:rPr>
            </w:pPr>
            <w:r>
              <w:rPr>
                <w:rFonts w:ascii="Arial" w:cs="Arial" w:eastAsia="Arial" w:hAnsi="Arial"/>
                <w:sz w:val="8"/>
                <w:szCs w:val="8"/>
                <w:color w:val="auto"/>
                <w:w w:val="81"/>
              </w:rPr>
              <w:t>(2)</w:t>
            </w:r>
          </w:p>
        </w:tc>
        <w:tc>
          <w:tcPr>
            <w:tcW w:w="0" w:type="dxa"/>
            <w:vAlign w:val="bottom"/>
          </w:tcPr>
          <w:p>
            <w:pPr>
              <w:spacing w:after="0"/>
              <w:rPr>
                <w:sz w:val="1"/>
                <w:szCs w:val="1"/>
                <w:color w:val="auto"/>
              </w:rPr>
            </w:pPr>
          </w:p>
        </w:tc>
      </w:tr>
      <w:tr>
        <w:trPr>
          <w:trHeight w:val="161"/>
        </w:trPr>
        <w:tc>
          <w:tcPr>
            <w:tcW w:w="5360" w:type="dxa"/>
            <w:vAlign w:val="bottom"/>
            <w:gridSpan w:val="2"/>
            <w:shd w:val="clear" w:color="auto" w:fill="CCEEFF"/>
          </w:tcPr>
          <w:p>
            <w:pPr>
              <w:ind w:left="40"/>
              <w:spacing w:after="0" w:line="161" w:lineRule="exact"/>
              <w:rPr>
                <w:sz w:val="20"/>
                <w:szCs w:val="20"/>
                <w:color w:val="auto"/>
              </w:rPr>
            </w:pPr>
            <w:r>
              <w:rPr>
                <w:rFonts w:ascii="Arial" w:cs="Arial" w:eastAsia="Arial" w:hAnsi="Arial"/>
                <w:sz w:val="13"/>
                <w:szCs w:val="13"/>
                <w:color w:val="auto"/>
              </w:rPr>
              <w:t>Alexandria Center</w:t>
            </w:r>
            <w:r>
              <w:rPr>
                <w:rFonts w:ascii="Arial" w:cs="Arial" w:eastAsia="Arial" w:hAnsi="Arial"/>
                <w:sz w:val="16"/>
                <w:szCs w:val="16"/>
                <w:color w:val="auto"/>
                <w:vertAlign w:val="superscript"/>
              </w:rPr>
              <w:t>®</w:t>
            </w:r>
            <w:r>
              <w:rPr>
                <w:rFonts w:ascii="Arial" w:cs="Arial" w:eastAsia="Arial" w:hAnsi="Arial"/>
                <w:sz w:val="13"/>
                <w:szCs w:val="13"/>
                <w:color w:val="auto"/>
              </w:rPr>
              <w:t xml:space="preserve"> for Science and Technology – Mission Bay/San Francisco Bay Area/</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75.0%</w:t>
            </w: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999,866</w:t>
            </w: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360" w:type="dxa"/>
            <w:vAlign w:val="bottom"/>
            <w:gridSpan w:val="2"/>
            <w:shd w:val="clear" w:color="auto" w:fill="CCEEFF"/>
          </w:tcPr>
          <w:p>
            <w:pPr>
              <w:ind w:left="160"/>
              <w:spacing w:after="0" w:line="129" w:lineRule="exact"/>
              <w:rPr>
                <w:sz w:val="20"/>
                <w:szCs w:val="20"/>
                <w:color w:val="auto"/>
              </w:rPr>
            </w:pPr>
            <w:r>
              <w:rPr>
                <w:rFonts w:ascii="Arial" w:cs="Arial" w:eastAsia="Arial" w:hAnsi="Arial"/>
                <w:sz w:val="11"/>
                <w:szCs w:val="11"/>
                <w:color w:val="auto"/>
              </w:rPr>
              <w:t>Mission Bay</w:t>
            </w:r>
            <w:r>
              <w:rPr>
                <w:rFonts w:ascii="Arial" w:cs="Arial" w:eastAsia="Arial" w:hAnsi="Arial"/>
                <w:sz w:val="14"/>
                <w:szCs w:val="14"/>
                <w:color w:val="auto"/>
                <w:vertAlign w:val="superscript"/>
              </w:rPr>
              <w:t>(3)</w:t>
            </w:r>
          </w:p>
        </w:tc>
        <w:tc>
          <w:tcPr>
            <w:tcW w:w="8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5360" w:type="dxa"/>
            <w:vAlign w:val="bottom"/>
            <w:gridSpan w:val="2"/>
          </w:tcPr>
          <w:p>
            <w:pPr>
              <w:ind w:left="40"/>
              <w:spacing w:after="0"/>
              <w:rPr>
                <w:sz w:val="20"/>
                <w:szCs w:val="20"/>
                <w:color w:val="auto"/>
              </w:rPr>
            </w:pPr>
            <w:r>
              <w:rPr>
                <w:rFonts w:ascii="Arial" w:cs="Arial" w:eastAsia="Arial" w:hAnsi="Arial"/>
                <w:sz w:val="13"/>
                <w:szCs w:val="13"/>
                <w:color w:val="auto"/>
              </w:rPr>
              <w:t>1450 Owens Street/San Francisco Bay Area/Mission Bay</w:t>
            </w:r>
          </w:p>
        </w:tc>
        <w:tc>
          <w:tcPr>
            <w:tcW w:w="840" w:type="dxa"/>
            <w:vAlign w:val="bottom"/>
          </w:tcPr>
          <w:p>
            <w:pPr>
              <w:jc w:val="right"/>
              <w:spacing w:after="0"/>
              <w:rPr>
                <w:sz w:val="20"/>
                <w:szCs w:val="20"/>
                <w:color w:val="auto"/>
              </w:rPr>
            </w:pPr>
            <w:r>
              <w:rPr>
                <w:rFonts w:ascii="Arial" w:cs="Arial" w:eastAsia="Arial" w:hAnsi="Arial"/>
                <w:sz w:val="13"/>
                <w:szCs w:val="13"/>
                <w:color w:val="auto"/>
              </w:rPr>
              <w:t>73.7%</w:t>
            </w:r>
          </w:p>
        </w:tc>
        <w:tc>
          <w:tcPr>
            <w:tcW w:w="260" w:type="dxa"/>
            <w:vAlign w:val="bottom"/>
          </w:tcPr>
          <w:p>
            <w:pPr>
              <w:jc w:val="right"/>
              <w:ind w:right="79"/>
              <w:spacing w:after="0"/>
              <w:rPr>
                <w:sz w:val="20"/>
                <w:szCs w:val="20"/>
                <w:color w:val="auto"/>
              </w:rPr>
            </w:pPr>
            <w:r>
              <w:rPr>
                <w:rFonts w:ascii="Arial" w:cs="Arial" w:eastAsia="Arial" w:hAnsi="Arial"/>
                <w:sz w:val="8"/>
                <w:szCs w:val="8"/>
                <w:color w:val="auto"/>
              </w:rPr>
              <w:t>(4)</w:t>
            </w:r>
          </w:p>
        </w:tc>
        <w:tc>
          <w:tcPr>
            <w:tcW w:w="80" w:type="dxa"/>
            <w:vAlign w:val="bottom"/>
          </w:tcPr>
          <w:p>
            <w:pPr>
              <w:spacing w:after="0"/>
              <w:rPr>
                <w:sz w:val="14"/>
                <w:szCs w:val="14"/>
                <w:color w:val="auto"/>
              </w:rPr>
            </w:pPr>
          </w:p>
        </w:tc>
        <w:tc>
          <w:tcPr>
            <w:tcW w:w="1020" w:type="dxa"/>
            <w:vAlign w:val="bottom"/>
          </w:tcPr>
          <w:p>
            <w:pPr>
              <w:jc w:val="right"/>
              <w:ind w:right="58"/>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39"/>
              <w:spacing w:after="0"/>
              <w:rPr>
                <w:sz w:val="20"/>
                <w:szCs w:val="20"/>
                <w:color w:val="auto"/>
              </w:rPr>
            </w:pPr>
            <w:r>
              <w:rPr>
                <w:rFonts w:ascii="Arial" w:cs="Arial" w:eastAsia="Arial" w:hAnsi="Arial"/>
                <w:sz w:val="8"/>
                <w:szCs w:val="8"/>
                <w:color w:val="auto"/>
                <w:w w:val="81"/>
              </w:rPr>
              <w:t>(2)</w:t>
            </w:r>
          </w:p>
        </w:tc>
        <w:tc>
          <w:tcPr>
            <w:tcW w:w="0" w:type="dxa"/>
            <w:vAlign w:val="bottom"/>
          </w:tcPr>
          <w:p>
            <w:pPr>
              <w:spacing w:after="0"/>
              <w:rPr>
                <w:sz w:val="1"/>
                <w:szCs w:val="1"/>
                <w:color w:val="auto"/>
              </w:rPr>
            </w:pPr>
          </w:p>
        </w:tc>
      </w:tr>
      <w:tr>
        <w:trPr>
          <w:trHeight w:val="161"/>
        </w:trPr>
        <w:tc>
          <w:tcPr>
            <w:tcW w:w="5360" w:type="dxa"/>
            <w:vAlign w:val="bottom"/>
            <w:gridSpan w:val="2"/>
            <w:shd w:val="clear" w:color="auto" w:fill="CCEEFF"/>
          </w:tcPr>
          <w:p>
            <w:pPr>
              <w:ind w:left="40"/>
              <w:spacing w:after="0" w:line="161" w:lineRule="exact"/>
              <w:rPr>
                <w:sz w:val="20"/>
                <w:szCs w:val="20"/>
                <w:color w:val="auto"/>
              </w:rPr>
            </w:pPr>
            <w:r>
              <w:rPr>
                <w:rFonts w:ascii="Arial" w:cs="Arial" w:eastAsia="Arial" w:hAnsi="Arial"/>
                <w:sz w:val="13"/>
                <w:szCs w:val="13"/>
                <w:color w:val="auto"/>
              </w:rPr>
              <w:t>601, 611, 651</w:t>
            </w:r>
            <w:r>
              <w:rPr>
                <w:rFonts w:ascii="Arial" w:cs="Arial" w:eastAsia="Arial" w:hAnsi="Arial"/>
                <w:sz w:val="16"/>
                <w:szCs w:val="16"/>
                <w:color w:val="auto"/>
                <w:vertAlign w:val="superscript"/>
              </w:rPr>
              <w:t>(2)</w:t>
            </w:r>
            <w:r>
              <w:rPr>
                <w:rFonts w:ascii="Arial" w:cs="Arial" w:eastAsia="Arial" w:hAnsi="Arial"/>
                <w:sz w:val="13"/>
                <w:szCs w:val="13"/>
                <w:color w:val="auto"/>
              </w:rPr>
              <w:t>, 681, 685, and 701 Gateway Boulevard/San Francisco Bay Area/</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w:t>
            </w: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831,326</w:t>
            </w: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5360" w:type="dxa"/>
            <w:vAlign w:val="bottom"/>
            <w:gridSpan w:val="2"/>
            <w:shd w:val="clear" w:color="auto" w:fill="CCEEFF"/>
          </w:tcPr>
          <w:p>
            <w:pPr>
              <w:ind w:left="160"/>
              <w:spacing w:after="0" w:line="140" w:lineRule="exact"/>
              <w:rPr>
                <w:sz w:val="20"/>
                <w:szCs w:val="20"/>
                <w:color w:val="auto"/>
              </w:rPr>
            </w:pPr>
            <w:r>
              <w:rPr>
                <w:rFonts w:ascii="Arial" w:cs="Arial" w:eastAsia="Arial" w:hAnsi="Arial"/>
                <w:sz w:val="13"/>
                <w:szCs w:val="13"/>
                <w:color w:val="auto"/>
              </w:rPr>
              <w:t>South San Francisco</w:t>
            </w:r>
          </w:p>
        </w:tc>
        <w:tc>
          <w:tcPr>
            <w:tcW w:w="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5360" w:type="dxa"/>
            <w:vAlign w:val="bottom"/>
            <w:gridSpan w:val="2"/>
          </w:tcPr>
          <w:p>
            <w:pPr>
              <w:ind w:left="40"/>
              <w:spacing w:after="0"/>
              <w:rPr>
                <w:sz w:val="20"/>
                <w:szCs w:val="20"/>
                <w:color w:val="auto"/>
              </w:rPr>
            </w:pPr>
            <w:r>
              <w:rPr>
                <w:rFonts w:ascii="Arial" w:cs="Arial" w:eastAsia="Arial" w:hAnsi="Arial"/>
                <w:sz w:val="13"/>
                <w:szCs w:val="13"/>
                <w:color w:val="auto"/>
              </w:rPr>
              <w:t>751 Gateway Boulevard/San Francisco Bay Area/South San Francisco</w:t>
            </w:r>
          </w:p>
        </w:tc>
        <w:tc>
          <w:tcPr>
            <w:tcW w:w="840" w:type="dxa"/>
            <w:vAlign w:val="bottom"/>
          </w:tcPr>
          <w:p>
            <w:pPr>
              <w:jc w:val="right"/>
              <w:spacing w:after="0"/>
              <w:rPr>
                <w:sz w:val="20"/>
                <w:szCs w:val="20"/>
                <w:color w:val="auto"/>
              </w:rPr>
            </w:pPr>
            <w:r>
              <w:rPr>
                <w:rFonts w:ascii="Arial" w:cs="Arial" w:eastAsia="Arial" w:hAnsi="Arial"/>
                <w:sz w:val="13"/>
                <w:szCs w:val="13"/>
                <w:color w:val="auto"/>
              </w:rPr>
              <w:t>49.0%</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right"/>
              <w:ind w:right="58"/>
              <w:spacing w:after="0"/>
              <w:rPr>
                <w:sz w:val="20"/>
                <w:szCs w:val="20"/>
                <w:color w:val="auto"/>
              </w:rPr>
            </w:pPr>
            <w:r>
              <w:rPr>
                <w:rFonts w:ascii="Arial" w:cs="Arial" w:eastAsia="Arial" w:hAnsi="Arial"/>
                <w:sz w:val="13"/>
                <w:szCs w:val="13"/>
                <w:color w:val="auto"/>
              </w:rPr>
              <w:t>230,592</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360" w:type="dxa"/>
            <w:vAlign w:val="bottom"/>
            <w:gridSpan w:val="2"/>
            <w:shd w:val="clear" w:color="auto" w:fill="CCEEFF"/>
          </w:tcPr>
          <w:p>
            <w:pPr>
              <w:ind w:left="40"/>
              <w:spacing w:after="0" w:line="172" w:lineRule="exact"/>
              <w:rPr>
                <w:sz w:val="20"/>
                <w:szCs w:val="20"/>
                <w:color w:val="auto"/>
              </w:rPr>
            </w:pPr>
            <w:r>
              <w:rPr>
                <w:rFonts w:ascii="Arial" w:cs="Arial" w:eastAsia="Arial" w:hAnsi="Arial"/>
                <w:sz w:val="13"/>
                <w:szCs w:val="13"/>
                <w:color w:val="auto"/>
              </w:rPr>
              <w:t>211</w:t>
            </w:r>
            <w:r>
              <w:rPr>
                <w:rFonts w:ascii="Arial" w:cs="Arial" w:eastAsia="Arial" w:hAnsi="Arial"/>
                <w:sz w:val="16"/>
                <w:szCs w:val="16"/>
                <w:color w:val="auto"/>
                <w:vertAlign w:val="superscript"/>
              </w:rPr>
              <w:t>(2)</w:t>
            </w:r>
            <w:r>
              <w:rPr>
                <w:rFonts w:ascii="Arial" w:cs="Arial" w:eastAsia="Arial" w:hAnsi="Arial"/>
                <w:sz w:val="13"/>
                <w:szCs w:val="13"/>
                <w:color w:val="auto"/>
              </w:rPr>
              <w:t xml:space="preserve"> and 213 East Grand Avenue/San Francisco Bay Area/South San Francisco</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70.0%</w:t>
            </w: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300,930</w:t>
            </w: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360" w:type="dxa"/>
            <w:vAlign w:val="bottom"/>
            <w:gridSpan w:val="2"/>
          </w:tcPr>
          <w:p>
            <w:pPr>
              <w:ind w:left="40"/>
              <w:spacing w:after="0"/>
              <w:rPr>
                <w:sz w:val="20"/>
                <w:szCs w:val="20"/>
                <w:color w:val="auto"/>
              </w:rPr>
            </w:pPr>
            <w:r>
              <w:rPr>
                <w:rFonts w:ascii="Arial" w:cs="Arial" w:eastAsia="Arial" w:hAnsi="Arial"/>
                <w:sz w:val="13"/>
                <w:szCs w:val="13"/>
                <w:color w:val="auto"/>
              </w:rPr>
              <w:t>500 Forbes Boulevard/San Francisco Bay Area/South San Francisco</w:t>
            </w:r>
          </w:p>
        </w:tc>
        <w:tc>
          <w:tcPr>
            <w:tcW w:w="840" w:type="dxa"/>
            <w:vAlign w:val="bottom"/>
          </w:tcPr>
          <w:p>
            <w:pPr>
              <w:jc w:val="right"/>
              <w:spacing w:after="0"/>
              <w:rPr>
                <w:sz w:val="20"/>
                <w:szCs w:val="20"/>
                <w:color w:val="auto"/>
              </w:rPr>
            </w:pPr>
            <w:r>
              <w:rPr>
                <w:rFonts w:ascii="Arial" w:cs="Arial" w:eastAsia="Arial" w:hAnsi="Arial"/>
                <w:sz w:val="13"/>
                <w:szCs w:val="13"/>
                <w:color w:val="auto"/>
              </w:rPr>
              <w:t>90.0%</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right"/>
              <w:ind w:right="58"/>
              <w:spacing w:after="0"/>
              <w:rPr>
                <w:sz w:val="20"/>
                <w:szCs w:val="20"/>
                <w:color w:val="auto"/>
              </w:rPr>
            </w:pPr>
            <w:r>
              <w:rPr>
                <w:rFonts w:ascii="Arial" w:cs="Arial" w:eastAsia="Arial" w:hAnsi="Arial"/>
                <w:sz w:val="13"/>
                <w:szCs w:val="13"/>
                <w:color w:val="auto"/>
              </w:rPr>
              <w:t>155,685</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360" w:type="dxa"/>
            <w:vAlign w:val="bottom"/>
            <w:gridSpan w:val="2"/>
            <w:shd w:val="clear" w:color="auto" w:fill="CCEEFF"/>
          </w:tcPr>
          <w:p>
            <w:pPr>
              <w:ind w:left="40"/>
              <w:spacing w:after="0" w:line="172" w:lineRule="exact"/>
              <w:rPr>
                <w:sz w:val="20"/>
                <w:szCs w:val="20"/>
                <w:color w:val="auto"/>
              </w:rPr>
            </w:pPr>
            <w:r>
              <w:rPr>
                <w:rFonts w:ascii="Arial" w:cs="Arial" w:eastAsia="Arial" w:hAnsi="Arial"/>
                <w:sz w:val="13"/>
                <w:szCs w:val="13"/>
                <w:color w:val="auto"/>
                <w:w w:val="99"/>
              </w:rPr>
              <w:t>Alexandria Center</w:t>
            </w:r>
            <w:r>
              <w:rPr>
                <w:rFonts w:ascii="Arial" w:cs="Arial" w:eastAsia="Arial" w:hAnsi="Arial"/>
                <w:sz w:val="16"/>
                <w:szCs w:val="16"/>
                <w:color w:val="auto"/>
                <w:w w:val="99"/>
                <w:vertAlign w:val="superscript"/>
              </w:rPr>
              <w:t>®</w:t>
            </w:r>
            <w:r>
              <w:rPr>
                <w:rFonts w:ascii="Arial" w:cs="Arial" w:eastAsia="Arial" w:hAnsi="Arial"/>
                <w:sz w:val="13"/>
                <w:szCs w:val="13"/>
                <w:color w:val="auto"/>
                <w:w w:val="99"/>
              </w:rPr>
              <w:t xml:space="preserve"> for Life Science – Millbrae/San Francisco Bay Area/South San Francisco</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52.3%</w:t>
            </w: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ind w:right="39"/>
              <w:spacing w:after="0"/>
              <w:rPr>
                <w:sz w:val="20"/>
                <w:szCs w:val="20"/>
                <w:color w:val="auto"/>
              </w:rPr>
            </w:pPr>
            <w:r>
              <w:rPr>
                <w:rFonts w:ascii="Arial" w:cs="Arial" w:eastAsia="Arial" w:hAnsi="Arial"/>
                <w:sz w:val="8"/>
                <w:szCs w:val="8"/>
                <w:color w:val="auto"/>
                <w:w w:val="81"/>
              </w:rPr>
              <w:t>(2)</w:t>
            </w:r>
          </w:p>
        </w:tc>
        <w:tc>
          <w:tcPr>
            <w:tcW w:w="0" w:type="dxa"/>
            <w:vAlign w:val="bottom"/>
          </w:tcPr>
          <w:p>
            <w:pPr>
              <w:spacing w:after="0"/>
              <w:rPr>
                <w:sz w:val="1"/>
                <w:szCs w:val="1"/>
                <w:color w:val="auto"/>
              </w:rPr>
            </w:pPr>
          </w:p>
        </w:tc>
      </w:tr>
      <w:tr>
        <w:trPr>
          <w:trHeight w:val="172"/>
        </w:trPr>
        <w:tc>
          <w:tcPr>
            <w:tcW w:w="5360" w:type="dxa"/>
            <w:vAlign w:val="bottom"/>
            <w:gridSpan w:val="2"/>
          </w:tcPr>
          <w:p>
            <w:pPr>
              <w:ind w:left="40"/>
              <w:spacing w:after="0"/>
              <w:rPr>
                <w:sz w:val="20"/>
                <w:szCs w:val="20"/>
                <w:color w:val="auto"/>
              </w:rPr>
            </w:pPr>
            <w:r>
              <w:rPr>
                <w:rFonts w:ascii="Arial" w:cs="Arial" w:eastAsia="Arial" w:hAnsi="Arial"/>
                <w:sz w:val="13"/>
                <w:szCs w:val="13"/>
                <w:color w:val="auto"/>
              </w:rPr>
              <w:t>3215 Merryfield Row/San Diego/Torrey Pines</w:t>
            </w:r>
          </w:p>
        </w:tc>
        <w:tc>
          <w:tcPr>
            <w:tcW w:w="840" w:type="dxa"/>
            <w:vAlign w:val="bottom"/>
          </w:tcPr>
          <w:p>
            <w:pPr>
              <w:jc w:val="right"/>
              <w:spacing w:after="0"/>
              <w:rPr>
                <w:sz w:val="20"/>
                <w:szCs w:val="20"/>
                <w:color w:val="auto"/>
              </w:rPr>
            </w:pPr>
            <w:r>
              <w:rPr>
                <w:rFonts w:ascii="Arial" w:cs="Arial" w:eastAsia="Arial" w:hAnsi="Arial"/>
                <w:sz w:val="13"/>
                <w:szCs w:val="13"/>
                <w:color w:val="auto"/>
              </w:rPr>
              <w:t>70.0%</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right"/>
              <w:ind w:right="58"/>
              <w:spacing w:after="0"/>
              <w:rPr>
                <w:sz w:val="20"/>
                <w:szCs w:val="20"/>
                <w:color w:val="auto"/>
              </w:rPr>
            </w:pPr>
            <w:r>
              <w:rPr>
                <w:rFonts w:ascii="Arial" w:cs="Arial" w:eastAsia="Arial" w:hAnsi="Arial"/>
                <w:sz w:val="13"/>
                <w:szCs w:val="13"/>
                <w:color w:val="auto"/>
              </w:rPr>
              <w:t>170,523</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360" w:type="dxa"/>
            <w:vAlign w:val="bottom"/>
            <w:gridSpan w:val="2"/>
            <w:shd w:val="clear" w:color="auto" w:fill="CCEEFF"/>
          </w:tcPr>
          <w:p>
            <w:pPr>
              <w:ind w:left="40"/>
              <w:spacing w:after="0" w:line="172" w:lineRule="exact"/>
              <w:rPr>
                <w:sz w:val="20"/>
                <w:szCs w:val="20"/>
                <w:color w:val="auto"/>
              </w:rPr>
            </w:pPr>
            <w:r>
              <w:rPr>
                <w:rFonts w:ascii="Arial" w:cs="Arial" w:eastAsia="Arial" w:hAnsi="Arial"/>
                <w:sz w:val="13"/>
                <w:szCs w:val="13"/>
                <w:color w:val="auto"/>
              </w:rPr>
              <w:t>Campus Point by Alexandria/San Diego/University Town Center</w:t>
            </w:r>
            <w:r>
              <w:rPr>
                <w:rFonts w:ascii="Arial" w:cs="Arial" w:eastAsia="Arial" w:hAnsi="Arial"/>
                <w:sz w:val="16"/>
                <w:szCs w:val="16"/>
                <w:color w:val="auto"/>
                <w:vertAlign w:val="superscript"/>
              </w:rPr>
              <w:t>(5)</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45.0%</w:t>
            </w: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1,342,164</w:t>
            </w: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360" w:type="dxa"/>
            <w:vAlign w:val="bottom"/>
            <w:gridSpan w:val="2"/>
          </w:tcPr>
          <w:p>
            <w:pPr>
              <w:ind w:left="40"/>
              <w:spacing w:after="0"/>
              <w:rPr>
                <w:sz w:val="20"/>
                <w:szCs w:val="20"/>
                <w:color w:val="auto"/>
              </w:rPr>
            </w:pPr>
            <w:r>
              <w:rPr>
                <w:rFonts w:ascii="Arial" w:cs="Arial" w:eastAsia="Arial" w:hAnsi="Arial"/>
                <w:sz w:val="13"/>
                <w:szCs w:val="13"/>
                <w:color w:val="auto"/>
              </w:rPr>
              <w:t>5200 Illumina Way/San Diego/University Town Center</w:t>
            </w:r>
          </w:p>
        </w:tc>
        <w:tc>
          <w:tcPr>
            <w:tcW w:w="840" w:type="dxa"/>
            <w:vAlign w:val="bottom"/>
          </w:tcPr>
          <w:p>
            <w:pPr>
              <w:jc w:val="right"/>
              <w:spacing w:after="0"/>
              <w:rPr>
                <w:sz w:val="20"/>
                <w:szCs w:val="20"/>
                <w:color w:val="auto"/>
              </w:rPr>
            </w:pPr>
            <w:r>
              <w:rPr>
                <w:rFonts w:ascii="Arial" w:cs="Arial" w:eastAsia="Arial" w:hAnsi="Arial"/>
                <w:sz w:val="13"/>
                <w:szCs w:val="13"/>
                <w:color w:val="auto"/>
              </w:rPr>
              <w:t>49.0%</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right"/>
              <w:ind w:right="58"/>
              <w:spacing w:after="0"/>
              <w:rPr>
                <w:sz w:val="20"/>
                <w:szCs w:val="20"/>
                <w:color w:val="auto"/>
              </w:rPr>
            </w:pPr>
            <w:r>
              <w:rPr>
                <w:rFonts w:ascii="Arial" w:cs="Arial" w:eastAsia="Arial" w:hAnsi="Arial"/>
                <w:sz w:val="13"/>
                <w:szCs w:val="13"/>
                <w:color w:val="auto"/>
              </w:rPr>
              <w:t>792,687</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36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9625 Towne Centre Drive/San Diego/University Town Center</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70.0%</w:t>
            </w: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163,648</w:t>
            </w: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360" w:type="dxa"/>
            <w:vAlign w:val="bottom"/>
            <w:gridSpan w:val="2"/>
          </w:tcPr>
          <w:p>
            <w:pPr>
              <w:ind w:left="40"/>
              <w:spacing w:after="0" w:line="172" w:lineRule="exact"/>
              <w:rPr>
                <w:sz w:val="20"/>
                <w:szCs w:val="20"/>
                <w:color w:val="auto"/>
              </w:rPr>
            </w:pPr>
            <w:r>
              <w:rPr>
                <w:rFonts w:ascii="Arial" w:cs="Arial" w:eastAsia="Arial" w:hAnsi="Arial"/>
                <w:sz w:val="13"/>
                <w:szCs w:val="13"/>
                <w:color w:val="auto"/>
              </w:rPr>
              <w:t>SD Tech by Alexandria/San Diego/Sorrento Mesa</w:t>
            </w:r>
            <w:r>
              <w:rPr>
                <w:rFonts w:ascii="Arial" w:cs="Arial" w:eastAsia="Arial" w:hAnsi="Arial"/>
                <w:sz w:val="16"/>
                <w:szCs w:val="16"/>
                <w:color w:val="auto"/>
                <w:vertAlign w:val="superscript"/>
              </w:rPr>
              <w:t>(6)</w:t>
            </w:r>
          </w:p>
        </w:tc>
        <w:tc>
          <w:tcPr>
            <w:tcW w:w="840" w:type="dxa"/>
            <w:vAlign w:val="bottom"/>
          </w:tcPr>
          <w:p>
            <w:pPr>
              <w:jc w:val="right"/>
              <w:spacing w:after="0"/>
              <w:rPr>
                <w:sz w:val="20"/>
                <w:szCs w:val="20"/>
                <w:color w:val="auto"/>
              </w:rPr>
            </w:pPr>
            <w:r>
              <w:rPr>
                <w:rFonts w:ascii="Arial" w:cs="Arial" w:eastAsia="Arial" w:hAnsi="Arial"/>
                <w:sz w:val="13"/>
                <w:szCs w:val="13"/>
                <w:color w:val="auto"/>
              </w:rPr>
              <w:t>50.0%</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right"/>
              <w:ind w:right="58"/>
              <w:spacing w:after="0"/>
              <w:rPr>
                <w:sz w:val="20"/>
                <w:szCs w:val="20"/>
                <w:color w:val="auto"/>
              </w:rPr>
            </w:pPr>
            <w:r>
              <w:rPr>
                <w:rFonts w:ascii="Arial" w:cs="Arial" w:eastAsia="Arial" w:hAnsi="Arial"/>
                <w:sz w:val="13"/>
                <w:szCs w:val="13"/>
                <w:color w:val="auto"/>
              </w:rPr>
              <w:t>884,270</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36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Pacific Technology Park/San Diego/Sorrento Mesa</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w:t>
            </w: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544,352</w:t>
            </w: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360" w:type="dxa"/>
            <w:vAlign w:val="bottom"/>
            <w:gridSpan w:val="2"/>
          </w:tcPr>
          <w:p>
            <w:pPr>
              <w:ind w:left="40"/>
              <w:spacing w:after="0" w:line="172" w:lineRule="exact"/>
              <w:rPr>
                <w:sz w:val="20"/>
                <w:szCs w:val="20"/>
                <w:color w:val="auto"/>
              </w:rPr>
            </w:pPr>
            <w:r>
              <w:rPr>
                <w:rFonts w:ascii="Arial" w:cs="Arial" w:eastAsia="Arial" w:hAnsi="Arial"/>
                <w:sz w:val="13"/>
                <w:szCs w:val="13"/>
                <w:color w:val="auto"/>
              </w:rPr>
              <w:t>Summers Ridge Science Park/San Diego/Sorrento Mesa</w:t>
            </w:r>
            <w:r>
              <w:rPr>
                <w:rFonts w:ascii="Arial" w:cs="Arial" w:eastAsia="Arial" w:hAnsi="Arial"/>
                <w:sz w:val="16"/>
                <w:szCs w:val="16"/>
                <w:color w:val="auto"/>
                <w:vertAlign w:val="superscript"/>
              </w:rPr>
              <w:t>(7)</w:t>
            </w:r>
          </w:p>
        </w:tc>
        <w:tc>
          <w:tcPr>
            <w:tcW w:w="840" w:type="dxa"/>
            <w:vAlign w:val="bottom"/>
          </w:tcPr>
          <w:p>
            <w:pPr>
              <w:jc w:val="right"/>
              <w:spacing w:after="0"/>
              <w:rPr>
                <w:sz w:val="20"/>
                <w:szCs w:val="20"/>
                <w:color w:val="auto"/>
              </w:rPr>
            </w:pPr>
            <w:r>
              <w:rPr>
                <w:rFonts w:ascii="Arial" w:cs="Arial" w:eastAsia="Arial" w:hAnsi="Arial"/>
                <w:sz w:val="13"/>
                <w:szCs w:val="13"/>
                <w:color w:val="auto"/>
              </w:rPr>
              <w:t>70.0%</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right"/>
              <w:ind w:right="58"/>
              <w:spacing w:after="0"/>
              <w:rPr>
                <w:sz w:val="20"/>
                <w:szCs w:val="20"/>
                <w:color w:val="auto"/>
              </w:rPr>
            </w:pPr>
            <w:r>
              <w:rPr>
                <w:rFonts w:ascii="Arial" w:cs="Arial" w:eastAsia="Arial" w:hAnsi="Arial"/>
                <w:sz w:val="13"/>
                <w:szCs w:val="13"/>
                <w:color w:val="auto"/>
              </w:rPr>
              <w:t>316,531</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36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1201 and 1208 Eastlake Avenue East and 199 East Blaine Street/Seattle/Lake Union</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70.0%</w:t>
            </w: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321,115</w:t>
            </w: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360" w:type="dxa"/>
            <w:vAlign w:val="bottom"/>
            <w:gridSpan w:val="2"/>
          </w:tcPr>
          <w:p>
            <w:pPr>
              <w:ind w:left="40"/>
              <w:spacing w:after="0"/>
              <w:rPr>
                <w:sz w:val="20"/>
                <w:szCs w:val="20"/>
                <w:color w:val="auto"/>
              </w:rPr>
            </w:pPr>
            <w:r>
              <w:rPr>
                <w:rFonts w:ascii="Arial" w:cs="Arial" w:eastAsia="Arial" w:hAnsi="Arial"/>
                <w:sz w:val="13"/>
                <w:szCs w:val="13"/>
                <w:color w:val="auto"/>
              </w:rPr>
              <w:t>400 Dexter Avenue North/Seattle/Lake Union</w:t>
            </w:r>
          </w:p>
        </w:tc>
        <w:tc>
          <w:tcPr>
            <w:tcW w:w="840" w:type="dxa"/>
            <w:vAlign w:val="bottom"/>
          </w:tcPr>
          <w:p>
            <w:pPr>
              <w:jc w:val="right"/>
              <w:spacing w:after="0"/>
              <w:rPr>
                <w:sz w:val="20"/>
                <w:szCs w:val="20"/>
                <w:color w:val="auto"/>
              </w:rPr>
            </w:pPr>
            <w:r>
              <w:rPr>
                <w:rFonts w:ascii="Arial" w:cs="Arial" w:eastAsia="Arial" w:hAnsi="Arial"/>
                <w:sz w:val="13"/>
                <w:szCs w:val="13"/>
                <w:color w:val="auto"/>
              </w:rPr>
              <w:t>70.0%</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right"/>
              <w:ind w:right="58"/>
              <w:spacing w:after="0"/>
              <w:rPr>
                <w:sz w:val="20"/>
                <w:szCs w:val="20"/>
                <w:color w:val="auto"/>
              </w:rPr>
            </w:pPr>
            <w:r>
              <w:rPr>
                <w:rFonts w:ascii="Arial" w:cs="Arial" w:eastAsia="Arial" w:hAnsi="Arial"/>
                <w:sz w:val="13"/>
                <w:szCs w:val="13"/>
                <w:color w:val="auto"/>
              </w:rPr>
              <w:t>290,754</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36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800 Mercer Street/Seattle/Lake Union</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40.0%</w:t>
            </w: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ind w:right="39"/>
              <w:spacing w:after="0"/>
              <w:rPr>
                <w:sz w:val="20"/>
                <w:szCs w:val="20"/>
                <w:color w:val="auto"/>
              </w:rPr>
            </w:pPr>
            <w:r>
              <w:rPr>
                <w:rFonts w:ascii="Arial" w:cs="Arial" w:eastAsia="Arial" w:hAnsi="Arial"/>
                <w:sz w:val="8"/>
                <w:szCs w:val="8"/>
                <w:color w:val="auto"/>
                <w:w w:val="81"/>
              </w:rPr>
              <w:t>(2)</w:t>
            </w:r>
          </w:p>
        </w:tc>
        <w:tc>
          <w:tcPr>
            <w:tcW w:w="0" w:type="dxa"/>
            <w:vAlign w:val="bottom"/>
          </w:tcPr>
          <w:p>
            <w:pPr>
              <w:spacing w:after="0"/>
              <w:rPr>
                <w:sz w:val="1"/>
                <w:szCs w:val="1"/>
                <w:color w:val="auto"/>
              </w:rPr>
            </w:pPr>
          </w:p>
        </w:tc>
      </w:tr>
      <w:tr>
        <w:trPr>
          <w:trHeight w:val="290"/>
        </w:trPr>
        <w:tc>
          <w:tcPr>
            <w:tcW w:w="536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Unconsolidated Real Estate Joint Ventures</w:t>
            </w:r>
          </w:p>
        </w:tc>
        <w:tc>
          <w:tcPr>
            <w:tcW w:w="8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320" w:type="dxa"/>
            <w:vAlign w:val="bottom"/>
            <w:vMerge w:val="restart"/>
          </w:tcPr>
          <w:p>
            <w:pPr>
              <w:ind w:left="1900"/>
              <w:spacing w:after="0"/>
              <w:rPr>
                <w:sz w:val="20"/>
                <w:szCs w:val="20"/>
                <w:color w:val="auto"/>
              </w:rPr>
            </w:pPr>
            <w:r>
              <w:rPr>
                <w:rFonts w:ascii="Arial" w:cs="Arial" w:eastAsia="Arial" w:hAnsi="Arial"/>
                <w:sz w:val="13"/>
                <w:szCs w:val="13"/>
                <w:color w:val="auto"/>
              </w:rPr>
              <w:t>Property/Market/Submarket</w:t>
            </w:r>
          </w:p>
        </w:tc>
        <w:tc>
          <w:tcPr>
            <w:tcW w:w="40" w:type="dxa"/>
            <w:vAlign w:val="bottom"/>
            <w:vMerge w:val="restart"/>
          </w:tcPr>
          <w:p>
            <w:pPr>
              <w:spacing w:after="0"/>
              <w:rPr>
                <w:sz w:val="13"/>
                <w:szCs w:val="13"/>
                <w:color w:val="auto"/>
              </w:rPr>
            </w:pPr>
          </w:p>
        </w:tc>
        <w:tc>
          <w:tcPr>
            <w:tcW w:w="1180" w:type="dxa"/>
            <w:vAlign w:val="bottom"/>
            <w:gridSpan w:val="3"/>
          </w:tcPr>
          <w:p>
            <w:pPr>
              <w:jc w:val="right"/>
              <w:ind w:right="200"/>
              <w:spacing w:after="0"/>
              <w:rPr>
                <w:sz w:val="20"/>
                <w:szCs w:val="20"/>
                <w:color w:val="auto"/>
              </w:rPr>
            </w:pPr>
            <w:r>
              <w:rPr>
                <w:rFonts w:ascii="Arial" w:cs="Arial" w:eastAsia="Arial" w:hAnsi="Arial"/>
                <w:sz w:val="13"/>
                <w:szCs w:val="13"/>
                <w:color w:val="auto"/>
              </w:rPr>
              <w:t>Our Ownership</w:t>
            </w:r>
          </w:p>
        </w:tc>
        <w:tc>
          <w:tcPr>
            <w:tcW w:w="1020" w:type="dxa"/>
            <w:vAlign w:val="bottom"/>
          </w:tcPr>
          <w:p>
            <w:pPr>
              <w:jc w:val="center"/>
              <w:ind w:left="118"/>
              <w:spacing w:after="0"/>
              <w:rPr>
                <w:sz w:val="20"/>
                <w:szCs w:val="20"/>
                <w:color w:val="auto"/>
              </w:rPr>
            </w:pPr>
            <w:r>
              <w:rPr>
                <w:rFonts w:ascii="Arial" w:cs="Arial" w:eastAsia="Arial" w:hAnsi="Arial"/>
                <w:sz w:val="13"/>
                <w:szCs w:val="13"/>
                <w:color w:val="auto"/>
                <w:w w:val="96"/>
              </w:rPr>
              <w:t>Operating RSF</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5320" w:type="dxa"/>
            <w:vAlign w:val="bottom"/>
            <w:tcBorders>
              <w:bottom w:val="single" w:sz="8" w:color="auto"/>
            </w:tcBorders>
            <w:vMerge w:val="continue"/>
          </w:tcPr>
          <w:p>
            <w:pPr>
              <w:spacing w:after="0"/>
              <w:rPr>
                <w:sz w:val="14"/>
                <w:szCs w:val="14"/>
                <w:color w:val="auto"/>
              </w:rPr>
            </w:pPr>
          </w:p>
        </w:tc>
        <w:tc>
          <w:tcPr>
            <w:tcW w:w="40" w:type="dxa"/>
            <w:vAlign w:val="bottom"/>
            <w:tcBorders>
              <w:bottom w:val="single" w:sz="8" w:color="CCEEFF"/>
            </w:tcBorders>
            <w:vMerge w:val="continue"/>
          </w:tcPr>
          <w:p>
            <w:pPr>
              <w:spacing w:after="0"/>
              <w:rPr>
                <w:sz w:val="14"/>
                <w:szCs w:val="14"/>
                <w:color w:val="auto"/>
              </w:rPr>
            </w:pPr>
          </w:p>
        </w:tc>
        <w:tc>
          <w:tcPr>
            <w:tcW w:w="840" w:type="dxa"/>
            <w:vAlign w:val="bottom"/>
            <w:tcBorders>
              <w:bottom w:val="single" w:sz="8" w:color="auto"/>
            </w:tcBorders>
          </w:tcPr>
          <w:p>
            <w:pPr>
              <w:jc w:val="center"/>
              <w:ind w:left="217"/>
              <w:spacing w:after="0" w:line="161" w:lineRule="exact"/>
              <w:rPr>
                <w:sz w:val="20"/>
                <w:szCs w:val="20"/>
                <w:color w:val="auto"/>
              </w:rPr>
            </w:pPr>
            <w:r>
              <w:rPr>
                <w:rFonts w:ascii="Arial" w:cs="Arial" w:eastAsia="Arial" w:hAnsi="Arial"/>
                <w:sz w:val="13"/>
                <w:szCs w:val="13"/>
                <w:color w:val="auto"/>
                <w:w w:val="92"/>
              </w:rPr>
              <w:t>Share</w:t>
            </w:r>
            <w:r>
              <w:rPr>
                <w:rFonts w:ascii="Arial" w:cs="Arial" w:eastAsia="Arial" w:hAnsi="Arial"/>
                <w:sz w:val="16"/>
                <w:szCs w:val="16"/>
                <w:color w:val="auto"/>
                <w:w w:val="92"/>
                <w:vertAlign w:val="superscript"/>
              </w:rPr>
              <w:t>(8)</w:t>
            </w:r>
          </w:p>
        </w:tc>
        <w:tc>
          <w:tcPr>
            <w:tcW w:w="26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jc w:val="center"/>
              <w:ind w:left="98"/>
              <w:spacing w:after="0"/>
              <w:rPr>
                <w:sz w:val="20"/>
                <w:szCs w:val="20"/>
                <w:color w:val="auto"/>
              </w:rPr>
            </w:pPr>
            <w:r>
              <w:rPr>
                <w:rFonts w:ascii="Arial" w:cs="Arial" w:eastAsia="Arial" w:hAnsi="Arial"/>
                <w:sz w:val="13"/>
                <w:szCs w:val="13"/>
                <w:color w:val="auto"/>
                <w:w w:val="96"/>
              </w:rPr>
              <w:t>at 100%</w:t>
            </w:r>
          </w:p>
        </w:tc>
        <w:tc>
          <w:tcPr>
            <w:tcW w:w="1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536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1655 and 1725 Third Street/San Francisco Bay Area/Mission Bay</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586,208</w:t>
            </w:r>
          </w:p>
        </w:tc>
        <w:tc>
          <w:tcPr>
            <w:tcW w:w="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5360" w:type="dxa"/>
            <w:vAlign w:val="bottom"/>
            <w:gridSpan w:val="2"/>
          </w:tcPr>
          <w:p>
            <w:pPr>
              <w:ind w:left="40"/>
              <w:spacing w:after="0"/>
              <w:rPr>
                <w:sz w:val="20"/>
                <w:szCs w:val="20"/>
                <w:color w:val="auto"/>
              </w:rPr>
            </w:pPr>
            <w:r>
              <w:rPr>
                <w:rFonts w:ascii="Arial" w:cs="Arial" w:eastAsia="Arial" w:hAnsi="Arial"/>
                <w:sz w:val="13"/>
                <w:szCs w:val="13"/>
                <w:color w:val="auto"/>
              </w:rPr>
              <w:t>1401/1413 Research Boulevard/Maryland/Rockville</w:t>
            </w:r>
          </w:p>
        </w:tc>
        <w:tc>
          <w:tcPr>
            <w:tcW w:w="840" w:type="dxa"/>
            <w:vAlign w:val="bottom"/>
          </w:tcPr>
          <w:p>
            <w:pPr>
              <w:jc w:val="right"/>
              <w:spacing w:after="0"/>
              <w:rPr>
                <w:sz w:val="20"/>
                <w:szCs w:val="20"/>
                <w:color w:val="auto"/>
              </w:rPr>
            </w:pPr>
            <w:r>
              <w:rPr>
                <w:rFonts w:ascii="Arial" w:cs="Arial" w:eastAsia="Arial" w:hAnsi="Arial"/>
                <w:sz w:val="13"/>
                <w:szCs w:val="13"/>
                <w:color w:val="auto"/>
              </w:rPr>
              <w:t>65.0%</w:t>
            </w:r>
          </w:p>
        </w:tc>
        <w:tc>
          <w:tcPr>
            <w:tcW w:w="260" w:type="dxa"/>
            <w:vAlign w:val="bottom"/>
          </w:tcPr>
          <w:p>
            <w:pPr>
              <w:jc w:val="right"/>
              <w:ind w:right="79"/>
              <w:spacing w:after="0"/>
              <w:rPr>
                <w:sz w:val="20"/>
                <w:szCs w:val="20"/>
                <w:color w:val="auto"/>
              </w:rPr>
            </w:pPr>
            <w:r>
              <w:rPr>
                <w:rFonts w:ascii="Arial" w:cs="Arial" w:eastAsia="Arial" w:hAnsi="Arial"/>
                <w:sz w:val="8"/>
                <w:szCs w:val="8"/>
                <w:color w:val="auto"/>
              </w:rPr>
              <w:t>(9)</w:t>
            </w:r>
          </w:p>
        </w:tc>
        <w:tc>
          <w:tcPr>
            <w:tcW w:w="80" w:type="dxa"/>
            <w:vAlign w:val="bottom"/>
          </w:tcPr>
          <w:p>
            <w:pPr>
              <w:spacing w:after="0"/>
              <w:rPr>
                <w:sz w:val="14"/>
                <w:szCs w:val="14"/>
                <w:color w:val="auto"/>
              </w:rPr>
            </w:pPr>
          </w:p>
        </w:tc>
        <w:tc>
          <w:tcPr>
            <w:tcW w:w="1020" w:type="dxa"/>
            <w:vAlign w:val="bottom"/>
          </w:tcPr>
          <w:p>
            <w:pPr>
              <w:jc w:val="right"/>
              <w:ind w:right="58"/>
              <w:spacing w:after="0"/>
              <w:rPr>
                <w:sz w:val="20"/>
                <w:szCs w:val="20"/>
                <w:color w:val="auto"/>
              </w:rPr>
            </w:pPr>
            <w:r>
              <w:rPr>
                <w:rFonts w:ascii="Arial" w:cs="Arial" w:eastAsia="Arial" w:hAnsi="Arial"/>
                <w:sz w:val="8"/>
                <w:szCs w:val="8"/>
                <w:color w:val="auto"/>
              </w:rPr>
              <w:t>(10)</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36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1450 Research Boulevard/Maryland/Rockville</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73.2%</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8"/>
                <w:szCs w:val="8"/>
                <w:color w:val="auto"/>
              </w:rPr>
              <w:t>(9)</w:t>
            </w: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42,679</w:t>
            </w: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360" w:type="dxa"/>
            <w:vAlign w:val="bottom"/>
            <w:gridSpan w:val="2"/>
          </w:tcPr>
          <w:p>
            <w:pPr>
              <w:ind w:left="40"/>
              <w:spacing w:after="0"/>
              <w:rPr>
                <w:sz w:val="20"/>
                <w:szCs w:val="20"/>
                <w:color w:val="auto"/>
              </w:rPr>
            </w:pPr>
            <w:r>
              <w:rPr>
                <w:rFonts w:ascii="Arial" w:cs="Arial" w:eastAsia="Arial" w:hAnsi="Arial"/>
                <w:sz w:val="13"/>
                <w:szCs w:val="13"/>
                <w:color w:val="auto"/>
              </w:rPr>
              <w:t>101 West Dickman Street/Maryland/Beltsville</w:t>
            </w:r>
          </w:p>
        </w:tc>
        <w:tc>
          <w:tcPr>
            <w:tcW w:w="840" w:type="dxa"/>
            <w:vAlign w:val="bottom"/>
          </w:tcPr>
          <w:p>
            <w:pPr>
              <w:jc w:val="right"/>
              <w:spacing w:after="0"/>
              <w:rPr>
                <w:sz w:val="20"/>
                <w:szCs w:val="20"/>
                <w:color w:val="auto"/>
              </w:rPr>
            </w:pPr>
            <w:r>
              <w:rPr>
                <w:rFonts w:ascii="Arial" w:cs="Arial" w:eastAsia="Arial" w:hAnsi="Arial"/>
                <w:sz w:val="13"/>
                <w:szCs w:val="13"/>
                <w:color w:val="auto"/>
              </w:rPr>
              <w:t>58.2%</w:t>
            </w:r>
          </w:p>
        </w:tc>
        <w:tc>
          <w:tcPr>
            <w:tcW w:w="260" w:type="dxa"/>
            <w:vAlign w:val="bottom"/>
          </w:tcPr>
          <w:p>
            <w:pPr>
              <w:jc w:val="right"/>
              <w:ind w:right="79"/>
              <w:spacing w:after="0"/>
              <w:rPr>
                <w:sz w:val="20"/>
                <w:szCs w:val="20"/>
                <w:color w:val="auto"/>
              </w:rPr>
            </w:pPr>
            <w:r>
              <w:rPr>
                <w:rFonts w:ascii="Arial" w:cs="Arial" w:eastAsia="Arial" w:hAnsi="Arial"/>
                <w:sz w:val="8"/>
                <w:szCs w:val="8"/>
                <w:color w:val="auto"/>
              </w:rPr>
              <w:t>(9)</w:t>
            </w:r>
          </w:p>
        </w:tc>
        <w:tc>
          <w:tcPr>
            <w:tcW w:w="80" w:type="dxa"/>
            <w:vAlign w:val="bottom"/>
          </w:tcPr>
          <w:p>
            <w:pPr>
              <w:spacing w:after="0"/>
              <w:rPr>
                <w:sz w:val="15"/>
                <w:szCs w:val="15"/>
                <w:color w:val="auto"/>
              </w:rPr>
            </w:pPr>
          </w:p>
        </w:tc>
        <w:tc>
          <w:tcPr>
            <w:tcW w:w="1020" w:type="dxa"/>
            <w:vAlign w:val="bottom"/>
          </w:tcPr>
          <w:p>
            <w:pPr>
              <w:jc w:val="right"/>
              <w:ind w:right="58"/>
              <w:spacing w:after="0"/>
              <w:rPr>
                <w:sz w:val="20"/>
                <w:szCs w:val="20"/>
                <w:color w:val="auto"/>
              </w:rPr>
            </w:pPr>
            <w:r>
              <w:rPr>
                <w:rFonts w:ascii="Arial" w:cs="Arial" w:eastAsia="Arial" w:hAnsi="Arial"/>
                <w:sz w:val="13"/>
                <w:szCs w:val="13"/>
                <w:color w:val="auto"/>
              </w:rPr>
              <w:t>135,423</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660"/>
        <w:spacing w:after="0"/>
        <w:rPr>
          <w:sz w:val="20"/>
          <w:szCs w:val="20"/>
          <w:color w:val="auto"/>
        </w:rPr>
      </w:pPr>
      <w:r>
        <w:rPr>
          <w:rFonts w:ascii="Arial" w:cs="Arial" w:eastAsia="Arial" w:hAnsi="Arial"/>
          <w:sz w:val="10"/>
          <w:szCs w:val="10"/>
          <w:color w:val="auto"/>
        </w:rPr>
        <w:t>Refer to “Joint venture financial information” under “Definitions and reconciliations” in Item 2 for additional details.</w:t>
      </w:r>
    </w:p>
    <w:p>
      <w:pPr>
        <w:spacing w:after="0" w:line="25" w:lineRule="exact"/>
        <w:rPr>
          <w:sz w:val="20"/>
          <w:szCs w:val="20"/>
          <w:color w:val="auto"/>
        </w:rPr>
      </w:pPr>
    </w:p>
    <w:p>
      <w:pPr>
        <w:ind w:left="900" w:right="919" w:hanging="262"/>
        <w:spacing w:after="0" w:line="256" w:lineRule="auto"/>
        <w:tabs>
          <w:tab w:leader="none" w:pos="900" w:val="left"/>
        </w:tabs>
        <w:numPr>
          <w:ilvl w:val="0"/>
          <w:numId w:val="105"/>
        </w:numPr>
        <w:rPr>
          <w:rFonts w:ascii="Arial" w:cs="Arial" w:eastAsia="Arial" w:hAnsi="Arial"/>
          <w:sz w:val="10"/>
          <w:szCs w:val="10"/>
          <w:color w:val="auto"/>
        </w:rPr>
      </w:pPr>
      <w:r>
        <w:rPr>
          <w:rFonts w:ascii="Arial" w:cs="Arial" w:eastAsia="Arial" w:hAnsi="Arial"/>
          <w:sz w:val="10"/>
          <w:szCs w:val="10"/>
          <w:color w:val="auto"/>
        </w:rPr>
        <w:t>In addition to the consolidated real estate joint ventures listed, various joint venture partners hold insignificant noncontrolling interests in three other real estate joint ventures in North America.</w:t>
      </w:r>
    </w:p>
    <w:p>
      <w:pPr>
        <w:ind w:left="900" w:right="699" w:hanging="262"/>
        <w:spacing w:after="0" w:line="246" w:lineRule="auto"/>
        <w:tabs>
          <w:tab w:leader="none" w:pos="900" w:val="left"/>
        </w:tabs>
        <w:numPr>
          <w:ilvl w:val="0"/>
          <w:numId w:val="105"/>
        </w:numPr>
        <w:rPr>
          <w:rFonts w:ascii="Arial" w:cs="Arial" w:eastAsia="Arial" w:hAnsi="Arial"/>
          <w:sz w:val="10"/>
          <w:szCs w:val="10"/>
          <w:color w:val="auto"/>
        </w:rPr>
      </w:pPr>
      <w:r>
        <w:rPr>
          <w:rFonts w:ascii="Arial" w:cs="Arial" w:eastAsia="Arial" w:hAnsi="Arial"/>
          <w:sz w:val="10"/>
          <w:szCs w:val="10"/>
          <w:color w:val="auto"/>
        </w:rPr>
        <w:t>Represents a property currently under construction or in our value-creation pipeline. Refer to “New Class A/A+ development and redevelopment properties” in Item 2 for additional details.</w:t>
      </w:r>
    </w:p>
    <w:p>
      <w:pPr>
        <w:ind w:left="900" w:hanging="262"/>
        <w:spacing w:after="0"/>
        <w:tabs>
          <w:tab w:leader="none" w:pos="900" w:val="left"/>
        </w:tabs>
        <w:numPr>
          <w:ilvl w:val="0"/>
          <w:numId w:val="105"/>
        </w:numPr>
        <w:rPr>
          <w:rFonts w:ascii="Arial" w:cs="Arial" w:eastAsia="Arial" w:hAnsi="Arial"/>
          <w:sz w:val="10"/>
          <w:szCs w:val="10"/>
          <w:color w:val="auto"/>
        </w:rPr>
      </w:pPr>
      <w:r>
        <w:rPr>
          <w:rFonts w:ascii="Arial" w:cs="Arial" w:eastAsia="Arial" w:hAnsi="Arial"/>
          <w:sz w:val="10"/>
          <w:szCs w:val="10"/>
          <w:color w:val="auto"/>
        </w:rPr>
        <w:t>Includes 409 and 499 Illinois Street, 1500 and 1700 Owens Street, and 455 Mission Bay Boulevard South.</w:t>
      </w:r>
    </w:p>
    <w:p>
      <w:pPr>
        <w:spacing w:after="0" w:line="7" w:lineRule="exact"/>
        <w:rPr>
          <w:rFonts w:ascii="Arial" w:cs="Arial" w:eastAsia="Arial" w:hAnsi="Arial"/>
          <w:sz w:val="10"/>
          <w:szCs w:val="10"/>
          <w:color w:val="auto"/>
        </w:rPr>
      </w:pPr>
    </w:p>
    <w:p>
      <w:pPr>
        <w:ind w:left="900" w:right="659" w:hanging="262"/>
        <w:spacing w:after="0" w:line="250" w:lineRule="auto"/>
        <w:tabs>
          <w:tab w:leader="none" w:pos="900" w:val="left"/>
        </w:tabs>
        <w:numPr>
          <w:ilvl w:val="0"/>
          <w:numId w:val="105"/>
        </w:numPr>
        <w:rPr>
          <w:rFonts w:ascii="Arial" w:cs="Arial" w:eastAsia="Arial" w:hAnsi="Arial"/>
          <w:sz w:val="10"/>
          <w:szCs w:val="10"/>
          <w:color w:val="auto"/>
        </w:rPr>
      </w:pPr>
      <w:r>
        <w:rPr>
          <w:rFonts w:ascii="Arial" w:cs="Arial" w:eastAsia="Arial" w:hAnsi="Arial"/>
          <w:sz w:val="10"/>
          <w:szCs w:val="10"/>
          <w:color w:val="auto"/>
        </w:rPr>
        <w:t>During the six months ended June 30, 2024, our equity ownership decreased from 40.6% to 26.3% based on continued funding of construction costs by our joint venture partner and a reallocation of equity to our joint venture partner of $30.2 million from us. The noncontrolling interest share of our joint venture partner is anticipated to increase to 75% and ours to decrease to 25% as our partner contributes additional equity to fund the construction of the project.</w:t>
      </w:r>
    </w:p>
    <w:p>
      <w:pPr>
        <w:spacing w:after="0" w:line="1" w:lineRule="exact"/>
        <w:rPr>
          <w:rFonts w:ascii="Arial" w:cs="Arial" w:eastAsia="Arial" w:hAnsi="Arial"/>
          <w:sz w:val="10"/>
          <w:szCs w:val="10"/>
          <w:color w:val="auto"/>
        </w:rPr>
      </w:pPr>
    </w:p>
    <w:p>
      <w:pPr>
        <w:ind w:left="900" w:hanging="262"/>
        <w:spacing w:after="0"/>
        <w:tabs>
          <w:tab w:leader="none" w:pos="900" w:val="left"/>
        </w:tabs>
        <w:numPr>
          <w:ilvl w:val="0"/>
          <w:numId w:val="105"/>
        </w:numPr>
        <w:rPr>
          <w:rFonts w:ascii="Arial" w:cs="Arial" w:eastAsia="Arial" w:hAnsi="Arial"/>
          <w:sz w:val="10"/>
          <w:szCs w:val="10"/>
          <w:color w:val="auto"/>
        </w:rPr>
      </w:pPr>
      <w:r>
        <w:rPr>
          <w:rFonts w:ascii="Arial" w:cs="Arial" w:eastAsia="Arial" w:hAnsi="Arial"/>
          <w:sz w:val="10"/>
          <w:szCs w:val="10"/>
          <w:color w:val="auto"/>
        </w:rPr>
        <w:t>Includes 10210, 10260, 10290, and 10300 Campus Point Drive and 4110, 4135, 4155, 4161, 4165, 4224, and 4242 Campus Point Court.</w:t>
      </w:r>
    </w:p>
    <w:p>
      <w:pPr>
        <w:spacing w:after="0" w:line="3" w:lineRule="exact"/>
        <w:rPr>
          <w:rFonts w:ascii="Arial" w:cs="Arial" w:eastAsia="Arial" w:hAnsi="Arial"/>
          <w:sz w:val="10"/>
          <w:szCs w:val="10"/>
          <w:color w:val="auto"/>
        </w:rPr>
      </w:pPr>
    </w:p>
    <w:p>
      <w:pPr>
        <w:ind w:left="900" w:hanging="262"/>
        <w:spacing w:after="0"/>
        <w:tabs>
          <w:tab w:leader="none" w:pos="900" w:val="left"/>
        </w:tabs>
        <w:numPr>
          <w:ilvl w:val="0"/>
          <w:numId w:val="105"/>
        </w:numPr>
        <w:rPr>
          <w:rFonts w:ascii="Arial" w:cs="Arial" w:eastAsia="Arial" w:hAnsi="Arial"/>
          <w:sz w:val="10"/>
          <w:szCs w:val="10"/>
          <w:color w:val="auto"/>
        </w:rPr>
      </w:pPr>
      <w:r>
        <w:rPr>
          <w:rFonts w:ascii="Arial" w:cs="Arial" w:eastAsia="Arial" w:hAnsi="Arial"/>
          <w:sz w:val="10"/>
          <w:szCs w:val="10"/>
          <w:color w:val="auto"/>
        </w:rPr>
        <w:t>Includes 9605, 9645, 9675, 9685, 9725, 9735, 9805, 9808, 9855, and 9868 Scranton Road and 10055, 10065, and 10075 Barnes Canyon Road.</w:t>
      </w:r>
    </w:p>
    <w:p>
      <w:pPr>
        <w:spacing w:after="0" w:line="7" w:lineRule="exact"/>
        <w:rPr>
          <w:rFonts w:ascii="Arial" w:cs="Arial" w:eastAsia="Arial" w:hAnsi="Arial"/>
          <w:sz w:val="10"/>
          <w:szCs w:val="10"/>
          <w:color w:val="auto"/>
        </w:rPr>
      </w:pPr>
    </w:p>
    <w:p>
      <w:pPr>
        <w:ind w:left="900" w:hanging="262"/>
        <w:spacing w:after="0"/>
        <w:tabs>
          <w:tab w:leader="none" w:pos="900" w:val="left"/>
        </w:tabs>
        <w:numPr>
          <w:ilvl w:val="0"/>
          <w:numId w:val="105"/>
        </w:numPr>
        <w:rPr>
          <w:rFonts w:ascii="Arial" w:cs="Arial" w:eastAsia="Arial" w:hAnsi="Arial"/>
          <w:sz w:val="10"/>
          <w:szCs w:val="10"/>
          <w:color w:val="auto"/>
        </w:rPr>
      </w:pPr>
      <w:r>
        <w:rPr>
          <w:rFonts w:ascii="Arial" w:cs="Arial" w:eastAsia="Arial" w:hAnsi="Arial"/>
          <w:sz w:val="10"/>
          <w:szCs w:val="10"/>
          <w:color w:val="auto"/>
        </w:rPr>
        <w:t>Includes 9965, 9975, 9985, and 9995 Summers Ridge Road.</w:t>
      </w:r>
    </w:p>
    <w:p>
      <w:pPr>
        <w:spacing w:after="0" w:line="9" w:lineRule="exact"/>
        <w:rPr>
          <w:rFonts w:ascii="Arial" w:cs="Arial" w:eastAsia="Arial" w:hAnsi="Arial"/>
          <w:sz w:val="10"/>
          <w:szCs w:val="10"/>
          <w:color w:val="auto"/>
        </w:rPr>
      </w:pPr>
    </w:p>
    <w:p>
      <w:pPr>
        <w:ind w:left="900" w:hanging="262"/>
        <w:spacing w:after="0"/>
        <w:tabs>
          <w:tab w:leader="none" w:pos="900" w:val="left"/>
        </w:tabs>
        <w:numPr>
          <w:ilvl w:val="0"/>
          <w:numId w:val="105"/>
        </w:numPr>
        <w:rPr>
          <w:rFonts w:ascii="Arial" w:cs="Arial" w:eastAsia="Arial" w:hAnsi="Arial"/>
          <w:sz w:val="10"/>
          <w:szCs w:val="10"/>
          <w:color w:val="auto"/>
        </w:rPr>
      </w:pPr>
      <w:r>
        <w:rPr>
          <w:rFonts w:ascii="Arial" w:cs="Arial" w:eastAsia="Arial" w:hAnsi="Arial"/>
          <w:sz w:val="10"/>
          <w:szCs w:val="10"/>
          <w:color w:val="auto"/>
        </w:rPr>
        <w:t>In addition to the unconsolidated real estate joint ventures listed, we hold an interest in one other insignificant unconsolidated real estate joint venture in North America.</w:t>
      </w:r>
    </w:p>
    <w:p>
      <w:pPr>
        <w:spacing w:after="0" w:line="3" w:lineRule="exact"/>
        <w:rPr>
          <w:rFonts w:ascii="Arial" w:cs="Arial" w:eastAsia="Arial" w:hAnsi="Arial"/>
          <w:sz w:val="10"/>
          <w:szCs w:val="10"/>
          <w:color w:val="auto"/>
        </w:rPr>
      </w:pPr>
    </w:p>
    <w:p>
      <w:pPr>
        <w:ind w:left="900" w:right="899" w:hanging="262"/>
        <w:spacing w:after="0" w:line="246" w:lineRule="auto"/>
        <w:tabs>
          <w:tab w:leader="none" w:pos="900" w:val="left"/>
        </w:tabs>
        <w:numPr>
          <w:ilvl w:val="0"/>
          <w:numId w:val="105"/>
        </w:numPr>
        <w:rPr>
          <w:rFonts w:ascii="Arial" w:cs="Arial" w:eastAsia="Arial" w:hAnsi="Arial"/>
          <w:sz w:val="10"/>
          <w:szCs w:val="10"/>
          <w:color w:val="auto"/>
        </w:rPr>
      </w:pPr>
      <w:r>
        <w:rPr>
          <w:rFonts w:ascii="Arial" w:cs="Arial" w:eastAsia="Arial" w:hAnsi="Arial"/>
          <w:sz w:val="10"/>
          <w:szCs w:val="10"/>
          <w:color w:val="auto"/>
        </w:rPr>
        <w:t>Represents a joint venture with a local real estate operator in which our joint venture partner manages the day-to-day activities that significantly affect the economic performance of the joint venture.</w:t>
      </w:r>
    </w:p>
    <w:p>
      <w:pPr>
        <w:ind w:left="900" w:hanging="262"/>
        <w:spacing w:after="0"/>
        <w:tabs>
          <w:tab w:leader="none" w:pos="900" w:val="left"/>
        </w:tabs>
        <w:numPr>
          <w:ilvl w:val="0"/>
          <w:numId w:val="105"/>
        </w:numPr>
        <w:rPr>
          <w:rFonts w:ascii="Arial" w:cs="Arial" w:eastAsia="Arial" w:hAnsi="Arial"/>
          <w:sz w:val="10"/>
          <w:szCs w:val="10"/>
          <w:color w:val="auto"/>
        </w:rPr>
      </w:pPr>
      <w:r>
        <w:rPr>
          <w:rFonts w:ascii="Arial" w:cs="Arial" w:eastAsia="Arial" w:hAnsi="Arial"/>
          <w:sz w:val="10"/>
          <w:szCs w:val="10"/>
          <w:color w:val="auto"/>
        </w:rPr>
        <w:t>Represents a joint venture with a distinguished retail real estate developer for a retail shopping center aggregating 84,837 RSF.</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188595</wp:posOffset>
            </wp:positionV>
            <wp:extent cx="5584190" cy="284670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584190" cy="2846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40" w:right="819" w:firstLine="516"/>
        <w:spacing w:after="0" w:line="272" w:lineRule="auto"/>
        <w:rPr>
          <w:sz w:val="20"/>
          <w:szCs w:val="20"/>
          <w:color w:val="auto"/>
        </w:rPr>
      </w:pPr>
      <w:r>
        <w:rPr>
          <w:rFonts w:ascii="Arial" w:cs="Arial" w:eastAsia="Arial" w:hAnsi="Arial"/>
          <w:sz w:val="13"/>
          <w:szCs w:val="13"/>
          <w:color w:val="auto"/>
        </w:rPr>
        <w:t>The following table presents key terms related to our unconsolidated real estate joint ventures’ secured loans as of June 30, 2024 (dollars in thousands):</w:t>
      </w:r>
    </w:p>
    <w:p>
      <w:pPr>
        <w:spacing w:after="0" w:line="37"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3"/>
          </w:tcPr>
          <w:p>
            <w:pPr>
              <w:jc w:val="right"/>
              <w:ind w:right="76"/>
              <w:spacing w:after="0"/>
              <w:rPr>
                <w:sz w:val="20"/>
                <w:szCs w:val="20"/>
                <w:color w:val="auto"/>
              </w:rPr>
            </w:pPr>
            <w:r>
              <w:rPr>
                <w:rFonts w:ascii="Arial" w:cs="Arial" w:eastAsia="Arial" w:hAnsi="Arial"/>
                <w:sz w:val="13"/>
                <w:szCs w:val="13"/>
                <w:color w:val="auto"/>
              </w:rPr>
              <w:t>At 100%</w:t>
            </w:r>
          </w:p>
        </w:tc>
        <w:tc>
          <w:tcPr>
            <w:tcW w:w="68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060" w:type="dxa"/>
            <w:vAlign w:val="bottom"/>
            <w:vMerge w:val="restart"/>
          </w:tcPr>
          <w:p>
            <w:pPr>
              <w:ind w:left="200"/>
              <w:spacing w:after="0"/>
              <w:rPr>
                <w:sz w:val="20"/>
                <w:szCs w:val="20"/>
                <w:color w:val="auto"/>
              </w:rPr>
            </w:pPr>
            <w:r>
              <w:rPr>
                <w:rFonts w:ascii="Arial" w:cs="Arial" w:eastAsia="Arial" w:hAnsi="Arial"/>
                <w:sz w:val="13"/>
                <w:szCs w:val="13"/>
                <w:color w:val="auto"/>
              </w:rPr>
              <w:t>Unconsolidated Joint Venture</w:t>
            </w:r>
          </w:p>
        </w:tc>
        <w:tc>
          <w:tcPr>
            <w:tcW w:w="60" w:type="dxa"/>
            <w:vAlign w:val="bottom"/>
          </w:tcPr>
          <w:p>
            <w:pPr>
              <w:spacing w:after="0"/>
              <w:rPr>
                <w:sz w:val="13"/>
                <w:szCs w:val="13"/>
                <w:color w:val="auto"/>
              </w:rPr>
            </w:pPr>
          </w:p>
        </w:tc>
        <w:tc>
          <w:tcPr>
            <w:tcW w:w="960" w:type="dxa"/>
            <w:vAlign w:val="bottom"/>
            <w:gridSpan w:val="2"/>
            <w:vMerge w:val="restart"/>
          </w:tcPr>
          <w:p>
            <w:pPr>
              <w:jc w:val="right"/>
              <w:ind w:right="58"/>
              <w:spacing w:after="0"/>
              <w:rPr>
                <w:sz w:val="20"/>
                <w:szCs w:val="20"/>
                <w:color w:val="auto"/>
              </w:rPr>
            </w:pPr>
            <w:r>
              <w:rPr>
                <w:rFonts w:ascii="Arial" w:cs="Arial" w:eastAsia="Arial" w:hAnsi="Arial"/>
                <w:sz w:val="13"/>
                <w:szCs w:val="13"/>
                <w:color w:val="auto"/>
              </w:rPr>
              <w:t>Maturity Date</w:t>
            </w:r>
          </w:p>
        </w:tc>
        <w:tc>
          <w:tcPr>
            <w:tcW w:w="60" w:type="dxa"/>
            <w:vAlign w:val="bottom"/>
            <w:vMerge w:val="restart"/>
          </w:tcPr>
          <w:p>
            <w:pPr>
              <w:spacing w:after="0"/>
              <w:rPr>
                <w:sz w:val="13"/>
                <w:szCs w:val="13"/>
                <w:color w:val="auto"/>
              </w:rPr>
            </w:pPr>
          </w:p>
        </w:tc>
        <w:tc>
          <w:tcPr>
            <w:tcW w:w="940" w:type="dxa"/>
            <w:vAlign w:val="bottom"/>
            <w:vMerge w:val="restart"/>
          </w:tcPr>
          <w:p>
            <w:pPr>
              <w:ind w:left="140"/>
              <w:spacing w:after="0"/>
              <w:rPr>
                <w:sz w:val="20"/>
                <w:szCs w:val="20"/>
                <w:color w:val="auto"/>
              </w:rPr>
            </w:pPr>
            <w:r>
              <w:rPr>
                <w:rFonts w:ascii="Arial" w:cs="Arial" w:eastAsia="Arial" w:hAnsi="Arial"/>
                <w:sz w:val="13"/>
                <w:szCs w:val="13"/>
                <w:color w:val="auto"/>
              </w:rPr>
              <w:t>Stated Rate</w:t>
            </w:r>
          </w:p>
        </w:tc>
        <w:tc>
          <w:tcPr>
            <w:tcW w:w="200" w:type="dxa"/>
            <w:vAlign w:val="bottom"/>
          </w:tcPr>
          <w:p>
            <w:pPr>
              <w:spacing w:after="0"/>
              <w:rPr>
                <w:sz w:val="13"/>
                <w:szCs w:val="13"/>
                <w:color w:val="auto"/>
              </w:rPr>
            </w:pPr>
          </w:p>
        </w:tc>
        <w:tc>
          <w:tcPr>
            <w:tcW w:w="640" w:type="dxa"/>
            <w:vAlign w:val="bottom"/>
            <w:gridSpan w:val="2"/>
          </w:tcPr>
          <w:p>
            <w:pPr>
              <w:ind w:left="80"/>
              <w:spacing w:after="0"/>
              <w:rPr>
                <w:sz w:val="20"/>
                <w:szCs w:val="20"/>
                <w:color w:val="auto"/>
              </w:rPr>
            </w:pPr>
            <w:r>
              <w:rPr>
                <w:rFonts w:ascii="Arial" w:cs="Arial" w:eastAsia="Arial" w:hAnsi="Arial"/>
                <w:sz w:val="13"/>
                <w:szCs w:val="13"/>
                <w:color w:val="auto"/>
              </w:rPr>
              <w:t>Interest</w:t>
            </w:r>
          </w:p>
        </w:tc>
        <w:tc>
          <w:tcPr>
            <w:tcW w:w="120" w:type="dxa"/>
            <w:vAlign w:val="bottom"/>
          </w:tcPr>
          <w:p>
            <w:pPr>
              <w:spacing w:after="0"/>
              <w:rPr>
                <w:sz w:val="13"/>
                <w:szCs w:val="13"/>
                <w:color w:val="auto"/>
              </w:rPr>
            </w:pPr>
          </w:p>
        </w:tc>
        <w:tc>
          <w:tcPr>
            <w:tcW w:w="960" w:type="dxa"/>
            <w:vAlign w:val="bottom"/>
            <w:gridSpan w:val="2"/>
          </w:tcPr>
          <w:p>
            <w:pPr>
              <w:ind w:left="80"/>
              <w:spacing w:after="0"/>
              <w:rPr>
                <w:sz w:val="20"/>
                <w:szCs w:val="20"/>
                <w:color w:val="auto"/>
              </w:rPr>
            </w:pPr>
            <w:r>
              <w:rPr>
                <w:rFonts w:ascii="Arial" w:cs="Arial" w:eastAsia="Arial" w:hAnsi="Arial"/>
                <w:sz w:val="13"/>
                <w:szCs w:val="13"/>
                <w:color w:val="auto"/>
              </w:rPr>
              <w:t>Aggregate</w:t>
            </w:r>
          </w:p>
        </w:tc>
        <w:tc>
          <w:tcPr>
            <w:tcW w:w="1020" w:type="dxa"/>
            <w:vAlign w:val="bottom"/>
            <w:gridSpan w:val="2"/>
            <w:vMerge w:val="restart"/>
          </w:tcPr>
          <w:p>
            <w:pPr>
              <w:jc w:val="right"/>
              <w:ind w:right="16"/>
              <w:spacing w:after="0"/>
              <w:rPr>
                <w:sz w:val="20"/>
                <w:szCs w:val="20"/>
                <w:color w:val="auto"/>
              </w:rPr>
            </w:pPr>
            <w:r>
              <w:rPr>
                <w:rFonts w:ascii="Arial" w:cs="Arial" w:eastAsia="Arial" w:hAnsi="Arial"/>
                <w:sz w:val="13"/>
                <w:szCs w:val="13"/>
                <w:color w:val="auto"/>
              </w:rPr>
              <w:t>Debt Balance</w:t>
            </w:r>
            <w:r>
              <w:rPr>
                <w:rFonts w:ascii="Arial" w:cs="Arial" w:eastAsia="Arial" w:hAnsi="Arial"/>
                <w:sz w:val="16"/>
                <w:szCs w:val="16"/>
                <w:color w:val="auto"/>
                <w:vertAlign w:val="superscript"/>
              </w:rPr>
              <w:t>(2)</w:t>
            </w:r>
          </w:p>
        </w:tc>
        <w:tc>
          <w:tcPr>
            <w:tcW w:w="40" w:type="dxa"/>
            <w:vAlign w:val="bottom"/>
          </w:tcPr>
          <w:p>
            <w:pPr>
              <w:spacing w:after="0"/>
              <w:rPr>
                <w:sz w:val="13"/>
                <w:szCs w:val="13"/>
                <w:color w:val="auto"/>
              </w:rPr>
            </w:pPr>
          </w:p>
        </w:tc>
        <w:tc>
          <w:tcPr>
            <w:tcW w:w="640" w:type="dxa"/>
            <w:vAlign w:val="bottom"/>
          </w:tcPr>
          <w:p>
            <w:pPr>
              <w:jc w:val="center"/>
              <w:spacing w:after="0"/>
              <w:rPr>
                <w:sz w:val="20"/>
                <w:szCs w:val="20"/>
                <w:color w:val="auto"/>
              </w:rPr>
            </w:pPr>
            <w:r>
              <w:rPr>
                <w:rFonts w:ascii="Arial" w:cs="Arial" w:eastAsia="Arial" w:hAnsi="Arial"/>
                <w:sz w:val="13"/>
                <w:szCs w:val="13"/>
                <w:color w:val="auto"/>
              </w:rPr>
              <w:t>Our</w:t>
            </w:r>
          </w:p>
        </w:tc>
        <w:tc>
          <w:tcPr>
            <w:tcW w:w="0" w:type="dxa"/>
            <w:vAlign w:val="bottom"/>
          </w:tcPr>
          <w:p>
            <w:pPr>
              <w:spacing w:after="0"/>
              <w:rPr>
                <w:sz w:val="1"/>
                <w:szCs w:val="1"/>
                <w:color w:val="auto"/>
              </w:rPr>
            </w:pPr>
          </w:p>
        </w:tc>
      </w:tr>
      <w:tr>
        <w:trPr>
          <w:trHeight w:val="161"/>
        </w:trPr>
        <w:tc>
          <w:tcPr>
            <w:tcW w:w="2060" w:type="dxa"/>
            <w:vAlign w:val="bottom"/>
            <w:tcBorders>
              <w:bottom w:val="single" w:sz="8" w:color="auto"/>
            </w:tcBorders>
            <w:vMerge w:val="continue"/>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gridSpan w:val="2"/>
            <w:vMerge w:val="continue"/>
          </w:tcPr>
          <w:p>
            <w:pPr>
              <w:spacing w:after="0"/>
              <w:rPr>
                <w:sz w:val="14"/>
                <w:szCs w:val="14"/>
                <w:color w:val="auto"/>
              </w:rPr>
            </w:pPr>
          </w:p>
        </w:tc>
        <w:tc>
          <w:tcPr>
            <w:tcW w:w="60" w:type="dxa"/>
            <w:vAlign w:val="bottom"/>
            <w:tcBorders>
              <w:bottom w:val="single" w:sz="8" w:color="CCEEFF"/>
            </w:tcBorders>
            <w:vMerge w:val="continue"/>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right"/>
              <w:ind w:right="56"/>
              <w:spacing w:after="0" w:line="161" w:lineRule="exact"/>
              <w:rPr>
                <w:sz w:val="20"/>
                <w:szCs w:val="20"/>
                <w:color w:val="auto"/>
              </w:rPr>
            </w:pPr>
            <w:r>
              <w:rPr>
                <w:rFonts w:ascii="Arial" w:cs="Arial" w:eastAsia="Arial" w:hAnsi="Arial"/>
                <w:sz w:val="13"/>
                <w:szCs w:val="13"/>
                <w:color w:val="auto"/>
              </w:rPr>
              <w:t>Rate</w:t>
            </w:r>
            <w:r>
              <w:rPr>
                <w:rFonts w:ascii="Arial" w:cs="Arial" w:eastAsia="Arial" w:hAnsi="Arial"/>
                <w:sz w:val="16"/>
                <w:szCs w:val="16"/>
                <w:color w:val="auto"/>
                <w:vertAlign w:val="superscript"/>
              </w:rPr>
              <w:t>(1)</w:t>
            </w:r>
          </w:p>
        </w:tc>
        <w:tc>
          <w:tcPr>
            <w:tcW w:w="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Commitment</w:t>
            </w:r>
          </w:p>
        </w:tc>
        <w:tc>
          <w:tcPr>
            <w:tcW w:w="6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gridSpan w:val="2"/>
            <w:vMerge w:val="continue"/>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7"/>
              </w:rPr>
              <w:t>Share</w:t>
            </w:r>
          </w:p>
        </w:tc>
        <w:tc>
          <w:tcPr>
            <w:tcW w:w="0" w:type="dxa"/>
            <w:vAlign w:val="bottom"/>
          </w:tcPr>
          <w:p>
            <w:pPr>
              <w:spacing w:after="0"/>
              <w:rPr>
                <w:sz w:val="1"/>
                <w:szCs w:val="1"/>
                <w:color w:val="auto"/>
              </w:rPr>
            </w:pPr>
          </w:p>
        </w:tc>
      </w:tr>
      <w:tr>
        <w:trPr>
          <w:trHeight w:val="163"/>
        </w:trPr>
        <w:tc>
          <w:tcPr>
            <w:tcW w:w="2060" w:type="dxa"/>
            <w:vAlign w:val="bottom"/>
            <w:shd w:val="clear" w:color="auto" w:fill="CCEEFF"/>
          </w:tcPr>
          <w:p>
            <w:pPr>
              <w:ind w:left="40"/>
              <w:spacing w:after="0"/>
              <w:rPr>
                <w:sz w:val="20"/>
                <w:szCs w:val="20"/>
                <w:color w:val="auto"/>
              </w:rPr>
            </w:pPr>
            <w:r>
              <w:rPr>
                <w:rFonts w:ascii="Arial" w:cs="Arial" w:eastAsia="Arial" w:hAnsi="Arial"/>
                <w:sz w:val="13"/>
                <w:szCs w:val="13"/>
                <w:color w:val="auto"/>
              </w:rPr>
              <w:t>1401/1413 Research Boulevard</w:t>
            </w:r>
          </w:p>
        </w:tc>
        <w:tc>
          <w:tcPr>
            <w:tcW w:w="800" w:type="dxa"/>
            <w:vAlign w:val="bottom"/>
            <w:gridSpan w:val="2"/>
            <w:shd w:val="clear" w:color="auto" w:fill="CCEEFF"/>
          </w:tcPr>
          <w:p>
            <w:pPr>
              <w:jc w:val="center"/>
              <w:ind w:left="76"/>
              <w:spacing w:after="0"/>
              <w:rPr>
                <w:sz w:val="20"/>
                <w:szCs w:val="20"/>
                <w:color w:val="auto"/>
              </w:rPr>
            </w:pPr>
            <w:r>
              <w:rPr>
                <w:rFonts w:ascii="Arial" w:cs="Arial" w:eastAsia="Arial" w:hAnsi="Arial"/>
                <w:sz w:val="13"/>
                <w:szCs w:val="13"/>
                <w:color w:val="auto"/>
                <w:w w:val="98"/>
              </w:rPr>
              <w:t>12/23/24</w:t>
            </w: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2.70%</w:t>
            </w: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3.31%</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28,500</w:t>
            </w: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28,417</w:t>
            </w:r>
          </w:p>
        </w:tc>
        <w:tc>
          <w:tcPr>
            <w:tcW w:w="68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rPr>
              <w:t>65.0%</w:t>
            </w:r>
          </w:p>
        </w:tc>
        <w:tc>
          <w:tcPr>
            <w:tcW w:w="0" w:type="dxa"/>
            <w:vAlign w:val="bottom"/>
          </w:tcPr>
          <w:p>
            <w:pPr>
              <w:spacing w:after="0"/>
              <w:rPr>
                <w:sz w:val="1"/>
                <w:szCs w:val="1"/>
                <w:color w:val="auto"/>
              </w:rPr>
            </w:pPr>
          </w:p>
        </w:tc>
      </w:tr>
      <w:tr>
        <w:trPr>
          <w:trHeight w:val="123"/>
        </w:trPr>
        <w:tc>
          <w:tcPr>
            <w:tcW w:w="2060" w:type="dxa"/>
            <w:vAlign w:val="bottom"/>
            <w:vMerge w:val="restart"/>
          </w:tcPr>
          <w:p>
            <w:pPr>
              <w:ind w:left="40"/>
              <w:spacing w:after="0"/>
              <w:rPr>
                <w:sz w:val="20"/>
                <w:szCs w:val="20"/>
                <w:color w:val="auto"/>
              </w:rPr>
            </w:pPr>
            <w:r>
              <w:rPr>
                <w:rFonts w:ascii="Arial" w:cs="Arial" w:eastAsia="Arial" w:hAnsi="Arial"/>
                <w:sz w:val="13"/>
                <w:szCs w:val="13"/>
                <w:color w:val="auto"/>
              </w:rPr>
              <w:t>1655 and 1725 Third Street</w:t>
            </w:r>
          </w:p>
        </w:tc>
        <w:tc>
          <w:tcPr>
            <w:tcW w:w="800" w:type="dxa"/>
            <w:vAlign w:val="bottom"/>
            <w:gridSpan w:val="2"/>
            <w:vMerge w:val="restart"/>
          </w:tcPr>
          <w:p>
            <w:pPr>
              <w:jc w:val="center"/>
              <w:ind w:left="96"/>
              <w:spacing w:after="0"/>
              <w:rPr>
                <w:sz w:val="20"/>
                <w:szCs w:val="20"/>
                <w:color w:val="auto"/>
              </w:rPr>
            </w:pPr>
            <w:r>
              <w:rPr>
                <w:rFonts w:ascii="Arial" w:cs="Arial" w:eastAsia="Arial" w:hAnsi="Arial"/>
                <w:sz w:val="13"/>
                <w:szCs w:val="13"/>
                <w:color w:val="auto"/>
              </w:rPr>
              <w:t>3/10/25</w:t>
            </w:r>
          </w:p>
        </w:tc>
        <w:tc>
          <w:tcPr>
            <w:tcW w:w="220" w:type="dxa"/>
            <w:vAlign w:val="bottom"/>
          </w:tcPr>
          <w:p>
            <w:pPr>
              <w:jc w:val="right"/>
              <w:ind w:right="18"/>
              <w:spacing w:after="0"/>
              <w:rPr>
                <w:sz w:val="20"/>
                <w:szCs w:val="20"/>
                <w:color w:val="auto"/>
              </w:rPr>
            </w:pPr>
            <w:r>
              <w:rPr>
                <w:rFonts w:ascii="Arial" w:cs="Arial" w:eastAsia="Arial" w:hAnsi="Arial"/>
                <w:sz w:val="8"/>
                <w:szCs w:val="8"/>
                <w:color w:val="auto"/>
              </w:rPr>
              <w:t>(3)</w:t>
            </w:r>
          </w:p>
        </w:tc>
        <w:tc>
          <w:tcPr>
            <w:tcW w:w="60" w:type="dxa"/>
            <w:vAlign w:val="bottom"/>
          </w:tcPr>
          <w:p>
            <w:pPr>
              <w:spacing w:after="0"/>
              <w:rPr>
                <w:sz w:val="10"/>
                <w:szCs w:val="10"/>
                <w:color w:val="auto"/>
              </w:rPr>
            </w:pPr>
          </w:p>
        </w:tc>
        <w:tc>
          <w:tcPr>
            <w:tcW w:w="940" w:type="dxa"/>
            <w:vAlign w:val="bottom"/>
            <w:vMerge w:val="restart"/>
          </w:tcPr>
          <w:p>
            <w:pPr>
              <w:jc w:val="center"/>
              <w:spacing w:after="0"/>
              <w:rPr>
                <w:sz w:val="20"/>
                <w:szCs w:val="20"/>
                <w:color w:val="auto"/>
              </w:rPr>
            </w:pPr>
            <w:r>
              <w:rPr>
                <w:rFonts w:ascii="Arial" w:cs="Arial" w:eastAsia="Arial" w:hAnsi="Arial"/>
                <w:sz w:val="13"/>
                <w:szCs w:val="13"/>
                <w:color w:val="auto"/>
                <w:w w:val="97"/>
              </w:rPr>
              <w:t>4.50%</w:t>
            </w:r>
          </w:p>
        </w:tc>
        <w:tc>
          <w:tcPr>
            <w:tcW w:w="20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4.57%</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vMerge w:val="restart"/>
          </w:tcPr>
          <w:p>
            <w:pPr>
              <w:jc w:val="right"/>
              <w:spacing w:after="0"/>
              <w:rPr>
                <w:sz w:val="20"/>
                <w:szCs w:val="20"/>
                <w:color w:val="auto"/>
              </w:rPr>
            </w:pPr>
            <w:r>
              <w:rPr>
                <w:rFonts w:ascii="Arial" w:cs="Arial" w:eastAsia="Arial" w:hAnsi="Arial"/>
                <w:sz w:val="13"/>
                <w:szCs w:val="13"/>
                <w:color w:val="auto"/>
              </w:rPr>
              <w:t>600,000</w:t>
            </w: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599,718</w:t>
            </w:r>
          </w:p>
        </w:tc>
        <w:tc>
          <w:tcPr>
            <w:tcW w:w="680" w:type="dxa"/>
            <w:vAlign w:val="bottom"/>
            <w:gridSpan w:val="2"/>
            <w:vMerge w:val="restart"/>
          </w:tcPr>
          <w:p>
            <w:pPr>
              <w:jc w:val="center"/>
              <w:spacing w:after="0"/>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60"/>
        </w:trPr>
        <w:tc>
          <w:tcPr>
            <w:tcW w:w="2060" w:type="dxa"/>
            <w:vAlign w:val="bottom"/>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6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2060" w:type="dxa"/>
            <w:vAlign w:val="bottom"/>
            <w:shd w:val="clear" w:color="auto" w:fill="CCEEFF"/>
          </w:tcPr>
          <w:p>
            <w:pPr>
              <w:ind w:left="40"/>
              <w:spacing w:after="0"/>
              <w:rPr>
                <w:sz w:val="20"/>
                <w:szCs w:val="20"/>
                <w:color w:val="auto"/>
              </w:rPr>
            </w:pPr>
            <w:r>
              <w:rPr>
                <w:rFonts w:ascii="Arial" w:cs="Arial" w:eastAsia="Arial" w:hAnsi="Arial"/>
                <w:sz w:val="13"/>
                <w:szCs w:val="13"/>
                <w:color w:val="auto"/>
              </w:rPr>
              <w:t>101 West Dickman Street</w:t>
            </w:r>
          </w:p>
        </w:tc>
        <w:tc>
          <w:tcPr>
            <w:tcW w:w="800" w:type="dxa"/>
            <w:vAlign w:val="bottom"/>
            <w:gridSpan w:val="2"/>
            <w:shd w:val="clear" w:color="auto" w:fill="CCEEFF"/>
          </w:tcPr>
          <w:p>
            <w:pPr>
              <w:jc w:val="center"/>
              <w:ind w:left="96"/>
              <w:spacing w:after="0"/>
              <w:rPr>
                <w:sz w:val="20"/>
                <w:szCs w:val="20"/>
                <w:color w:val="auto"/>
              </w:rPr>
            </w:pPr>
            <w:r>
              <w:rPr>
                <w:rFonts w:ascii="Arial" w:cs="Arial" w:eastAsia="Arial" w:hAnsi="Arial"/>
                <w:sz w:val="13"/>
                <w:szCs w:val="13"/>
                <w:color w:val="auto"/>
                <w:w w:val="94"/>
              </w:rPr>
              <w:t>11/10/26</w:t>
            </w:r>
          </w:p>
        </w:tc>
        <w:tc>
          <w:tcPr>
            <w:tcW w:w="2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9"/>
              </w:rPr>
              <w:t>SOFR+1.95%</w:t>
            </w:r>
          </w:p>
        </w:tc>
        <w:tc>
          <w:tcPr>
            <w:tcW w:w="200" w:type="dxa"/>
            <w:vAlign w:val="bottom"/>
            <w:shd w:val="clear" w:color="auto" w:fill="CCEEFF"/>
          </w:tcPr>
          <w:p>
            <w:pPr>
              <w:jc w:val="right"/>
              <w:ind w:right="18"/>
              <w:spacing w:after="0"/>
              <w:rPr>
                <w:sz w:val="20"/>
                <w:szCs w:val="20"/>
                <w:color w:val="auto"/>
              </w:rPr>
            </w:pPr>
            <w:r>
              <w:rPr>
                <w:rFonts w:ascii="Arial" w:cs="Arial" w:eastAsia="Arial" w:hAnsi="Arial"/>
                <w:sz w:val="8"/>
                <w:szCs w:val="8"/>
                <w:color w:val="auto"/>
              </w:rPr>
              <w:t>(4)</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7.39%</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26,750</w:t>
            </w:r>
          </w:p>
        </w:tc>
        <w:tc>
          <w:tcPr>
            <w:tcW w:w="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18,558</w:t>
            </w:r>
          </w:p>
        </w:tc>
        <w:tc>
          <w:tcPr>
            <w:tcW w:w="68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rPr>
              <w:t>58.2%</w:t>
            </w:r>
          </w:p>
        </w:tc>
        <w:tc>
          <w:tcPr>
            <w:tcW w:w="0" w:type="dxa"/>
            <w:vAlign w:val="bottom"/>
          </w:tcPr>
          <w:p>
            <w:pPr>
              <w:spacing w:after="0"/>
              <w:rPr>
                <w:sz w:val="1"/>
                <w:szCs w:val="1"/>
                <w:color w:val="auto"/>
              </w:rPr>
            </w:pPr>
          </w:p>
        </w:tc>
      </w:tr>
      <w:tr>
        <w:trPr>
          <w:trHeight w:val="183"/>
        </w:trPr>
        <w:tc>
          <w:tcPr>
            <w:tcW w:w="206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1450 Research Boulevard</w:t>
            </w:r>
          </w:p>
        </w:tc>
        <w:tc>
          <w:tcPr>
            <w:tcW w:w="800" w:type="dxa"/>
            <w:vAlign w:val="bottom"/>
            <w:tcBorders>
              <w:bottom w:val="single" w:sz="8" w:color="CCEEFF"/>
            </w:tcBorders>
            <w:gridSpan w:val="2"/>
          </w:tcPr>
          <w:p>
            <w:pPr>
              <w:jc w:val="center"/>
              <w:ind w:left="76"/>
              <w:spacing w:after="0"/>
              <w:rPr>
                <w:sz w:val="20"/>
                <w:szCs w:val="20"/>
                <w:color w:val="auto"/>
              </w:rPr>
            </w:pPr>
            <w:r>
              <w:rPr>
                <w:rFonts w:ascii="Arial" w:cs="Arial" w:eastAsia="Arial" w:hAnsi="Arial"/>
                <w:sz w:val="13"/>
                <w:szCs w:val="13"/>
                <w:color w:val="auto"/>
                <w:w w:val="98"/>
              </w:rPr>
              <w:t>12/10/26</w:t>
            </w:r>
          </w:p>
        </w:tc>
        <w:tc>
          <w:tcPr>
            <w:tcW w:w="2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940" w:type="dxa"/>
            <w:vAlign w:val="bottom"/>
            <w:tcBorders>
              <w:bottom w:val="single" w:sz="8" w:color="CCEEFF"/>
            </w:tcBorders>
          </w:tcPr>
          <w:p>
            <w:pPr>
              <w:jc w:val="center"/>
              <w:spacing w:after="0"/>
              <w:rPr>
                <w:sz w:val="20"/>
                <w:szCs w:val="20"/>
                <w:color w:val="auto"/>
              </w:rPr>
            </w:pPr>
            <w:r>
              <w:rPr>
                <w:rFonts w:ascii="Arial" w:cs="Arial" w:eastAsia="Arial" w:hAnsi="Arial"/>
                <w:sz w:val="13"/>
                <w:szCs w:val="13"/>
                <w:color w:val="auto"/>
                <w:w w:val="99"/>
              </w:rPr>
              <w:t>SOFR+1.95%</w:t>
            </w:r>
          </w:p>
        </w:tc>
        <w:tc>
          <w:tcPr>
            <w:tcW w:w="200" w:type="dxa"/>
            <w:vAlign w:val="bottom"/>
            <w:tcBorders>
              <w:bottom w:val="single" w:sz="8" w:color="CCEEFF"/>
            </w:tcBorders>
          </w:tcPr>
          <w:p>
            <w:pPr>
              <w:jc w:val="right"/>
              <w:ind w:right="18"/>
              <w:spacing w:after="0"/>
              <w:rPr>
                <w:sz w:val="20"/>
                <w:szCs w:val="20"/>
                <w:color w:val="auto"/>
              </w:rPr>
            </w:pPr>
            <w:r>
              <w:rPr>
                <w:rFonts w:ascii="Arial" w:cs="Arial" w:eastAsia="Arial" w:hAnsi="Arial"/>
                <w:sz w:val="8"/>
                <w:szCs w:val="8"/>
                <w:color w:val="auto"/>
              </w:rPr>
              <w:t>(4)</w:t>
            </w:r>
          </w:p>
        </w:tc>
        <w:tc>
          <w:tcPr>
            <w:tcW w:w="60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7.45%</w:t>
            </w:r>
          </w:p>
        </w:tc>
        <w:tc>
          <w:tcPr>
            <w:tcW w:w="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13,000</w:t>
            </w:r>
          </w:p>
        </w:tc>
        <w:tc>
          <w:tcPr>
            <w:tcW w:w="6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8,598</w:t>
            </w:r>
          </w:p>
        </w:tc>
        <w:tc>
          <w:tcPr>
            <w:tcW w:w="680" w:type="dxa"/>
            <w:vAlign w:val="bottom"/>
            <w:tcBorders>
              <w:bottom w:val="single" w:sz="8" w:color="CCEEFF"/>
            </w:tcBorders>
            <w:gridSpan w:val="2"/>
          </w:tcPr>
          <w:p>
            <w:pPr>
              <w:jc w:val="center"/>
              <w:spacing w:after="0"/>
              <w:rPr>
                <w:sz w:val="20"/>
                <w:szCs w:val="20"/>
                <w:color w:val="auto"/>
              </w:rPr>
            </w:pPr>
            <w:r>
              <w:rPr>
                <w:rFonts w:ascii="Arial" w:cs="Arial" w:eastAsia="Arial" w:hAnsi="Arial"/>
                <w:sz w:val="13"/>
                <w:szCs w:val="13"/>
                <w:color w:val="auto"/>
              </w:rPr>
              <w:t>73.2%</w:t>
            </w:r>
          </w:p>
        </w:tc>
        <w:tc>
          <w:tcPr>
            <w:tcW w:w="0" w:type="dxa"/>
            <w:vAlign w:val="bottom"/>
          </w:tcPr>
          <w:p>
            <w:pPr>
              <w:spacing w:after="0"/>
              <w:rPr>
                <w:sz w:val="1"/>
                <w:szCs w:val="1"/>
                <w:color w:val="auto"/>
              </w:rPr>
            </w:pPr>
          </w:p>
        </w:tc>
      </w:tr>
      <w:tr>
        <w:trPr>
          <w:trHeight w:val="166"/>
        </w:trPr>
        <w:tc>
          <w:tcPr>
            <w:tcW w:w="206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668,250</w:t>
            </w:r>
          </w:p>
        </w:tc>
        <w:tc>
          <w:tcPr>
            <w:tcW w:w="6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176"/>
              <w:spacing w:after="0" w:line="141" w:lineRule="exact"/>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655,291</w:t>
            </w:r>
          </w:p>
        </w:tc>
        <w:tc>
          <w:tcPr>
            <w:tcW w:w="4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 w:lineRule="exact"/>
        <w:rPr>
          <w:sz w:val="20"/>
          <w:szCs w:val="20"/>
          <w:color w:val="auto"/>
        </w:rPr>
      </w:pPr>
    </w:p>
    <w:p>
      <w:pPr>
        <w:ind w:left="900" w:hanging="262"/>
        <w:spacing w:after="0"/>
        <w:tabs>
          <w:tab w:leader="none" w:pos="900" w:val="left"/>
        </w:tabs>
        <w:numPr>
          <w:ilvl w:val="0"/>
          <w:numId w:val="106"/>
        </w:numPr>
        <w:rPr>
          <w:rFonts w:ascii="Arial" w:cs="Arial" w:eastAsia="Arial" w:hAnsi="Arial"/>
          <w:sz w:val="10"/>
          <w:szCs w:val="10"/>
          <w:color w:val="auto"/>
        </w:rPr>
      </w:pPr>
      <w:r>
        <w:rPr>
          <w:rFonts w:ascii="Arial" w:cs="Arial" w:eastAsia="Arial" w:hAnsi="Arial"/>
          <w:sz w:val="10"/>
          <w:szCs w:val="10"/>
          <w:color w:val="auto"/>
        </w:rPr>
        <w:t>Includes interest expense and amortization of loan fees.</w:t>
      </w:r>
    </w:p>
    <w:p>
      <w:pPr>
        <w:spacing w:after="0" w:line="17" w:lineRule="exact"/>
        <w:rPr>
          <w:rFonts w:ascii="Arial" w:cs="Arial" w:eastAsia="Arial" w:hAnsi="Arial"/>
          <w:sz w:val="10"/>
          <w:szCs w:val="10"/>
          <w:color w:val="auto"/>
        </w:rPr>
      </w:pPr>
    </w:p>
    <w:p>
      <w:pPr>
        <w:ind w:left="900" w:hanging="262"/>
        <w:spacing w:after="0"/>
        <w:tabs>
          <w:tab w:leader="none" w:pos="900" w:val="left"/>
        </w:tabs>
        <w:numPr>
          <w:ilvl w:val="0"/>
          <w:numId w:val="106"/>
        </w:numPr>
        <w:rPr>
          <w:rFonts w:ascii="Arial" w:cs="Arial" w:eastAsia="Arial" w:hAnsi="Arial"/>
          <w:sz w:val="10"/>
          <w:szCs w:val="10"/>
          <w:color w:val="auto"/>
        </w:rPr>
      </w:pPr>
      <w:r>
        <w:rPr>
          <w:rFonts w:ascii="Arial" w:cs="Arial" w:eastAsia="Arial" w:hAnsi="Arial"/>
          <w:sz w:val="10"/>
          <w:szCs w:val="10"/>
          <w:color w:val="auto"/>
        </w:rPr>
        <w:t>Represents outstanding principal, net of unamortized deferred financing costs, as of June 30, 2024.</w:t>
      </w:r>
    </w:p>
    <w:p>
      <w:pPr>
        <w:spacing w:after="0" w:line="9" w:lineRule="exact"/>
        <w:rPr>
          <w:rFonts w:ascii="Arial" w:cs="Arial" w:eastAsia="Arial" w:hAnsi="Arial"/>
          <w:sz w:val="10"/>
          <w:szCs w:val="10"/>
          <w:color w:val="auto"/>
        </w:rPr>
      </w:pPr>
    </w:p>
    <w:p>
      <w:pPr>
        <w:ind w:left="900" w:right="699" w:hanging="262"/>
        <w:spacing w:after="0" w:line="246" w:lineRule="auto"/>
        <w:tabs>
          <w:tab w:leader="none" w:pos="900" w:val="left"/>
        </w:tabs>
        <w:numPr>
          <w:ilvl w:val="0"/>
          <w:numId w:val="106"/>
        </w:numPr>
        <w:rPr>
          <w:rFonts w:ascii="Arial" w:cs="Arial" w:eastAsia="Arial" w:hAnsi="Arial"/>
          <w:sz w:val="10"/>
          <w:szCs w:val="10"/>
          <w:color w:val="auto"/>
        </w:rPr>
      </w:pPr>
      <w:r>
        <w:rPr>
          <w:rFonts w:ascii="Arial" w:cs="Arial" w:eastAsia="Arial" w:hAnsi="Arial"/>
          <w:sz w:val="10"/>
          <w:szCs w:val="10"/>
          <w:color w:val="auto"/>
        </w:rPr>
        <w:t>The unconsolidated joint venture is early in the process of working with prospective lenders to refinance this secured non-recourse loan. In the event that all or a portion of the debt cannot be refinanced, we may consider contributing additional equity into this unconsolidated joint venture. As of June 30, 2024, our investment in this unconsolidated real estate joint venture was $11.2 million.</w:t>
      </w:r>
    </w:p>
    <w:p>
      <w:pPr>
        <w:ind w:left="900" w:hanging="262"/>
        <w:spacing w:after="0"/>
        <w:tabs>
          <w:tab w:leader="none" w:pos="900" w:val="left"/>
        </w:tabs>
        <w:numPr>
          <w:ilvl w:val="0"/>
          <w:numId w:val="106"/>
        </w:numPr>
        <w:rPr>
          <w:rFonts w:ascii="Arial" w:cs="Arial" w:eastAsia="Arial" w:hAnsi="Arial"/>
          <w:sz w:val="10"/>
          <w:szCs w:val="10"/>
          <w:color w:val="auto"/>
        </w:rPr>
      </w:pPr>
      <w:r>
        <w:rPr>
          <w:rFonts w:ascii="Arial" w:cs="Arial" w:eastAsia="Arial" w:hAnsi="Arial"/>
          <w:sz w:val="10"/>
          <w:szCs w:val="10"/>
          <w:color w:val="auto"/>
        </w:rPr>
        <w:t>This loan is subject to a fixed SOFR floor of 0.75%.</w:t>
      </w:r>
    </w:p>
    <w:p>
      <w:pPr>
        <w:spacing w:after="0" w:line="158" w:lineRule="exact"/>
        <w:rPr>
          <w:sz w:val="20"/>
          <w:szCs w:val="20"/>
          <w:color w:val="auto"/>
        </w:rPr>
      </w:pPr>
    </w:p>
    <w:p>
      <w:pPr>
        <w:ind w:left="640" w:right="1139" w:firstLine="516"/>
        <w:spacing w:after="0" w:line="272" w:lineRule="auto"/>
        <w:rPr>
          <w:sz w:val="20"/>
          <w:szCs w:val="20"/>
          <w:color w:val="auto"/>
        </w:rPr>
      </w:pPr>
      <w:r>
        <w:rPr>
          <w:rFonts w:ascii="Arial" w:cs="Arial" w:eastAsia="Arial" w:hAnsi="Arial"/>
          <w:sz w:val="13"/>
          <w:szCs w:val="13"/>
          <w:color w:val="auto"/>
        </w:rPr>
        <w:t>The following tables present information related to the operating results and financial positions of our consolidated and unconsolidated real estate joint ventures as of and for the three and six months ended June 30, 2024 (in thousands):</w:t>
      </w:r>
    </w:p>
    <w:p>
      <w:pPr>
        <w:spacing w:after="0" w:line="102" w:lineRule="exact"/>
        <w:rPr>
          <w:sz w:val="20"/>
          <w:szCs w:val="20"/>
          <w:color w:val="auto"/>
        </w:rPr>
      </w:pPr>
    </w:p>
    <w:tbl>
      <w:tblPr>
        <w:tblLayout w:type="fixed"/>
        <w:tblInd w:w="3020" w:type="dxa"/>
        <w:tblCellMar>
          <w:top w:w="0" w:type="dxa"/>
          <w:left w:w="0" w:type="dxa"/>
          <w:bottom w:w="0" w:type="dxa"/>
          <w:right w:w="0" w:type="dxa"/>
        </w:tblCellMar>
      </w:tblPr>
      <w:tr>
        <w:trPr>
          <w:trHeight w:val="149"/>
        </w:trPr>
        <w:tc>
          <w:tcPr>
            <w:tcW w:w="2740" w:type="dxa"/>
            <w:vAlign w:val="bottom"/>
          </w:tcPr>
          <w:p>
            <w:pPr>
              <w:jc w:val="center"/>
              <w:ind w:right="356"/>
              <w:spacing w:after="0"/>
              <w:rPr>
                <w:sz w:val="20"/>
                <w:szCs w:val="20"/>
                <w:color w:val="auto"/>
              </w:rPr>
            </w:pPr>
            <w:r>
              <w:rPr>
                <w:rFonts w:ascii="Arial" w:cs="Arial" w:eastAsia="Arial" w:hAnsi="Arial"/>
                <w:sz w:val="13"/>
                <w:szCs w:val="13"/>
                <w:color w:val="auto"/>
                <w:w w:val="98"/>
              </w:rPr>
              <w:t>Noncontrolling Interest Share of</w:t>
            </w:r>
          </w:p>
        </w:tc>
        <w:tc>
          <w:tcPr>
            <w:tcW w:w="2100" w:type="dxa"/>
            <w:vAlign w:val="bottom"/>
          </w:tcPr>
          <w:p>
            <w:pPr>
              <w:jc w:val="center"/>
              <w:ind w:left="376"/>
              <w:spacing w:after="0"/>
              <w:rPr>
                <w:sz w:val="20"/>
                <w:szCs w:val="20"/>
                <w:color w:val="auto"/>
              </w:rPr>
            </w:pPr>
            <w:r>
              <w:rPr>
                <w:rFonts w:ascii="Arial" w:cs="Arial" w:eastAsia="Arial" w:hAnsi="Arial"/>
                <w:sz w:val="13"/>
                <w:szCs w:val="13"/>
                <w:color w:val="auto"/>
                <w:w w:val="98"/>
              </w:rPr>
              <w:t>Our Share of Unconsolidated</w:t>
            </w:r>
          </w:p>
        </w:tc>
      </w:tr>
      <w:tr>
        <w:trPr>
          <w:trHeight w:val="169"/>
        </w:trPr>
        <w:tc>
          <w:tcPr>
            <w:tcW w:w="2740" w:type="dxa"/>
            <w:vAlign w:val="bottom"/>
          </w:tcPr>
          <w:p>
            <w:pPr>
              <w:jc w:val="center"/>
              <w:ind w:right="356"/>
              <w:spacing w:after="0"/>
              <w:rPr>
                <w:sz w:val="20"/>
                <w:szCs w:val="20"/>
                <w:color w:val="auto"/>
              </w:rPr>
            </w:pPr>
            <w:r>
              <w:rPr>
                <w:rFonts w:ascii="Arial" w:cs="Arial" w:eastAsia="Arial" w:hAnsi="Arial"/>
                <w:sz w:val="13"/>
                <w:szCs w:val="13"/>
                <w:color w:val="auto"/>
                <w:w w:val="99"/>
              </w:rPr>
              <w:t>Consolidated Real Estate Joint Ventures</w:t>
            </w:r>
          </w:p>
        </w:tc>
        <w:tc>
          <w:tcPr>
            <w:tcW w:w="2100" w:type="dxa"/>
            <w:vAlign w:val="bottom"/>
          </w:tcPr>
          <w:p>
            <w:pPr>
              <w:jc w:val="center"/>
              <w:ind w:left="356"/>
              <w:spacing w:after="0"/>
              <w:rPr>
                <w:sz w:val="20"/>
                <w:szCs w:val="20"/>
                <w:color w:val="auto"/>
              </w:rPr>
            </w:pPr>
            <w:r>
              <w:rPr>
                <w:rFonts w:ascii="Arial" w:cs="Arial" w:eastAsia="Arial" w:hAnsi="Arial"/>
                <w:sz w:val="13"/>
                <w:szCs w:val="13"/>
                <w:color w:val="auto"/>
                <w:w w:val="98"/>
              </w:rPr>
              <w:t>Real Estate Joint Ventures</w:t>
            </w:r>
          </w:p>
        </w:tc>
      </w:tr>
      <w:tr>
        <w:trPr>
          <w:trHeight w:val="204"/>
        </w:trPr>
        <w:tc>
          <w:tcPr>
            <w:tcW w:w="2740" w:type="dxa"/>
            <w:vAlign w:val="bottom"/>
          </w:tcPr>
          <w:p>
            <w:pPr>
              <w:jc w:val="center"/>
              <w:ind w:right="336"/>
              <w:spacing w:after="0"/>
              <w:rPr>
                <w:sz w:val="20"/>
                <w:szCs w:val="20"/>
                <w:color w:val="auto"/>
              </w:rPr>
            </w:pPr>
            <w:r>
              <w:rPr>
                <w:rFonts w:ascii="Arial" w:cs="Arial" w:eastAsia="Arial" w:hAnsi="Arial"/>
                <w:sz w:val="13"/>
                <w:szCs w:val="13"/>
                <w:color w:val="auto"/>
                <w:w w:val="99"/>
              </w:rPr>
              <w:t>June 30, 2024</w:t>
            </w:r>
          </w:p>
        </w:tc>
        <w:tc>
          <w:tcPr>
            <w:tcW w:w="2100" w:type="dxa"/>
            <w:vAlign w:val="bottom"/>
          </w:tcPr>
          <w:p>
            <w:pPr>
              <w:jc w:val="center"/>
              <w:ind w:left="376"/>
              <w:spacing w:after="0"/>
              <w:rPr>
                <w:sz w:val="20"/>
                <w:szCs w:val="20"/>
                <w:color w:val="auto"/>
              </w:rPr>
            </w:pPr>
            <w:r>
              <w:rPr>
                <w:rFonts w:ascii="Arial" w:cs="Arial" w:eastAsia="Arial" w:hAnsi="Arial"/>
                <w:sz w:val="13"/>
                <w:szCs w:val="13"/>
                <w:color w:val="auto"/>
                <w:w w:val="99"/>
              </w:rPr>
              <w:t>June 30, 2024</w:t>
            </w:r>
          </w:p>
        </w:tc>
      </w:tr>
    </w:tbl>
    <w:p>
      <w:pPr>
        <w:sectPr>
          <w:pgSz w:w="11900" w:h="16854" w:orient="portrait"/>
          <w:cols w:equalWidth="0" w:num="1">
            <w:col w:w="9019"/>
          </w:cols>
          <w:pgMar w:left="1440" w:top="301" w:right="1440" w:bottom="0" w:gutter="0" w:footer="0" w:header="0"/>
        </w:sectPr>
      </w:pPr>
    </w:p>
    <w:bookmarkStart w:id="56" w:name="page57"/>
    <w:bookmarkEnd w:id="56"/>
    <w:p>
      <w:pPr>
        <w:spacing w:after="0" w:line="3" w:lineRule="exact"/>
        <w:rPr>
          <w:sz w:val="20"/>
          <w:szCs w:val="20"/>
          <w:color w:val="auto"/>
        </w:rPr>
      </w:pPr>
    </w:p>
    <w:tbl>
      <w:tblPr>
        <w:tblLayout w:type="fixed"/>
        <w:tblInd w:w="640" w:type="dxa"/>
        <w:tblCellMar>
          <w:top w:w="0" w:type="dxa"/>
          <w:left w:w="0" w:type="dxa"/>
          <w:bottom w:w="0" w:type="dxa"/>
          <w:right w:w="0" w:type="dxa"/>
        </w:tblCellMar>
      </w:tblPr>
      <w:tr>
        <w:trPr>
          <w:trHeight w:val="169"/>
        </w:trPr>
        <w:tc>
          <w:tcPr>
            <w:tcW w:w="2200" w:type="dxa"/>
            <w:vAlign w:val="bottom"/>
          </w:tcPr>
          <w:p>
            <w:pPr>
              <w:spacing w:after="0"/>
              <w:rPr>
                <w:sz w:val="14"/>
                <w:szCs w:val="14"/>
                <w:color w:val="auto"/>
              </w:rPr>
            </w:pPr>
          </w:p>
        </w:tc>
        <w:tc>
          <w:tcPr>
            <w:tcW w:w="1360" w:type="dxa"/>
            <w:vAlign w:val="bottom"/>
            <w:gridSpan w:val="3"/>
          </w:tcPr>
          <w:p>
            <w:pPr>
              <w:ind w:left="80"/>
              <w:spacing w:after="0"/>
              <w:rPr>
                <w:sz w:val="20"/>
                <w:szCs w:val="20"/>
                <w:color w:val="auto"/>
              </w:rPr>
            </w:pPr>
            <w:r>
              <w:rPr>
                <w:rFonts w:ascii="Arial" w:cs="Arial" w:eastAsia="Arial" w:hAnsi="Arial"/>
                <w:sz w:val="13"/>
                <w:szCs w:val="13"/>
                <w:color w:val="auto"/>
              </w:rPr>
              <w:t>Three Months Ended</w:t>
            </w:r>
          </w:p>
        </w:tc>
        <w:tc>
          <w:tcPr>
            <w:tcW w:w="140" w:type="dxa"/>
            <w:vAlign w:val="bottom"/>
          </w:tcPr>
          <w:p>
            <w:pPr>
              <w:spacing w:after="0"/>
              <w:rPr>
                <w:sz w:val="14"/>
                <w:szCs w:val="14"/>
                <w:color w:val="auto"/>
              </w:rPr>
            </w:pPr>
          </w:p>
        </w:tc>
        <w:tc>
          <w:tcPr>
            <w:tcW w:w="1340" w:type="dxa"/>
            <w:vAlign w:val="bottom"/>
            <w:gridSpan w:val="2"/>
          </w:tcPr>
          <w:p>
            <w:pPr>
              <w:ind w:left="20"/>
              <w:spacing w:after="0"/>
              <w:rPr>
                <w:sz w:val="20"/>
                <w:szCs w:val="20"/>
                <w:color w:val="auto"/>
              </w:rPr>
            </w:pPr>
            <w:r>
              <w:rPr>
                <w:rFonts w:ascii="Arial" w:cs="Arial" w:eastAsia="Arial" w:hAnsi="Arial"/>
                <w:sz w:val="13"/>
                <w:szCs w:val="13"/>
                <w:color w:val="auto"/>
              </w:rPr>
              <w:t>Six Months Ended</w:t>
            </w:r>
          </w:p>
        </w:tc>
        <w:tc>
          <w:tcPr>
            <w:tcW w:w="1360" w:type="dxa"/>
            <w:vAlign w:val="bottom"/>
            <w:gridSpan w:val="3"/>
          </w:tcPr>
          <w:p>
            <w:pPr>
              <w:ind w:left="60"/>
              <w:spacing w:after="0"/>
              <w:rPr>
                <w:sz w:val="20"/>
                <w:szCs w:val="20"/>
                <w:color w:val="auto"/>
              </w:rPr>
            </w:pPr>
            <w:r>
              <w:rPr>
                <w:rFonts w:ascii="Arial" w:cs="Arial" w:eastAsia="Arial" w:hAnsi="Arial"/>
                <w:sz w:val="13"/>
                <w:szCs w:val="13"/>
                <w:color w:val="auto"/>
              </w:rPr>
              <w:t>Three Months Ended</w:t>
            </w:r>
          </w:p>
        </w:tc>
        <w:tc>
          <w:tcPr>
            <w:tcW w:w="140" w:type="dxa"/>
            <w:vAlign w:val="bottom"/>
          </w:tcPr>
          <w:p>
            <w:pPr>
              <w:spacing w:after="0"/>
              <w:rPr>
                <w:sz w:val="14"/>
                <w:szCs w:val="14"/>
                <w:color w:val="auto"/>
              </w:rPr>
            </w:pPr>
          </w:p>
        </w:tc>
        <w:tc>
          <w:tcPr>
            <w:tcW w:w="1200" w:type="dxa"/>
            <w:vAlign w:val="bottom"/>
          </w:tcPr>
          <w:p>
            <w:pPr>
              <w:jc w:val="right"/>
              <w:ind w:right="76"/>
              <w:spacing w:after="0"/>
              <w:rPr>
                <w:sz w:val="20"/>
                <w:szCs w:val="20"/>
                <w:color w:val="auto"/>
              </w:rPr>
            </w:pPr>
            <w:r>
              <w:rPr>
                <w:rFonts w:ascii="Arial" w:cs="Arial" w:eastAsia="Arial" w:hAnsi="Arial"/>
                <w:sz w:val="13"/>
                <w:szCs w:val="13"/>
                <w:color w:val="auto"/>
                <w:w w:val="98"/>
              </w:rPr>
              <w:t>Six Months Ended</w:t>
            </w:r>
          </w:p>
        </w:tc>
        <w:tc>
          <w:tcPr>
            <w:tcW w:w="0" w:type="dxa"/>
            <w:vAlign w:val="bottom"/>
          </w:tcPr>
          <w:p>
            <w:pPr>
              <w:spacing w:after="0"/>
              <w:rPr>
                <w:sz w:val="1"/>
                <w:szCs w:val="1"/>
                <w:color w:val="auto"/>
              </w:rPr>
            </w:pPr>
          </w:p>
        </w:tc>
      </w:tr>
      <w:tr>
        <w:trPr>
          <w:trHeight w:val="183"/>
        </w:trPr>
        <w:tc>
          <w:tcPr>
            <w:tcW w:w="2200" w:type="dxa"/>
            <w:vAlign w:val="bottom"/>
          </w:tcPr>
          <w:p>
            <w:pPr>
              <w:ind w:left="40"/>
              <w:spacing w:after="0"/>
              <w:rPr>
                <w:sz w:val="20"/>
                <w:szCs w:val="20"/>
                <w:color w:val="auto"/>
              </w:rPr>
            </w:pPr>
            <w:r>
              <w:rPr>
                <w:rFonts w:ascii="Arial" w:cs="Arial" w:eastAsia="Arial" w:hAnsi="Arial"/>
                <w:sz w:val="13"/>
                <w:szCs w:val="13"/>
                <w:color w:val="auto"/>
              </w:rPr>
              <w:t>Total revenues</w:t>
            </w:r>
          </w:p>
        </w:tc>
        <w:tc>
          <w:tcPr>
            <w:tcW w:w="46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111,210</w:t>
            </w: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222,307</w:t>
            </w:r>
          </w:p>
        </w:tc>
        <w:tc>
          <w:tcPr>
            <w:tcW w:w="160" w:type="dxa"/>
            <w:vAlign w:val="bottom"/>
          </w:tcPr>
          <w:p>
            <w:pPr>
              <w:spacing w:after="0"/>
              <w:rPr>
                <w:sz w:val="15"/>
                <w:szCs w:val="15"/>
                <w:color w:val="auto"/>
              </w:rPr>
            </w:pPr>
          </w:p>
        </w:tc>
        <w:tc>
          <w:tcPr>
            <w:tcW w:w="52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3,156</w:t>
            </w: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6,331</w:t>
            </w:r>
          </w:p>
        </w:tc>
        <w:tc>
          <w:tcPr>
            <w:tcW w:w="0" w:type="dxa"/>
            <w:vAlign w:val="bottom"/>
          </w:tcPr>
          <w:p>
            <w:pPr>
              <w:spacing w:after="0"/>
              <w:rPr>
                <w:sz w:val="1"/>
                <w:szCs w:val="1"/>
                <w:color w:val="auto"/>
              </w:rPr>
            </w:pPr>
          </w:p>
        </w:tc>
      </w:tr>
      <w:tr>
        <w:trPr>
          <w:trHeight w:val="163"/>
        </w:trPr>
        <w:tc>
          <w:tcPr>
            <w:tcW w:w="2200" w:type="dxa"/>
            <w:vAlign w:val="bottom"/>
          </w:tcPr>
          <w:p>
            <w:pPr>
              <w:ind w:left="40"/>
              <w:spacing w:after="0"/>
              <w:rPr>
                <w:sz w:val="20"/>
                <w:szCs w:val="20"/>
                <w:color w:val="auto"/>
              </w:rPr>
            </w:pPr>
            <w:r>
              <w:rPr>
                <w:rFonts w:ascii="Arial" w:cs="Arial" w:eastAsia="Arial" w:hAnsi="Arial"/>
                <w:sz w:val="13"/>
                <w:szCs w:val="13"/>
                <w:color w:val="auto"/>
              </w:rPr>
              <w:t>Rental operations</w:t>
            </w:r>
          </w:p>
        </w:tc>
        <w:tc>
          <w:tcPr>
            <w:tcW w:w="4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(31,443)</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(62,312)</w:t>
            </w: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(995)</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(2,019)</w:t>
            </w:r>
          </w:p>
        </w:tc>
        <w:tc>
          <w:tcPr>
            <w:tcW w:w="0" w:type="dxa"/>
            <w:vAlign w:val="bottom"/>
          </w:tcPr>
          <w:p>
            <w:pPr>
              <w:spacing w:after="0"/>
              <w:rPr>
                <w:sz w:val="1"/>
                <w:szCs w:val="1"/>
                <w:color w:val="auto"/>
              </w:rPr>
            </w:pPr>
          </w:p>
        </w:tc>
      </w:tr>
      <w:tr>
        <w:trPr>
          <w:trHeight w:val="24"/>
        </w:trPr>
        <w:tc>
          <w:tcPr>
            <w:tcW w:w="22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2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79,767</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159,995</w:t>
            </w: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2,161</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4,312</w:t>
            </w:r>
          </w:p>
        </w:tc>
        <w:tc>
          <w:tcPr>
            <w:tcW w:w="0" w:type="dxa"/>
            <w:vAlign w:val="bottom"/>
          </w:tcPr>
          <w:p>
            <w:pPr>
              <w:spacing w:after="0"/>
              <w:rPr>
                <w:sz w:val="1"/>
                <w:szCs w:val="1"/>
                <w:color w:val="auto"/>
              </w:rPr>
            </w:pPr>
          </w:p>
        </w:tc>
      </w:tr>
      <w:tr>
        <w:trPr>
          <w:trHeight w:val="25"/>
        </w:trPr>
        <w:tc>
          <w:tcPr>
            <w:tcW w:w="22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200" w:type="dxa"/>
            <w:vAlign w:val="bottom"/>
            <w:shd w:val="clear" w:color="auto" w:fill="CCEEFF"/>
          </w:tcPr>
          <w:p>
            <w:pPr>
              <w:ind w:left="40"/>
              <w:spacing w:after="0"/>
              <w:rPr>
                <w:sz w:val="20"/>
                <w:szCs w:val="20"/>
                <w:color w:val="auto"/>
              </w:rPr>
            </w:pPr>
            <w:r>
              <w:rPr>
                <w:rFonts w:ascii="Arial" w:cs="Arial" w:eastAsia="Arial" w:hAnsi="Arial"/>
                <w:sz w:val="13"/>
                <w:szCs w:val="13"/>
                <w:color w:val="auto"/>
              </w:rPr>
              <w:t>General and administrative</w:t>
            </w:r>
          </w:p>
        </w:tc>
        <w:tc>
          <w:tcPr>
            <w:tcW w:w="4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(1,004)</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(1,682)</w:t>
            </w: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w:t>
            </w:r>
          </w:p>
        </w:tc>
        <w:tc>
          <w:tcPr>
            <w:tcW w:w="0" w:type="dxa"/>
            <w:vAlign w:val="bottom"/>
          </w:tcPr>
          <w:p>
            <w:pPr>
              <w:spacing w:after="0"/>
              <w:rPr>
                <w:sz w:val="1"/>
                <w:szCs w:val="1"/>
                <w:color w:val="auto"/>
              </w:rPr>
            </w:pPr>
          </w:p>
        </w:tc>
      </w:tr>
      <w:tr>
        <w:trPr>
          <w:trHeight w:val="173"/>
        </w:trPr>
        <w:tc>
          <w:tcPr>
            <w:tcW w:w="2200" w:type="dxa"/>
            <w:vAlign w:val="bottom"/>
          </w:tcPr>
          <w:p>
            <w:pPr>
              <w:ind w:left="40"/>
              <w:spacing w:after="0"/>
              <w:rPr>
                <w:sz w:val="20"/>
                <w:szCs w:val="20"/>
                <w:color w:val="auto"/>
              </w:rPr>
            </w:pPr>
            <w:r>
              <w:rPr>
                <w:rFonts w:ascii="Arial" w:cs="Arial" w:eastAsia="Arial" w:hAnsi="Arial"/>
                <w:sz w:val="13"/>
                <w:szCs w:val="13"/>
                <w:color w:val="auto"/>
              </w:rPr>
              <w:t>Interest</w:t>
            </w:r>
          </w:p>
        </w:tc>
        <w:tc>
          <w:tcPr>
            <w:tcW w:w="4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(253)</w:t>
            </w:r>
          </w:p>
        </w:tc>
        <w:tc>
          <w:tcPr>
            <w:tcW w:w="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(469)</w:t>
            </w:r>
          </w:p>
        </w:tc>
        <w:tc>
          <w:tcPr>
            <w:tcW w:w="16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(933)</w:t>
            </w:r>
          </w:p>
        </w:tc>
        <w:tc>
          <w:tcPr>
            <w:tcW w:w="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(1,855)</w:t>
            </w:r>
          </w:p>
        </w:tc>
        <w:tc>
          <w:tcPr>
            <w:tcW w:w="0" w:type="dxa"/>
            <w:vAlign w:val="bottom"/>
          </w:tcPr>
          <w:p>
            <w:pPr>
              <w:spacing w:after="0"/>
              <w:rPr>
                <w:sz w:val="1"/>
                <w:szCs w:val="1"/>
                <w:color w:val="auto"/>
              </w:rPr>
            </w:pPr>
          </w:p>
        </w:tc>
      </w:tr>
      <w:tr>
        <w:trPr>
          <w:trHeight w:val="108"/>
        </w:trPr>
        <w:tc>
          <w:tcPr>
            <w:tcW w:w="2200" w:type="dxa"/>
            <w:vAlign w:val="bottom"/>
          </w:tcPr>
          <w:p>
            <w:pPr>
              <w:ind w:left="40"/>
              <w:spacing w:after="0" w:line="108" w:lineRule="exact"/>
              <w:rPr>
                <w:sz w:val="20"/>
                <w:szCs w:val="20"/>
                <w:color w:val="auto"/>
              </w:rPr>
            </w:pPr>
            <w:r>
              <w:rPr>
                <w:rFonts w:ascii="Arial" w:cs="Arial" w:eastAsia="Arial" w:hAnsi="Arial"/>
                <w:sz w:val="12"/>
                <w:szCs w:val="12"/>
                <w:color w:val="auto"/>
              </w:rPr>
              <w:t>Depreciation and amortization of real</w:t>
            </w:r>
          </w:p>
        </w:tc>
        <w:tc>
          <w:tcPr>
            <w:tcW w:w="4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200" w:type="dxa"/>
            <w:vAlign w:val="bottom"/>
          </w:tcPr>
          <w:p>
            <w:pPr>
              <w:ind w:left="160"/>
              <w:spacing w:after="0"/>
              <w:rPr>
                <w:sz w:val="20"/>
                <w:szCs w:val="20"/>
                <w:color w:val="auto"/>
              </w:rPr>
            </w:pPr>
            <w:r>
              <w:rPr>
                <w:rFonts w:ascii="Arial" w:cs="Arial" w:eastAsia="Arial" w:hAnsi="Arial"/>
                <w:sz w:val="13"/>
                <w:szCs w:val="13"/>
                <w:color w:val="auto"/>
              </w:rPr>
              <w:t>estate assets</w:t>
            </w:r>
          </w:p>
        </w:tc>
        <w:tc>
          <w:tcPr>
            <w:tcW w:w="4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(31,364)</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(62,268)</w:t>
            </w: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(1,068)</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(2,102)</w:t>
            </w:r>
          </w:p>
        </w:tc>
        <w:tc>
          <w:tcPr>
            <w:tcW w:w="0" w:type="dxa"/>
            <w:vAlign w:val="bottom"/>
          </w:tcPr>
          <w:p>
            <w:pPr>
              <w:spacing w:after="0"/>
              <w:rPr>
                <w:sz w:val="1"/>
                <w:szCs w:val="1"/>
                <w:color w:val="auto"/>
              </w:rPr>
            </w:pPr>
          </w:p>
        </w:tc>
      </w:tr>
      <w:tr>
        <w:trPr>
          <w:trHeight w:val="164"/>
        </w:trPr>
        <w:tc>
          <w:tcPr>
            <w:tcW w:w="2200" w:type="dxa"/>
            <w:vAlign w:val="bottom"/>
          </w:tcPr>
          <w:p>
            <w:pPr>
              <w:ind w:left="40"/>
              <w:spacing w:after="0"/>
              <w:rPr>
                <w:sz w:val="20"/>
                <w:szCs w:val="20"/>
                <w:color w:val="auto"/>
              </w:rPr>
            </w:pPr>
            <w:r>
              <w:rPr>
                <w:rFonts w:ascii="Arial" w:cs="Arial" w:eastAsia="Arial" w:hAnsi="Arial"/>
                <w:sz w:val="13"/>
                <w:szCs w:val="13"/>
                <w:color w:val="auto"/>
              </w:rPr>
              <w:t>Fixed returns allocated to</w:t>
            </w:r>
          </w:p>
        </w:tc>
        <w:tc>
          <w:tcPr>
            <w:tcW w:w="4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200" w:type="dxa"/>
            <w:vAlign w:val="bottom"/>
          </w:tcPr>
          <w:p>
            <w:pPr>
              <w:ind w:left="160"/>
              <w:spacing w:after="0" w:line="129" w:lineRule="exact"/>
              <w:rPr>
                <w:sz w:val="20"/>
                <w:szCs w:val="20"/>
                <w:color w:val="auto"/>
              </w:rPr>
            </w:pPr>
            <w:r>
              <w:rPr>
                <w:rFonts w:ascii="Arial" w:cs="Arial" w:eastAsia="Arial" w:hAnsi="Arial"/>
                <w:sz w:val="13"/>
                <w:szCs w:val="13"/>
                <w:color w:val="auto"/>
              </w:rPr>
              <w:t>redeemable noncontrolling</w:t>
            </w:r>
          </w:p>
        </w:tc>
        <w:tc>
          <w:tcPr>
            <w:tcW w:w="46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201</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vMerge w:val="restart"/>
          </w:tcPr>
          <w:p>
            <w:pPr>
              <w:jc w:val="right"/>
              <w:spacing w:after="0"/>
              <w:rPr>
                <w:sz w:val="20"/>
                <w:szCs w:val="20"/>
                <w:color w:val="auto"/>
              </w:rPr>
            </w:pPr>
            <w:r>
              <w:rPr>
                <w:rFonts w:ascii="Arial" w:cs="Arial" w:eastAsia="Arial" w:hAnsi="Arial"/>
                <w:sz w:val="13"/>
                <w:szCs w:val="13"/>
                <w:color w:val="auto"/>
              </w:rPr>
              <w:t>402</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gridSpan w:val="2"/>
            <w:vMerge w:val="restart"/>
          </w:tcPr>
          <w:p>
            <w:pPr>
              <w:jc w:val="right"/>
              <w:ind w:right="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2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2200" w:type="dxa"/>
            <w:vAlign w:val="bottom"/>
          </w:tcPr>
          <w:p>
            <w:pPr>
              <w:ind w:left="160"/>
              <w:spacing w:after="0" w:line="183" w:lineRule="exact"/>
              <w:rPr>
                <w:sz w:val="20"/>
                <w:szCs w:val="20"/>
                <w:color w:val="auto"/>
              </w:rPr>
            </w:pPr>
            <w:r>
              <w:rPr>
                <w:rFonts w:ascii="Arial" w:cs="Arial" w:eastAsia="Arial" w:hAnsi="Arial"/>
                <w:sz w:val="13"/>
                <w:szCs w:val="13"/>
                <w:color w:val="auto"/>
              </w:rPr>
              <w:t>interests</w:t>
            </w:r>
            <w:r>
              <w:rPr>
                <w:rFonts w:ascii="Arial" w:cs="Arial" w:eastAsia="Arial" w:hAnsi="Arial"/>
                <w:sz w:val="16"/>
                <w:szCs w:val="16"/>
                <w:color w:val="auto"/>
                <w:vertAlign w:val="superscript"/>
              </w:rPr>
              <w:t>(1)</w:t>
            </w:r>
          </w:p>
        </w:tc>
        <w:tc>
          <w:tcPr>
            <w:tcW w:w="46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200" w:type="dxa"/>
            <w:vAlign w:val="bottom"/>
            <w:vMerge w:val="restart"/>
          </w:tcPr>
          <w:p>
            <w:pPr>
              <w:ind w:left="40"/>
              <w:spacing w:after="0"/>
              <w:rPr>
                <w:sz w:val="20"/>
                <w:szCs w:val="20"/>
                <w:color w:val="auto"/>
              </w:rPr>
            </w:pPr>
            <w:r>
              <w:rPr>
                <w:rFonts w:ascii="Arial" w:cs="Arial" w:eastAsia="Arial" w:hAnsi="Arial"/>
                <w:sz w:val="13"/>
                <w:szCs w:val="13"/>
                <w:color w:val="auto"/>
              </w:rPr>
              <w:t>Straight-line rent and below-market</w:t>
            </w:r>
          </w:p>
        </w:tc>
        <w:tc>
          <w:tcPr>
            <w:tcW w:w="460" w:type="dxa"/>
            <w:vAlign w:val="bottom"/>
          </w:tcPr>
          <w:p>
            <w:pPr>
              <w:jc w:val="right"/>
              <w:ind w:right="296"/>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47,347</w:t>
            </w:r>
          </w:p>
        </w:tc>
        <w:tc>
          <w:tcPr>
            <w:tcW w:w="4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1180" w:type="dxa"/>
            <w:vAlign w:val="bottom"/>
          </w:tcPr>
          <w:p>
            <w:pPr>
              <w:jc w:val="right"/>
              <w:spacing w:after="0"/>
              <w:rPr>
                <w:sz w:val="20"/>
                <w:szCs w:val="20"/>
                <w:color w:val="auto"/>
              </w:rPr>
            </w:pPr>
            <w:r>
              <w:rPr>
                <w:rFonts w:ascii="Arial" w:cs="Arial" w:eastAsia="Arial" w:hAnsi="Arial"/>
                <w:sz w:val="13"/>
                <w:szCs w:val="13"/>
                <w:color w:val="auto"/>
              </w:rPr>
              <w:t>95,978</w:t>
            </w:r>
          </w:p>
        </w:tc>
        <w:tc>
          <w:tcPr>
            <w:tcW w:w="160" w:type="dxa"/>
            <w:vAlign w:val="bottom"/>
          </w:tcPr>
          <w:p>
            <w:pPr>
              <w:spacing w:after="0"/>
              <w:rPr>
                <w:sz w:val="14"/>
                <w:szCs w:val="14"/>
                <w:color w:val="auto"/>
              </w:rPr>
            </w:pPr>
          </w:p>
        </w:tc>
        <w:tc>
          <w:tcPr>
            <w:tcW w:w="520" w:type="dxa"/>
            <w:vAlign w:val="bottom"/>
          </w:tcPr>
          <w:p>
            <w:pPr>
              <w:jc w:val="right"/>
              <w:ind w:right="336"/>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130</w:t>
            </w:r>
          </w:p>
        </w:tc>
        <w:tc>
          <w:tcPr>
            <w:tcW w:w="4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285</w:t>
            </w:r>
          </w:p>
        </w:tc>
        <w:tc>
          <w:tcPr>
            <w:tcW w:w="0" w:type="dxa"/>
            <w:vAlign w:val="bottom"/>
          </w:tcPr>
          <w:p>
            <w:pPr>
              <w:spacing w:after="0"/>
              <w:rPr>
                <w:sz w:val="1"/>
                <w:szCs w:val="1"/>
                <w:color w:val="auto"/>
              </w:rPr>
            </w:pPr>
          </w:p>
        </w:tc>
      </w:tr>
      <w:tr>
        <w:trPr>
          <w:trHeight w:val="164"/>
        </w:trPr>
        <w:tc>
          <w:tcPr>
            <w:tcW w:w="2200" w:type="dxa"/>
            <w:vAlign w:val="bottom"/>
            <w:vMerge w:val="continue"/>
          </w:tcPr>
          <w:p>
            <w:pPr>
              <w:spacing w:after="0"/>
              <w:rPr>
                <w:sz w:val="14"/>
                <w:szCs w:val="14"/>
                <w:color w:val="auto"/>
              </w:rPr>
            </w:pPr>
          </w:p>
        </w:tc>
        <w:tc>
          <w:tcPr>
            <w:tcW w:w="460" w:type="dxa"/>
            <w:vAlign w:val="bottom"/>
            <w:vMerge w:val="restart"/>
          </w:tcPr>
          <w:p>
            <w:pPr>
              <w:jc w:val="right"/>
              <w:ind w:right="296"/>
              <w:spacing w:after="0"/>
              <w:rPr>
                <w:sz w:val="20"/>
                <w:szCs w:val="20"/>
                <w:color w:val="auto"/>
              </w:rPr>
            </w:pPr>
            <w:r>
              <w:rPr>
                <w:rFonts w:ascii="Arial" w:cs="Arial" w:eastAsia="Arial" w:hAnsi="Arial"/>
                <w:sz w:val="13"/>
                <w:szCs w:val="13"/>
                <w:color w:val="auto"/>
              </w:rPr>
              <w:t>$</w:t>
            </w: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6,225</w:t>
            </w:r>
          </w:p>
        </w:tc>
        <w:tc>
          <w:tcPr>
            <w:tcW w:w="4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180" w:type="dxa"/>
            <w:vAlign w:val="bottom"/>
            <w:vMerge w:val="restart"/>
          </w:tcPr>
          <w:p>
            <w:pPr>
              <w:jc w:val="right"/>
              <w:spacing w:after="0"/>
              <w:rPr>
                <w:sz w:val="20"/>
                <w:szCs w:val="20"/>
                <w:color w:val="auto"/>
              </w:rPr>
            </w:pPr>
            <w:r>
              <w:rPr>
                <w:rFonts w:ascii="Arial" w:cs="Arial" w:eastAsia="Arial" w:hAnsi="Arial"/>
                <w:sz w:val="13"/>
                <w:szCs w:val="13"/>
                <w:color w:val="auto"/>
              </w:rPr>
              <w:t>15,534</w:t>
            </w:r>
          </w:p>
        </w:tc>
        <w:tc>
          <w:tcPr>
            <w:tcW w:w="160" w:type="dxa"/>
            <w:vAlign w:val="bottom"/>
          </w:tcPr>
          <w:p>
            <w:pPr>
              <w:spacing w:after="0"/>
              <w:rPr>
                <w:sz w:val="14"/>
                <w:szCs w:val="14"/>
                <w:color w:val="auto"/>
              </w:rPr>
            </w:pPr>
          </w:p>
        </w:tc>
        <w:tc>
          <w:tcPr>
            <w:tcW w:w="520" w:type="dxa"/>
            <w:vAlign w:val="bottom"/>
            <w:vMerge w:val="restart"/>
          </w:tcPr>
          <w:p>
            <w:pPr>
              <w:jc w:val="right"/>
              <w:ind w:right="336"/>
              <w:spacing w:after="0"/>
              <w:rPr>
                <w:sz w:val="20"/>
                <w:szCs w:val="20"/>
                <w:color w:val="auto"/>
              </w:rPr>
            </w:pPr>
            <w:r>
              <w:rPr>
                <w:rFonts w:ascii="Arial" w:cs="Arial" w:eastAsia="Arial" w:hAnsi="Arial"/>
                <w:sz w:val="13"/>
                <w:szCs w:val="13"/>
                <w:color w:val="auto"/>
              </w:rPr>
              <w:t>$</w:t>
            </w: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248</w:t>
            </w:r>
          </w:p>
        </w:tc>
        <w:tc>
          <w:tcPr>
            <w:tcW w:w="4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0" w:type="dxa"/>
            <w:vAlign w:val="bottom"/>
            <w:vMerge w:val="restart"/>
          </w:tcPr>
          <w:p>
            <w:pPr>
              <w:jc w:val="right"/>
              <w:spacing w:after="0"/>
              <w:rPr>
                <w:sz w:val="20"/>
                <w:szCs w:val="20"/>
                <w:color w:val="auto"/>
              </w:rPr>
            </w:pPr>
            <w:r>
              <w:rPr>
                <w:rFonts w:ascii="Arial" w:cs="Arial" w:eastAsia="Arial" w:hAnsi="Arial"/>
                <w:sz w:val="13"/>
                <w:szCs w:val="13"/>
                <w:color w:val="auto"/>
              </w:rPr>
              <w:t>530</w:t>
            </w:r>
          </w:p>
        </w:tc>
        <w:tc>
          <w:tcPr>
            <w:tcW w:w="0" w:type="dxa"/>
            <w:vAlign w:val="bottom"/>
          </w:tcPr>
          <w:p>
            <w:pPr>
              <w:spacing w:after="0"/>
              <w:rPr>
                <w:sz w:val="1"/>
                <w:szCs w:val="1"/>
                <w:color w:val="auto"/>
              </w:rPr>
            </w:pPr>
          </w:p>
        </w:tc>
      </w:tr>
      <w:tr>
        <w:trPr>
          <w:trHeight w:val="169"/>
        </w:trPr>
        <w:tc>
          <w:tcPr>
            <w:tcW w:w="2200" w:type="dxa"/>
            <w:vAlign w:val="bottom"/>
          </w:tcPr>
          <w:p>
            <w:pPr>
              <w:ind w:left="160"/>
              <w:spacing w:after="0"/>
              <w:rPr>
                <w:sz w:val="20"/>
                <w:szCs w:val="20"/>
                <w:color w:val="auto"/>
              </w:rPr>
            </w:pPr>
            <w:r>
              <w:rPr>
                <w:rFonts w:ascii="Arial" w:cs="Arial" w:eastAsia="Arial" w:hAnsi="Arial"/>
                <w:sz w:val="13"/>
                <w:szCs w:val="13"/>
                <w:color w:val="auto"/>
              </w:rPr>
              <w:t>lease revenue</w:t>
            </w:r>
          </w:p>
        </w:tc>
        <w:tc>
          <w:tcPr>
            <w:tcW w:w="46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200" w:type="dxa"/>
            <w:vAlign w:val="bottom"/>
          </w:tcPr>
          <w:p>
            <w:pPr>
              <w:ind w:left="40"/>
              <w:spacing w:after="0"/>
              <w:rPr>
                <w:sz w:val="20"/>
                <w:szCs w:val="20"/>
                <w:color w:val="auto"/>
              </w:rPr>
            </w:pPr>
            <w:r>
              <w:rPr>
                <w:rFonts w:ascii="Arial" w:cs="Arial" w:eastAsia="Arial" w:hAnsi="Arial"/>
                <w:sz w:val="13"/>
                <w:szCs w:val="13"/>
                <w:color w:val="auto"/>
              </w:rPr>
              <w:t>Funds from operations</w:t>
            </w:r>
            <w:r>
              <w:rPr>
                <w:rFonts w:ascii="Arial" w:cs="Arial" w:eastAsia="Arial" w:hAnsi="Arial"/>
                <w:sz w:val="16"/>
                <w:szCs w:val="16"/>
                <w:color w:val="auto"/>
                <w:vertAlign w:val="superscript"/>
              </w:rPr>
              <w:t>(2)</w:t>
            </w:r>
          </w:p>
        </w:tc>
        <w:tc>
          <w:tcPr>
            <w:tcW w:w="460" w:type="dxa"/>
            <w:vAlign w:val="bottom"/>
          </w:tcPr>
          <w:p>
            <w:pPr>
              <w:jc w:val="right"/>
              <w:ind w:right="296"/>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78,711</w:t>
            </w:r>
          </w:p>
        </w:tc>
        <w:tc>
          <w:tcPr>
            <w:tcW w:w="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1180" w:type="dxa"/>
            <w:vAlign w:val="bottom"/>
          </w:tcPr>
          <w:p>
            <w:pPr>
              <w:jc w:val="right"/>
              <w:spacing w:after="0"/>
              <w:rPr>
                <w:sz w:val="20"/>
                <w:szCs w:val="20"/>
                <w:color w:val="auto"/>
              </w:rPr>
            </w:pPr>
            <w:r>
              <w:rPr>
                <w:rFonts w:ascii="Arial" w:cs="Arial" w:eastAsia="Arial" w:hAnsi="Arial"/>
                <w:sz w:val="13"/>
                <w:szCs w:val="13"/>
                <w:color w:val="auto"/>
              </w:rPr>
              <w:t>158,246</w:t>
            </w:r>
          </w:p>
        </w:tc>
        <w:tc>
          <w:tcPr>
            <w:tcW w:w="160" w:type="dxa"/>
            <w:vAlign w:val="bottom"/>
          </w:tcPr>
          <w:p>
            <w:pPr>
              <w:spacing w:after="0"/>
              <w:rPr>
                <w:sz w:val="19"/>
                <w:szCs w:val="19"/>
                <w:color w:val="auto"/>
              </w:rPr>
            </w:pPr>
          </w:p>
        </w:tc>
        <w:tc>
          <w:tcPr>
            <w:tcW w:w="520" w:type="dxa"/>
            <w:vAlign w:val="bottom"/>
          </w:tcPr>
          <w:p>
            <w:pPr>
              <w:jc w:val="right"/>
              <w:ind w:right="336"/>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1,198</w:t>
            </w:r>
          </w:p>
        </w:tc>
        <w:tc>
          <w:tcPr>
            <w:tcW w:w="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2,387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-1649730</wp:posOffset>
            </wp:positionV>
            <wp:extent cx="5584190" cy="436753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584190" cy="4367530"/>
                    </a:xfrm>
                    <a:prstGeom prst="rect">
                      <a:avLst/>
                    </a:prstGeom>
                    <a:noFill/>
                  </pic:spPr>
                </pic:pic>
              </a:graphicData>
            </a:graphic>
          </wp:anchor>
        </w:drawing>
      </w:r>
    </w:p>
    <w:p>
      <w:pPr>
        <w:ind w:left="640"/>
        <w:spacing w:after="0"/>
        <w:rPr>
          <w:sz w:val="20"/>
          <w:szCs w:val="20"/>
          <w:color w:val="auto"/>
        </w:rPr>
      </w:pPr>
      <w:r>
        <w:rPr>
          <w:rFonts w:ascii="Arial" w:cs="Arial" w:eastAsia="Arial" w:hAnsi="Arial"/>
          <w:sz w:val="10"/>
          <w:szCs w:val="10"/>
          <w:color w:val="auto"/>
        </w:rPr>
        <w:t>Refer to “Joint venture financial information” unde</w:t>
      </w:r>
      <w:r>
        <w:rPr>
          <w:rFonts w:ascii="Arial" w:cs="Arial" w:eastAsia="Arial" w:hAnsi="Arial"/>
          <w:sz w:val="10"/>
          <w:szCs w:val="10"/>
          <w:color w:val="auto"/>
          <w:strike w:val="1"/>
        </w:rPr>
        <w:t>r “Definitions and reconciliatio</w:t>
      </w:r>
      <w:r>
        <w:rPr>
          <w:rFonts w:ascii="Arial" w:cs="Arial" w:eastAsia="Arial" w:hAnsi="Arial"/>
          <w:sz w:val="10"/>
          <w:szCs w:val="10"/>
          <w:color w:val="auto"/>
        </w:rPr>
        <w:t>n</w:t>
      </w:r>
      <w:r>
        <w:rPr>
          <w:rFonts w:ascii="Arial" w:cs="Arial" w:eastAsia="Arial" w:hAnsi="Arial"/>
          <w:sz w:val="10"/>
          <w:szCs w:val="10"/>
          <w:color w:val="auto"/>
          <w:strike w:val="1"/>
        </w:rPr>
        <w:t>s” in Item 2 for additional deta</w:t>
      </w:r>
      <w:r>
        <w:rPr>
          <w:rFonts w:ascii="Arial" w:cs="Arial" w:eastAsia="Arial" w:hAnsi="Arial"/>
          <w:sz w:val="10"/>
          <w:szCs w:val="10"/>
          <w:color w:val="auto"/>
        </w:rPr>
        <w:t>ils.</w:t>
      </w:r>
    </w:p>
    <w:p>
      <w:pPr>
        <w:spacing w:after="0" w:line="18" w:lineRule="exact"/>
        <w:rPr>
          <w:sz w:val="20"/>
          <w:szCs w:val="20"/>
          <w:color w:val="auto"/>
        </w:rPr>
      </w:pPr>
    </w:p>
    <w:p>
      <w:pPr>
        <w:ind w:left="900" w:right="1039" w:hanging="262"/>
        <w:spacing w:after="0" w:line="264" w:lineRule="auto"/>
        <w:tabs>
          <w:tab w:leader="none" w:pos="900" w:val="left"/>
        </w:tabs>
        <w:numPr>
          <w:ilvl w:val="0"/>
          <w:numId w:val="107"/>
        </w:numPr>
        <w:rPr>
          <w:rFonts w:ascii="Arial" w:cs="Arial" w:eastAsia="Arial" w:hAnsi="Arial"/>
          <w:sz w:val="10"/>
          <w:szCs w:val="10"/>
          <w:color w:val="auto"/>
        </w:rPr>
      </w:pPr>
      <w:r>
        <w:rPr>
          <w:rFonts w:ascii="Arial" w:cs="Arial" w:eastAsia="Arial" w:hAnsi="Arial"/>
          <w:sz w:val="10"/>
          <w:szCs w:val="10"/>
          <w:color w:val="auto"/>
        </w:rPr>
        <w:t>Represents an allocation of joint venture earnings to redeemable noncontrolling interests primarily in one property in our South San Francisco submarket. These redeemable noncontrolling interests earn a fixed return on their investment rather than participate in the operating results of the property.</w:t>
      </w:r>
    </w:p>
    <w:p>
      <w:pPr>
        <w:ind w:left="900" w:right="719" w:hanging="262"/>
        <w:spacing w:after="0" w:line="262" w:lineRule="auto"/>
        <w:tabs>
          <w:tab w:leader="none" w:pos="900" w:val="left"/>
        </w:tabs>
        <w:numPr>
          <w:ilvl w:val="0"/>
          <w:numId w:val="107"/>
        </w:numPr>
        <w:rPr>
          <w:rFonts w:ascii="Arial" w:cs="Arial" w:eastAsia="Arial" w:hAnsi="Arial"/>
          <w:sz w:val="10"/>
          <w:szCs w:val="10"/>
          <w:color w:val="auto"/>
        </w:rPr>
      </w:pPr>
      <w:r>
        <w:rPr>
          <w:rFonts w:ascii="Arial" w:cs="Arial" w:eastAsia="Arial" w:hAnsi="Arial"/>
          <w:sz w:val="10"/>
          <w:szCs w:val="10"/>
          <w:color w:val="auto"/>
        </w:rPr>
        <w:t>Refer to “Funds from operations and funds from operations, as adjusted, attributable to Alexandria Real Estate Equities, Inc.’s common stockholders” under “Definitions and reconciliations” in Item 2 for the definition and its reconciliation from the most directly comparable financial measure presented in accordance with GAAP.</w:t>
      </w:r>
    </w:p>
    <w:p>
      <w:pPr>
        <w:spacing w:after="0" w:line="44"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42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360" w:type="dxa"/>
            <w:vAlign w:val="bottom"/>
            <w:tcBorders>
              <w:bottom w:val="single" w:sz="8" w:color="auto"/>
            </w:tcBorders>
            <w:gridSpan w:val="4"/>
          </w:tcPr>
          <w:p>
            <w:pPr>
              <w:jc w:val="right"/>
              <w:ind w:right="1116"/>
              <w:spacing w:after="0"/>
              <w:rPr>
                <w:sz w:val="20"/>
                <w:szCs w:val="20"/>
                <w:color w:val="auto"/>
              </w:rPr>
            </w:pPr>
            <w:r>
              <w:rPr>
                <w:rFonts w:ascii="Arial" w:cs="Arial" w:eastAsia="Arial" w:hAnsi="Arial"/>
                <w:sz w:val="13"/>
                <w:szCs w:val="13"/>
                <w:color w:val="auto"/>
              </w:rPr>
              <w:t>As of June 30, 2024</w:t>
            </w:r>
          </w:p>
        </w:tc>
      </w:tr>
      <w:tr>
        <w:trPr>
          <w:trHeight w:val="120"/>
        </w:trPr>
        <w:tc>
          <w:tcPr>
            <w:tcW w:w="4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80" w:type="dxa"/>
            <w:vAlign w:val="bottom"/>
            <w:gridSpan w:val="2"/>
          </w:tcPr>
          <w:p>
            <w:pPr>
              <w:jc w:val="center"/>
              <w:ind w:right="320"/>
              <w:spacing w:after="0" w:line="120" w:lineRule="exact"/>
              <w:rPr>
                <w:sz w:val="20"/>
                <w:szCs w:val="20"/>
                <w:color w:val="auto"/>
              </w:rPr>
            </w:pPr>
            <w:r>
              <w:rPr>
                <w:rFonts w:ascii="Arial" w:cs="Arial" w:eastAsia="Arial" w:hAnsi="Arial"/>
                <w:sz w:val="13"/>
                <w:szCs w:val="13"/>
                <w:color w:val="auto"/>
                <w:w w:val="98"/>
              </w:rPr>
              <w:t>Noncontrolling Interest</w:t>
            </w:r>
          </w:p>
        </w:tc>
        <w:tc>
          <w:tcPr>
            <w:tcW w:w="260" w:type="dxa"/>
            <w:vAlign w:val="bottom"/>
          </w:tcPr>
          <w:p>
            <w:pPr>
              <w:spacing w:after="0"/>
              <w:rPr>
                <w:sz w:val="10"/>
                <w:szCs w:val="10"/>
                <w:color w:val="auto"/>
              </w:rPr>
            </w:pPr>
          </w:p>
        </w:tc>
        <w:tc>
          <w:tcPr>
            <w:tcW w:w="1420" w:type="dxa"/>
            <w:vAlign w:val="bottom"/>
          </w:tcPr>
          <w:p>
            <w:pPr>
              <w:jc w:val="center"/>
              <w:ind w:right="196"/>
              <w:spacing w:after="0" w:line="120" w:lineRule="exact"/>
              <w:rPr>
                <w:sz w:val="20"/>
                <w:szCs w:val="20"/>
                <w:color w:val="auto"/>
              </w:rPr>
            </w:pPr>
            <w:r>
              <w:rPr>
                <w:rFonts w:ascii="Arial" w:cs="Arial" w:eastAsia="Arial" w:hAnsi="Arial"/>
                <w:sz w:val="13"/>
                <w:szCs w:val="13"/>
                <w:color w:val="auto"/>
                <w:w w:val="96"/>
              </w:rPr>
              <w:t>Our Share of</w:t>
            </w:r>
          </w:p>
        </w:tc>
      </w:tr>
      <w:tr>
        <w:trPr>
          <w:trHeight w:val="129"/>
        </w:trPr>
        <w:tc>
          <w:tcPr>
            <w:tcW w:w="4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gridSpan w:val="2"/>
          </w:tcPr>
          <w:p>
            <w:pPr>
              <w:jc w:val="center"/>
              <w:ind w:right="320"/>
              <w:spacing w:after="0" w:line="129" w:lineRule="exact"/>
              <w:rPr>
                <w:sz w:val="20"/>
                <w:szCs w:val="20"/>
                <w:color w:val="auto"/>
              </w:rPr>
            </w:pPr>
            <w:r>
              <w:rPr>
                <w:rFonts w:ascii="Arial" w:cs="Arial" w:eastAsia="Arial" w:hAnsi="Arial"/>
                <w:sz w:val="13"/>
                <w:szCs w:val="13"/>
                <w:color w:val="auto"/>
                <w:w w:val="99"/>
              </w:rPr>
              <w:t>Share of Consolidated</w:t>
            </w:r>
          </w:p>
        </w:tc>
        <w:tc>
          <w:tcPr>
            <w:tcW w:w="260" w:type="dxa"/>
            <w:vAlign w:val="bottom"/>
          </w:tcPr>
          <w:p>
            <w:pPr>
              <w:spacing w:after="0"/>
              <w:rPr>
                <w:sz w:val="11"/>
                <w:szCs w:val="11"/>
                <w:color w:val="auto"/>
              </w:rPr>
            </w:pPr>
          </w:p>
        </w:tc>
        <w:tc>
          <w:tcPr>
            <w:tcW w:w="1420" w:type="dxa"/>
            <w:vAlign w:val="bottom"/>
          </w:tcPr>
          <w:p>
            <w:pPr>
              <w:jc w:val="center"/>
              <w:ind w:right="196"/>
              <w:spacing w:after="0" w:line="129" w:lineRule="exact"/>
              <w:rPr>
                <w:sz w:val="20"/>
                <w:szCs w:val="20"/>
                <w:color w:val="auto"/>
              </w:rPr>
            </w:pPr>
            <w:r>
              <w:rPr>
                <w:rFonts w:ascii="Arial" w:cs="Arial" w:eastAsia="Arial" w:hAnsi="Arial"/>
                <w:sz w:val="13"/>
                <w:szCs w:val="13"/>
                <w:color w:val="auto"/>
                <w:w w:val="98"/>
              </w:rPr>
              <w:t>Unconsolidated</w:t>
            </w:r>
          </w:p>
        </w:tc>
      </w:tr>
      <w:tr>
        <w:trPr>
          <w:trHeight w:val="161"/>
        </w:trPr>
        <w:tc>
          <w:tcPr>
            <w:tcW w:w="4200" w:type="dxa"/>
            <w:vAlign w:val="bottom"/>
          </w:tcPr>
          <w:p>
            <w:pPr>
              <w:spacing w:after="0"/>
              <w:rPr>
                <w:sz w:val="13"/>
                <w:szCs w:val="13"/>
                <w:color w:val="auto"/>
              </w:rPr>
            </w:pPr>
          </w:p>
        </w:tc>
        <w:tc>
          <w:tcPr>
            <w:tcW w:w="1820" w:type="dxa"/>
            <w:vAlign w:val="bottom"/>
            <w:gridSpan w:val="3"/>
          </w:tcPr>
          <w:p>
            <w:pPr>
              <w:jc w:val="center"/>
              <w:ind w:right="180"/>
              <w:spacing w:after="0"/>
              <w:rPr>
                <w:sz w:val="20"/>
                <w:szCs w:val="20"/>
                <w:color w:val="auto"/>
              </w:rPr>
            </w:pPr>
            <w:r>
              <w:rPr>
                <w:rFonts w:ascii="Arial" w:cs="Arial" w:eastAsia="Arial" w:hAnsi="Arial"/>
                <w:sz w:val="13"/>
                <w:szCs w:val="13"/>
                <w:color w:val="auto"/>
                <w:w w:val="98"/>
              </w:rPr>
              <w:t>Real Estate Joint Ventures</w:t>
            </w:r>
          </w:p>
        </w:tc>
        <w:tc>
          <w:tcPr>
            <w:tcW w:w="1680" w:type="dxa"/>
            <w:vAlign w:val="bottom"/>
            <w:gridSpan w:val="2"/>
          </w:tcPr>
          <w:p>
            <w:pPr>
              <w:jc w:val="center"/>
              <w:spacing w:after="0"/>
              <w:rPr>
                <w:sz w:val="20"/>
                <w:szCs w:val="20"/>
                <w:color w:val="auto"/>
              </w:rPr>
            </w:pPr>
            <w:r>
              <w:rPr>
                <w:rFonts w:ascii="Arial" w:cs="Arial" w:eastAsia="Arial" w:hAnsi="Arial"/>
                <w:sz w:val="13"/>
                <w:szCs w:val="13"/>
                <w:color w:val="auto"/>
                <w:w w:val="98"/>
              </w:rPr>
              <w:t>Real Estate Joint Ventures</w:t>
            </w:r>
          </w:p>
        </w:tc>
      </w:tr>
      <w:tr>
        <w:trPr>
          <w:trHeight w:val="163"/>
        </w:trPr>
        <w:tc>
          <w:tcPr>
            <w:tcW w:w="42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Investments in real estate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4,157,101</w:t>
            </w:r>
          </w:p>
        </w:tc>
        <w:tc>
          <w:tcPr>
            <w:tcW w:w="1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124,994</w:t>
            </w:r>
          </w:p>
        </w:tc>
      </w:tr>
      <w:tr>
        <w:trPr>
          <w:trHeight w:val="183"/>
        </w:trPr>
        <w:tc>
          <w:tcPr>
            <w:tcW w:w="4200" w:type="dxa"/>
            <w:vAlign w:val="bottom"/>
          </w:tcPr>
          <w:p>
            <w:pPr>
              <w:ind w:left="40"/>
              <w:spacing w:after="0"/>
              <w:rPr>
                <w:sz w:val="20"/>
                <w:szCs w:val="20"/>
                <w:color w:val="auto"/>
              </w:rPr>
            </w:pPr>
            <w:r>
              <w:rPr>
                <w:rFonts w:ascii="Arial" w:cs="Arial" w:eastAsia="Arial" w:hAnsi="Arial"/>
                <w:sz w:val="13"/>
                <w:szCs w:val="13"/>
                <w:color w:val="auto"/>
              </w:rPr>
              <w:t>Cash, cash equivalents, and restricted cash</w:t>
            </w:r>
          </w:p>
        </w:tc>
        <w:tc>
          <w:tcPr>
            <w:tcW w:w="14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132,692</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4,128</w:t>
            </w:r>
          </w:p>
        </w:tc>
      </w:tr>
      <w:tr>
        <w:trPr>
          <w:trHeight w:val="183"/>
        </w:trPr>
        <w:tc>
          <w:tcPr>
            <w:tcW w:w="4200" w:type="dxa"/>
            <w:vAlign w:val="bottom"/>
            <w:shd w:val="clear" w:color="auto" w:fill="CCEEFF"/>
          </w:tcPr>
          <w:p>
            <w:pPr>
              <w:ind w:left="40"/>
              <w:spacing w:after="0"/>
              <w:rPr>
                <w:sz w:val="20"/>
                <w:szCs w:val="20"/>
                <w:color w:val="auto"/>
              </w:rPr>
            </w:pPr>
            <w:r>
              <w:rPr>
                <w:rFonts w:ascii="Arial" w:cs="Arial" w:eastAsia="Arial" w:hAnsi="Arial"/>
                <w:sz w:val="13"/>
                <w:szCs w:val="13"/>
                <w:color w:val="auto"/>
              </w:rPr>
              <w:t>Other assets</w:t>
            </w:r>
          </w:p>
        </w:tc>
        <w:tc>
          <w:tcPr>
            <w:tcW w:w="14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431,584</w:t>
            </w:r>
          </w:p>
        </w:tc>
        <w:tc>
          <w:tcPr>
            <w:tcW w:w="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12,752</w:t>
            </w:r>
          </w:p>
        </w:tc>
      </w:tr>
      <w:tr>
        <w:trPr>
          <w:trHeight w:val="183"/>
        </w:trPr>
        <w:tc>
          <w:tcPr>
            <w:tcW w:w="4200" w:type="dxa"/>
            <w:vAlign w:val="bottom"/>
          </w:tcPr>
          <w:p>
            <w:pPr>
              <w:ind w:left="40"/>
              <w:spacing w:after="0"/>
              <w:rPr>
                <w:sz w:val="20"/>
                <w:szCs w:val="20"/>
                <w:color w:val="auto"/>
              </w:rPr>
            </w:pPr>
            <w:r>
              <w:rPr>
                <w:rFonts w:ascii="Arial" w:cs="Arial" w:eastAsia="Arial" w:hAnsi="Arial"/>
                <w:sz w:val="13"/>
                <w:szCs w:val="13"/>
                <w:color w:val="auto"/>
              </w:rPr>
              <w:t>Secured notes payable</w:t>
            </w:r>
          </w:p>
        </w:tc>
        <w:tc>
          <w:tcPr>
            <w:tcW w:w="14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(33,581)</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(95,547)</w:t>
            </w:r>
          </w:p>
        </w:tc>
      </w:tr>
      <w:tr>
        <w:trPr>
          <w:trHeight w:val="183"/>
        </w:trPr>
        <w:tc>
          <w:tcPr>
            <w:tcW w:w="4200" w:type="dxa"/>
            <w:vAlign w:val="bottom"/>
            <w:shd w:val="clear" w:color="auto" w:fill="CCEEFF"/>
          </w:tcPr>
          <w:p>
            <w:pPr>
              <w:ind w:left="40"/>
              <w:spacing w:after="0"/>
              <w:rPr>
                <w:sz w:val="20"/>
                <w:szCs w:val="20"/>
                <w:color w:val="auto"/>
              </w:rPr>
            </w:pPr>
            <w:r>
              <w:rPr>
                <w:rFonts w:ascii="Arial" w:cs="Arial" w:eastAsia="Arial" w:hAnsi="Arial"/>
                <w:sz w:val="13"/>
                <w:szCs w:val="13"/>
                <w:color w:val="auto"/>
              </w:rPr>
              <w:t>Other liabilities</w:t>
            </w:r>
          </w:p>
        </w:tc>
        <w:tc>
          <w:tcPr>
            <w:tcW w:w="14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(279,550)</w:t>
            </w:r>
          </w:p>
        </w:tc>
        <w:tc>
          <w:tcPr>
            <w:tcW w:w="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(5,792)</w:t>
            </w:r>
          </w:p>
        </w:tc>
      </w:tr>
      <w:tr>
        <w:trPr>
          <w:trHeight w:val="183"/>
        </w:trPr>
        <w:tc>
          <w:tcPr>
            <w:tcW w:w="420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Redeemable noncontrolling interests</w:t>
            </w:r>
          </w:p>
        </w:tc>
        <w:tc>
          <w:tcPr>
            <w:tcW w:w="1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(16,440)</w:t>
            </w:r>
          </w:p>
        </w:tc>
        <w:tc>
          <w:tcPr>
            <w:tcW w:w="1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r>
      <w:tr>
        <w:trPr>
          <w:trHeight w:val="166"/>
        </w:trPr>
        <w:tc>
          <w:tcPr>
            <w:tcW w:w="42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w:t>
            </w:r>
          </w:p>
        </w:tc>
        <w:tc>
          <w:tcPr>
            <w:tcW w:w="1500" w:type="dxa"/>
            <w:vAlign w:val="bottom"/>
            <w:tcBorders>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4,391,806</w:t>
            </w:r>
          </w:p>
        </w:tc>
        <w:tc>
          <w:tcPr>
            <w:tcW w:w="18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jc w:val="right"/>
              <w:ind w:right="76"/>
              <w:spacing w:after="0" w:line="141" w:lineRule="exact"/>
              <w:rPr>
                <w:sz w:val="20"/>
                <w:szCs w:val="20"/>
                <w:color w:val="auto"/>
              </w:rPr>
            </w:pPr>
            <w:r>
              <w:rPr>
                <w:rFonts w:ascii="Arial" w:cs="Arial" w:eastAsia="Arial" w:hAnsi="Arial"/>
                <w:sz w:val="13"/>
                <w:szCs w:val="13"/>
                <w:color w:val="auto"/>
              </w:rPr>
              <w:t>$</w:t>
            </w:r>
          </w:p>
        </w:tc>
        <w:tc>
          <w:tcPr>
            <w:tcW w:w="1420" w:type="dxa"/>
            <w:vAlign w:val="bottom"/>
            <w:tcBorders>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40,535</w:t>
            </w: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640" w:right="779" w:firstLine="516"/>
        <w:spacing w:after="0" w:line="257" w:lineRule="auto"/>
        <w:rPr>
          <w:sz w:val="20"/>
          <w:szCs w:val="20"/>
          <w:color w:val="auto"/>
        </w:rPr>
      </w:pPr>
      <w:r>
        <w:rPr>
          <w:rFonts w:ascii="Arial" w:cs="Arial" w:eastAsia="Arial" w:hAnsi="Arial"/>
          <w:sz w:val="13"/>
          <w:szCs w:val="13"/>
          <w:color w:val="auto"/>
        </w:rPr>
        <w:t>During the six months ended June 30, 2024 and 2023, our consolidated real estate joint ventures distributed an aggregate of $119.9 million and $134.6 million, respectively, to our joint venture partners. Refer to our consolidated statements of cash flows and Note 4 – “Consolidated and unconsolidated real estate joint ventures” to our unaudited consolidated financial statements in Item 1 for additional information.</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188595</wp:posOffset>
            </wp:positionV>
            <wp:extent cx="5584190" cy="60858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584190" cy="6085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Investments</w:t>
      </w:r>
    </w:p>
    <w:p>
      <w:pPr>
        <w:spacing w:after="0" w:line="162" w:lineRule="exact"/>
        <w:rPr>
          <w:sz w:val="20"/>
          <w:szCs w:val="20"/>
          <w:color w:val="auto"/>
        </w:rPr>
      </w:pPr>
    </w:p>
    <w:p>
      <w:pPr>
        <w:jc w:val="both"/>
        <w:ind w:left="640" w:right="659" w:firstLine="516"/>
        <w:spacing w:after="0" w:line="265" w:lineRule="auto"/>
        <w:rPr>
          <w:sz w:val="20"/>
          <w:szCs w:val="20"/>
          <w:color w:val="auto"/>
        </w:rPr>
      </w:pPr>
      <w:r>
        <w:rPr>
          <w:rFonts w:ascii="Arial" w:cs="Arial" w:eastAsia="Arial" w:hAnsi="Arial"/>
          <w:sz w:val="13"/>
          <w:szCs w:val="13"/>
          <w:color w:val="auto"/>
        </w:rPr>
        <w:t>We hold investments in publicly traded companies and privately held entities primarily involved in the life science industry. The tables below summarize components of our investment income (loss) and non-real estate investments (in thousands). Refer to Note 7 – “Investments” to our unaudited consolidated financial statements in Item 1 for additional information.</w:t>
      </w:r>
    </w:p>
    <w:p>
      <w:pPr>
        <w:spacing w:after="0" w:line="194" w:lineRule="exact"/>
        <w:rPr>
          <w:sz w:val="20"/>
          <w:szCs w:val="20"/>
          <w:color w:val="auto"/>
        </w:rPr>
      </w:pPr>
    </w:p>
    <w:tbl>
      <w:tblPr>
        <w:tblLayout w:type="fixed"/>
        <w:tblInd w:w="1340" w:type="dxa"/>
        <w:tblCellMar>
          <w:top w:w="0" w:type="dxa"/>
          <w:left w:w="0" w:type="dxa"/>
          <w:bottom w:w="0" w:type="dxa"/>
          <w:right w:w="0" w:type="dxa"/>
        </w:tblCellMar>
      </w:tblPr>
      <w:tr>
        <w:trPr>
          <w:trHeight w:val="148"/>
        </w:trPr>
        <w:tc>
          <w:tcPr>
            <w:tcW w:w="250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2000" w:type="dxa"/>
            <w:vAlign w:val="bottom"/>
            <w:tcBorders>
              <w:bottom w:val="single" w:sz="8" w:color="auto"/>
            </w:tcBorders>
            <w:gridSpan w:val="5"/>
          </w:tcPr>
          <w:p>
            <w:pPr>
              <w:jc w:val="right"/>
              <w:ind w:right="663"/>
              <w:spacing w:after="0"/>
              <w:rPr>
                <w:sz w:val="20"/>
                <w:szCs w:val="20"/>
                <w:color w:val="auto"/>
              </w:rPr>
            </w:pPr>
            <w:r>
              <w:rPr>
                <w:rFonts w:ascii="Arial" w:cs="Arial" w:eastAsia="Arial" w:hAnsi="Arial"/>
                <w:sz w:val="11"/>
                <w:szCs w:val="11"/>
                <w:b w:val="1"/>
                <w:bCs w:val="1"/>
                <w:color w:val="auto"/>
              </w:rPr>
              <w:t>June 30, 2024</w:t>
            </w:r>
          </w:p>
        </w:tc>
        <w:tc>
          <w:tcPr>
            <w:tcW w:w="1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vMerge w:val="restart"/>
          </w:tcPr>
          <w:p>
            <w:pPr>
              <w:jc w:val="right"/>
              <w:ind w:right="103"/>
              <w:spacing w:after="0"/>
              <w:rPr>
                <w:sz w:val="20"/>
                <w:szCs w:val="20"/>
                <w:color w:val="auto"/>
              </w:rPr>
            </w:pPr>
            <w:r>
              <w:rPr>
                <w:rFonts w:ascii="Arial" w:cs="Arial" w:eastAsia="Arial" w:hAnsi="Arial"/>
                <w:sz w:val="11"/>
                <w:szCs w:val="11"/>
                <w:b w:val="1"/>
                <w:bCs w:val="1"/>
                <w:color w:val="auto"/>
              </w:rPr>
              <w:t>Year Ended</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4"/>
        </w:trPr>
        <w:tc>
          <w:tcPr>
            <w:tcW w:w="2500" w:type="dxa"/>
            <w:vAlign w:val="bottom"/>
          </w:tcPr>
          <w:p>
            <w:pPr>
              <w:spacing w:after="0"/>
              <w:rPr>
                <w:sz w:val="3"/>
                <w:szCs w:val="3"/>
                <w:color w:val="auto"/>
              </w:rPr>
            </w:pPr>
          </w:p>
        </w:tc>
        <w:tc>
          <w:tcPr>
            <w:tcW w:w="1320" w:type="dxa"/>
            <w:vAlign w:val="bottom"/>
            <w:gridSpan w:val="4"/>
            <w:vMerge w:val="restart"/>
          </w:tcPr>
          <w:p>
            <w:pPr>
              <w:ind w:left="60"/>
              <w:spacing w:after="0"/>
              <w:rPr>
                <w:sz w:val="20"/>
                <w:szCs w:val="20"/>
                <w:color w:val="auto"/>
              </w:rPr>
            </w:pPr>
            <w:r>
              <w:rPr>
                <w:rFonts w:ascii="Arial" w:cs="Arial" w:eastAsia="Arial" w:hAnsi="Arial"/>
                <w:sz w:val="11"/>
                <w:szCs w:val="11"/>
                <w:b w:val="1"/>
                <w:bCs w:val="1"/>
                <w:color w:val="auto"/>
              </w:rPr>
              <w:t>Three Months Ended</w:t>
            </w:r>
          </w:p>
        </w:tc>
        <w:tc>
          <w:tcPr>
            <w:tcW w:w="120" w:type="dxa"/>
            <w:vAlign w:val="bottom"/>
          </w:tcPr>
          <w:p>
            <w:pPr>
              <w:spacing w:after="0"/>
              <w:rPr>
                <w:sz w:val="3"/>
                <w:szCs w:val="3"/>
                <w:color w:val="auto"/>
              </w:rPr>
            </w:pPr>
          </w:p>
        </w:tc>
        <w:tc>
          <w:tcPr>
            <w:tcW w:w="118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Six Months Ended</w:t>
            </w:r>
          </w:p>
        </w:tc>
        <w:tc>
          <w:tcPr>
            <w:tcW w:w="100" w:type="dxa"/>
            <w:vAlign w:val="bottom"/>
          </w:tcPr>
          <w:p>
            <w:pPr>
              <w:spacing w:after="0"/>
              <w:rPr>
                <w:sz w:val="3"/>
                <w:szCs w:val="3"/>
                <w:color w:val="auto"/>
              </w:rPr>
            </w:pPr>
          </w:p>
        </w:tc>
        <w:tc>
          <w:tcPr>
            <w:tcW w:w="100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0"/>
        </w:trPr>
        <w:tc>
          <w:tcPr>
            <w:tcW w:w="2500" w:type="dxa"/>
            <w:vAlign w:val="bottom"/>
          </w:tcPr>
          <w:p>
            <w:pPr>
              <w:spacing w:after="0"/>
              <w:rPr>
                <w:sz w:val="12"/>
                <w:szCs w:val="12"/>
                <w:color w:val="auto"/>
              </w:rPr>
            </w:pPr>
          </w:p>
        </w:tc>
        <w:tc>
          <w:tcPr>
            <w:tcW w:w="132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63"/>
              <w:spacing w:after="0"/>
              <w:rPr>
                <w:sz w:val="20"/>
                <w:szCs w:val="20"/>
                <w:color w:val="auto"/>
              </w:rPr>
            </w:pPr>
            <w:r>
              <w:rPr>
                <w:rFonts w:ascii="Arial" w:cs="Arial" w:eastAsia="Arial" w:hAnsi="Arial"/>
                <w:sz w:val="11"/>
                <w:szCs w:val="11"/>
                <w:b w:val="1"/>
                <w:bCs w:val="1"/>
                <w:color w:val="auto"/>
              </w:rPr>
              <w:t>December 31, 2023</w:t>
            </w:r>
          </w:p>
        </w:tc>
        <w:tc>
          <w:tcPr>
            <w:tcW w:w="0" w:type="dxa"/>
            <w:vAlign w:val="bottom"/>
          </w:tcPr>
          <w:p>
            <w:pPr>
              <w:spacing w:after="0"/>
              <w:rPr>
                <w:sz w:val="1"/>
                <w:szCs w:val="1"/>
                <w:color w:val="auto"/>
              </w:rPr>
            </w:pPr>
          </w:p>
        </w:tc>
      </w:tr>
      <w:tr>
        <w:trPr>
          <w:trHeight w:val="166"/>
        </w:trPr>
        <w:tc>
          <w:tcPr>
            <w:tcW w:w="2500" w:type="dxa"/>
            <w:vAlign w:val="bottom"/>
          </w:tcPr>
          <w:p>
            <w:pPr>
              <w:spacing w:after="0"/>
              <w:rPr>
                <w:sz w:val="20"/>
                <w:szCs w:val="20"/>
                <w:color w:val="auto"/>
              </w:rPr>
            </w:pPr>
            <w:r>
              <w:rPr>
                <w:rFonts w:ascii="Arial" w:cs="Arial" w:eastAsia="Arial" w:hAnsi="Arial"/>
                <w:sz w:val="11"/>
                <w:szCs w:val="11"/>
                <w:color w:val="auto"/>
              </w:rPr>
              <w:t>Realized gains</w:t>
            </w:r>
          </w:p>
        </w:tc>
        <w:tc>
          <w:tcPr>
            <w:tcW w:w="360" w:type="dxa"/>
            <w:vAlign w:val="bottom"/>
            <w:tcBorders>
              <w:top w:val="single" w:sz="8" w:color="auto"/>
            </w:tcBorders>
          </w:tcPr>
          <w:p>
            <w:pPr>
              <w:ind w:left="40"/>
              <w:spacing w:after="0"/>
              <w:rPr>
                <w:sz w:val="20"/>
                <w:szCs w:val="20"/>
                <w:color w:val="auto"/>
              </w:rPr>
            </w:pPr>
            <w:r>
              <w:rPr>
                <w:rFonts w:ascii="Arial" w:cs="Arial" w:eastAsia="Arial" w:hAnsi="Arial"/>
                <w:sz w:val="11"/>
                <w:szCs w:val="11"/>
                <w:color w:val="auto"/>
              </w:rPr>
              <w:t>$</w:t>
            </w:r>
          </w:p>
        </w:tc>
        <w:tc>
          <w:tcPr>
            <w:tcW w:w="680" w:type="dxa"/>
            <w:vAlign w:val="bottom"/>
            <w:tcBorders>
              <w:top w:val="single" w:sz="8" w:color="auto"/>
            </w:tcBorders>
          </w:tcPr>
          <w:p>
            <w:pPr>
              <w:jc w:val="right"/>
              <w:ind w:right="3"/>
              <w:spacing w:after="0"/>
              <w:rPr>
                <w:sz w:val="20"/>
                <w:szCs w:val="20"/>
                <w:color w:val="auto"/>
              </w:rPr>
            </w:pPr>
            <w:r>
              <w:rPr>
                <w:rFonts w:ascii="Arial" w:cs="Arial" w:eastAsia="Arial" w:hAnsi="Arial"/>
                <w:sz w:val="11"/>
                <w:szCs w:val="11"/>
                <w:color w:val="auto"/>
              </w:rPr>
              <w:t>20,578</w:t>
            </w:r>
          </w:p>
        </w:tc>
        <w:tc>
          <w:tcPr>
            <w:tcW w:w="200" w:type="dxa"/>
            <w:vAlign w:val="bottom"/>
            <w:tcBorders>
              <w:top w:val="single" w:sz="8" w:color="auto"/>
            </w:tcBorders>
          </w:tcPr>
          <w:p>
            <w:pPr>
              <w:jc w:val="right"/>
              <w:ind w:right="43"/>
              <w:spacing w:after="0"/>
              <w:rPr>
                <w:sz w:val="20"/>
                <w:szCs w:val="20"/>
                <w:color w:val="auto"/>
              </w:rPr>
            </w:pPr>
            <w:r>
              <w:rPr>
                <w:rFonts w:ascii="Arial" w:cs="Arial" w:eastAsia="Arial" w:hAnsi="Arial"/>
                <w:sz w:val="7"/>
                <w:szCs w:val="7"/>
                <w:color w:val="auto"/>
              </w:rPr>
              <w:t>(1)</w:t>
            </w:r>
          </w:p>
        </w:tc>
        <w:tc>
          <w:tcPr>
            <w:tcW w:w="8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920" w:type="dxa"/>
            <w:vAlign w:val="bottom"/>
            <w:tcBorders>
              <w:top w:val="single" w:sz="8" w:color="auto"/>
            </w:tcBorders>
          </w:tcPr>
          <w:p>
            <w:pPr>
              <w:jc w:val="right"/>
              <w:ind w:right="3"/>
              <w:spacing w:after="0"/>
              <w:rPr>
                <w:sz w:val="20"/>
                <w:szCs w:val="20"/>
                <w:color w:val="auto"/>
              </w:rPr>
            </w:pPr>
            <w:r>
              <w:rPr>
                <w:rFonts w:ascii="Arial" w:cs="Arial" w:eastAsia="Arial" w:hAnsi="Arial"/>
                <w:sz w:val="11"/>
                <w:szCs w:val="11"/>
                <w:color w:val="auto"/>
              </w:rPr>
              <w:t>34,704</w:t>
            </w:r>
          </w:p>
        </w:tc>
        <w:tc>
          <w:tcPr>
            <w:tcW w:w="180" w:type="dxa"/>
            <w:vAlign w:val="bottom"/>
            <w:tcBorders>
              <w:top w:val="single" w:sz="8" w:color="auto"/>
            </w:tcBorders>
          </w:tcPr>
          <w:p>
            <w:pPr>
              <w:jc w:val="right"/>
              <w:ind w:right="23"/>
              <w:spacing w:after="0"/>
              <w:rPr>
                <w:sz w:val="20"/>
                <w:szCs w:val="20"/>
                <w:color w:val="auto"/>
              </w:rPr>
            </w:pPr>
            <w:r>
              <w:rPr>
                <w:rFonts w:ascii="Arial" w:cs="Arial" w:eastAsia="Arial" w:hAnsi="Arial"/>
                <w:sz w:val="7"/>
                <w:szCs w:val="7"/>
                <w:color w:val="auto"/>
              </w:rPr>
              <w:t>(1)</w:t>
            </w:r>
          </w:p>
        </w:tc>
        <w:tc>
          <w:tcPr>
            <w:tcW w:w="8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000" w:type="dxa"/>
            <w:vAlign w:val="bottom"/>
            <w:tcBorders>
              <w:top w:val="single" w:sz="8" w:color="auto"/>
            </w:tcBorders>
          </w:tcPr>
          <w:p>
            <w:pPr>
              <w:jc w:val="right"/>
              <w:ind w:right="23"/>
              <w:spacing w:after="0"/>
              <w:rPr>
                <w:sz w:val="20"/>
                <w:szCs w:val="20"/>
                <w:color w:val="auto"/>
              </w:rPr>
            </w:pPr>
            <w:r>
              <w:rPr>
                <w:rFonts w:ascii="Arial" w:cs="Arial" w:eastAsia="Arial" w:hAnsi="Arial"/>
                <w:sz w:val="11"/>
                <w:szCs w:val="11"/>
                <w:color w:val="auto"/>
              </w:rPr>
              <w:t>6,078</w:t>
            </w:r>
          </w:p>
        </w:tc>
        <w:tc>
          <w:tcPr>
            <w:tcW w:w="140" w:type="dxa"/>
            <w:vAlign w:val="bottom"/>
            <w:tcBorders>
              <w:top w:val="single" w:sz="8" w:color="auto"/>
            </w:tcBorders>
          </w:tcPr>
          <w:p>
            <w:pPr>
              <w:jc w:val="right"/>
              <w:ind w:right="3"/>
              <w:spacing w:after="0"/>
              <w:rPr>
                <w:sz w:val="20"/>
                <w:szCs w:val="20"/>
                <w:color w:val="auto"/>
              </w:rPr>
            </w:pPr>
            <w:r>
              <w:rPr>
                <w:rFonts w:ascii="Arial" w:cs="Arial" w:eastAsia="Arial" w:hAnsi="Arial"/>
                <w:sz w:val="7"/>
                <w:szCs w:val="7"/>
                <w:color w:val="auto"/>
                <w:w w:val="92"/>
              </w:rPr>
              <w:t>(2)</w:t>
            </w:r>
          </w:p>
        </w:tc>
        <w:tc>
          <w:tcPr>
            <w:tcW w:w="0" w:type="dxa"/>
            <w:vAlign w:val="bottom"/>
          </w:tcPr>
          <w:p>
            <w:pPr>
              <w:spacing w:after="0"/>
              <w:rPr>
                <w:sz w:val="1"/>
                <w:szCs w:val="1"/>
                <w:color w:val="auto"/>
              </w:rPr>
            </w:pPr>
          </w:p>
        </w:tc>
      </w:tr>
      <w:tr>
        <w:trPr>
          <w:trHeight w:val="179"/>
        </w:trPr>
        <w:tc>
          <w:tcPr>
            <w:tcW w:w="2500" w:type="dxa"/>
            <w:vAlign w:val="bottom"/>
          </w:tcPr>
          <w:p>
            <w:pPr>
              <w:spacing w:after="0"/>
              <w:rPr>
                <w:sz w:val="20"/>
                <w:szCs w:val="20"/>
                <w:color w:val="auto"/>
              </w:rPr>
            </w:pPr>
            <w:r>
              <w:rPr>
                <w:rFonts w:ascii="Arial" w:cs="Arial" w:eastAsia="Arial" w:hAnsi="Arial"/>
                <w:sz w:val="11"/>
                <w:szCs w:val="11"/>
                <w:color w:val="auto"/>
              </w:rPr>
              <w:t>Unrealized losses</w:t>
            </w:r>
          </w:p>
        </w:tc>
        <w:tc>
          <w:tcPr>
            <w:tcW w:w="3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(64,238)</w:t>
            </w:r>
          </w:p>
        </w:tc>
        <w:tc>
          <w:tcPr>
            <w:tcW w:w="200" w:type="dxa"/>
            <w:vAlign w:val="bottom"/>
            <w:tcBorders>
              <w:bottom w:val="single" w:sz="8" w:color="auto"/>
            </w:tcBorders>
          </w:tcPr>
          <w:p>
            <w:pPr>
              <w:jc w:val="right"/>
              <w:ind w:right="43"/>
              <w:spacing w:after="0"/>
              <w:rPr>
                <w:sz w:val="20"/>
                <w:szCs w:val="20"/>
                <w:color w:val="auto"/>
              </w:rPr>
            </w:pPr>
            <w:r>
              <w:rPr>
                <w:rFonts w:ascii="Arial" w:cs="Arial" w:eastAsia="Arial" w:hAnsi="Arial"/>
                <w:sz w:val="7"/>
                <w:szCs w:val="7"/>
                <w:color w:val="auto"/>
              </w:rPr>
              <w:t>(3)</w:t>
            </w: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(35,080)</w:t>
            </w:r>
          </w:p>
        </w:tc>
        <w:tc>
          <w:tcPr>
            <w:tcW w:w="180" w:type="dxa"/>
            <w:vAlign w:val="bottom"/>
            <w:tcBorders>
              <w:bottom w:val="single" w:sz="8" w:color="auto"/>
            </w:tcBorders>
          </w:tcPr>
          <w:p>
            <w:pPr>
              <w:jc w:val="right"/>
              <w:ind w:right="23"/>
              <w:spacing w:after="0"/>
              <w:rPr>
                <w:sz w:val="20"/>
                <w:szCs w:val="20"/>
                <w:color w:val="auto"/>
              </w:rPr>
            </w:pPr>
            <w:r>
              <w:rPr>
                <w:rFonts w:ascii="Arial" w:cs="Arial" w:eastAsia="Arial" w:hAnsi="Arial"/>
                <w:sz w:val="7"/>
                <w:szCs w:val="7"/>
                <w:color w:val="auto"/>
              </w:rPr>
              <w:t>(4)</w:t>
            </w: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(201,475)</w:t>
            </w:r>
          </w:p>
        </w:tc>
        <w:tc>
          <w:tcPr>
            <w:tcW w:w="140" w:type="dxa"/>
            <w:vAlign w:val="bottom"/>
            <w:tcBorders>
              <w:bottom w:val="single" w:sz="8" w:color="auto"/>
            </w:tcBorders>
          </w:tcPr>
          <w:p>
            <w:pPr>
              <w:jc w:val="right"/>
              <w:ind w:right="3"/>
              <w:spacing w:after="0"/>
              <w:rPr>
                <w:sz w:val="20"/>
                <w:szCs w:val="20"/>
                <w:color w:val="auto"/>
              </w:rPr>
            </w:pPr>
            <w:r>
              <w:rPr>
                <w:rFonts w:ascii="Arial" w:cs="Arial" w:eastAsia="Arial" w:hAnsi="Arial"/>
                <w:sz w:val="7"/>
                <w:szCs w:val="7"/>
                <w:color w:val="auto"/>
                <w:w w:val="92"/>
              </w:rPr>
              <w:t>(5)</w:t>
            </w:r>
          </w:p>
        </w:tc>
        <w:tc>
          <w:tcPr>
            <w:tcW w:w="0" w:type="dxa"/>
            <w:vAlign w:val="bottom"/>
          </w:tcPr>
          <w:p>
            <w:pPr>
              <w:spacing w:after="0"/>
              <w:rPr>
                <w:sz w:val="1"/>
                <w:szCs w:val="1"/>
                <w:color w:val="auto"/>
              </w:rPr>
            </w:pPr>
          </w:p>
        </w:tc>
      </w:tr>
      <w:tr>
        <w:trPr>
          <w:trHeight w:val="141"/>
        </w:trPr>
        <w:tc>
          <w:tcPr>
            <w:tcW w:w="2500" w:type="dxa"/>
            <w:vAlign w:val="bottom"/>
          </w:tcPr>
          <w:p>
            <w:pPr>
              <w:ind w:left="140"/>
              <w:spacing w:after="0"/>
              <w:rPr>
                <w:sz w:val="20"/>
                <w:szCs w:val="20"/>
                <w:color w:val="auto"/>
              </w:rPr>
            </w:pPr>
            <w:r>
              <w:rPr>
                <w:rFonts w:ascii="Arial" w:cs="Arial" w:eastAsia="Arial" w:hAnsi="Arial"/>
                <w:sz w:val="11"/>
                <w:szCs w:val="11"/>
                <w:color w:val="auto"/>
              </w:rPr>
              <w:t>Investment loss</w:t>
            </w:r>
          </w:p>
        </w:tc>
        <w:tc>
          <w:tcPr>
            <w:tcW w:w="360" w:type="dxa"/>
            <w:vAlign w:val="bottom"/>
            <w:tcBorders>
              <w:bottom w:val="single" w:sz="8" w:color="auto"/>
            </w:tcBorders>
          </w:tcPr>
          <w:p>
            <w:pPr>
              <w:ind w:left="40"/>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(43,660)</w:t>
            </w:r>
          </w:p>
        </w:tc>
        <w:tc>
          <w:tcPr>
            <w:tcW w:w="2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(376)</w:t>
            </w:r>
          </w:p>
        </w:tc>
        <w:tc>
          <w:tcPr>
            <w:tcW w:w="1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(195,397)</w:t>
            </w:r>
          </w:p>
        </w:tc>
        <w:tc>
          <w:tcPr>
            <w:tcW w:w="1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tbl>
      <w:tblPr>
        <w:tblLayout w:type="fixed"/>
        <w:tblInd w:w="680" w:type="dxa"/>
        <w:tblCellMar>
          <w:top w:w="0" w:type="dxa"/>
          <w:left w:w="0" w:type="dxa"/>
          <w:bottom w:w="0" w:type="dxa"/>
          <w:right w:w="0" w:type="dxa"/>
        </w:tblCellMar>
      </w:tblPr>
      <w:tr>
        <w:trPr>
          <w:trHeight w:val="148"/>
        </w:trPr>
        <w:tc>
          <w:tcPr>
            <w:tcW w:w="16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5"/>
          </w:tcPr>
          <w:p>
            <w:pPr>
              <w:ind w:left="40"/>
              <w:spacing w:after="0"/>
              <w:rPr>
                <w:sz w:val="20"/>
                <w:szCs w:val="20"/>
                <w:color w:val="auto"/>
              </w:rPr>
            </w:pPr>
            <w:r>
              <w:rPr>
                <w:rFonts w:ascii="Arial" w:cs="Arial" w:eastAsia="Arial" w:hAnsi="Arial"/>
                <w:sz w:val="11"/>
                <w:szCs w:val="11"/>
                <w:b w:val="1"/>
                <w:bCs w:val="1"/>
                <w:color w:val="auto"/>
              </w:rPr>
              <w:t>June 30, 2024</w:t>
            </w: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2"/>
          </w:tcPr>
          <w:p>
            <w:pPr>
              <w:spacing w:after="0"/>
              <w:rPr>
                <w:sz w:val="20"/>
                <w:szCs w:val="20"/>
                <w:color w:val="auto"/>
              </w:rPr>
            </w:pPr>
            <w:r>
              <w:rPr>
                <w:rFonts w:ascii="Arial" w:cs="Arial" w:eastAsia="Arial" w:hAnsi="Arial"/>
                <w:sz w:val="11"/>
                <w:szCs w:val="11"/>
                <w:b w:val="1"/>
                <w:bCs w:val="1"/>
                <w:color w:val="auto"/>
              </w:rPr>
              <w:t>December 31, 2023</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60" w:type="dxa"/>
            <w:vAlign w:val="bottom"/>
          </w:tcPr>
          <w:p>
            <w:pPr>
              <w:spacing w:after="0"/>
              <w:rPr>
                <w:sz w:val="12"/>
                <w:szCs w:val="12"/>
                <w:color w:val="auto"/>
              </w:rPr>
            </w:pPr>
          </w:p>
        </w:tc>
        <w:tc>
          <w:tcPr>
            <w:tcW w:w="240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Investments</w:t>
            </w:r>
          </w:p>
        </w:tc>
        <w:tc>
          <w:tcPr>
            <w:tcW w:w="4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vMerge w:val="restart"/>
          </w:tcPr>
          <w:p>
            <w:pPr>
              <w:jc w:val="right"/>
              <w:ind w:right="223"/>
              <w:spacing w:after="0"/>
              <w:rPr>
                <w:sz w:val="20"/>
                <w:szCs w:val="20"/>
                <w:color w:val="auto"/>
              </w:rPr>
            </w:pPr>
            <w:r>
              <w:rPr>
                <w:rFonts w:ascii="Arial" w:cs="Arial" w:eastAsia="Arial" w:hAnsi="Arial"/>
                <w:sz w:val="11"/>
                <w:szCs w:val="11"/>
                <w:b w:val="1"/>
                <w:bCs w:val="1"/>
                <w:color w:val="auto"/>
              </w:rPr>
              <w:t>Cost</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3"/>
          </w:tcPr>
          <w:p>
            <w:pPr>
              <w:ind w:left="20"/>
              <w:spacing w:after="0"/>
              <w:rPr>
                <w:sz w:val="20"/>
                <w:szCs w:val="20"/>
                <w:color w:val="auto"/>
              </w:rPr>
            </w:pPr>
            <w:r>
              <w:rPr>
                <w:rFonts w:ascii="Arial" w:cs="Arial" w:eastAsia="Arial" w:hAnsi="Arial"/>
                <w:sz w:val="11"/>
                <w:szCs w:val="11"/>
                <w:b w:val="1"/>
                <w:bCs w:val="1"/>
                <w:color w:val="auto"/>
              </w:rPr>
              <w:t>Unrealized</w:t>
            </w:r>
          </w:p>
        </w:tc>
        <w:tc>
          <w:tcPr>
            <w:tcW w:w="100" w:type="dxa"/>
            <w:vAlign w:val="bottom"/>
          </w:tcPr>
          <w:p>
            <w:pPr>
              <w:spacing w:after="0"/>
              <w:rPr>
                <w:sz w:val="12"/>
                <w:szCs w:val="12"/>
                <w:color w:val="auto"/>
              </w:rPr>
            </w:pP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Unrealized</w:t>
            </w:r>
          </w:p>
        </w:tc>
        <w:tc>
          <w:tcPr>
            <w:tcW w:w="120" w:type="dxa"/>
            <w:vAlign w:val="bottom"/>
          </w:tcPr>
          <w:p>
            <w:pPr>
              <w:spacing w:after="0"/>
              <w:rPr>
                <w:sz w:val="12"/>
                <w:szCs w:val="12"/>
                <w:color w:val="auto"/>
              </w:rPr>
            </w:pPr>
          </w:p>
        </w:tc>
        <w:tc>
          <w:tcPr>
            <w:tcW w:w="900" w:type="dxa"/>
            <w:vAlign w:val="bottom"/>
            <w:gridSpan w:val="3"/>
          </w:tcPr>
          <w:p>
            <w:pPr>
              <w:jc w:val="center"/>
              <w:ind w:right="280"/>
              <w:spacing w:after="0"/>
              <w:rPr>
                <w:sz w:val="20"/>
                <w:szCs w:val="20"/>
                <w:color w:val="auto"/>
              </w:rPr>
            </w:pPr>
            <w:r>
              <w:rPr>
                <w:rFonts w:ascii="Arial" w:cs="Arial" w:eastAsia="Arial" w:hAnsi="Arial"/>
                <w:sz w:val="11"/>
                <w:szCs w:val="11"/>
                <w:b w:val="1"/>
                <w:bCs w:val="1"/>
                <w:color w:val="auto"/>
              </w:rPr>
              <w:t>Carrying</w:t>
            </w:r>
          </w:p>
        </w:tc>
        <w:tc>
          <w:tcPr>
            <w:tcW w:w="1080" w:type="dxa"/>
            <w:vAlign w:val="bottom"/>
            <w:gridSpan w:val="2"/>
            <w:vMerge w:val="restart"/>
          </w:tcPr>
          <w:p>
            <w:pPr>
              <w:jc w:val="right"/>
              <w:ind w:right="23"/>
              <w:spacing w:after="0"/>
              <w:rPr>
                <w:sz w:val="20"/>
                <w:szCs w:val="20"/>
                <w:color w:val="auto"/>
              </w:rPr>
            </w:pPr>
            <w:r>
              <w:rPr>
                <w:rFonts w:ascii="Arial" w:cs="Arial" w:eastAsia="Arial" w:hAnsi="Arial"/>
                <w:sz w:val="11"/>
                <w:szCs w:val="11"/>
                <w:b w:val="1"/>
                <w:bCs w:val="1"/>
                <w:color w:val="auto"/>
              </w:rPr>
              <w:t>Carrying Amount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60" w:type="dxa"/>
            <w:vAlign w:val="bottom"/>
          </w:tcPr>
          <w:p>
            <w:pPr>
              <w:spacing w:after="0"/>
              <w:rPr>
                <w:sz w:val="12"/>
                <w:szCs w:val="12"/>
                <w:color w:val="auto"/>
              </w:rPr>
            </w:pPr>
          </w:p>
        </w:tc>
        <w:tc>
          <w:tcPr>
            <w:tcW w:w="2400" w:type="dxa"/>
            <w:vAlign w:val="bottom"/>
            <w:tcBorders>
              <w:bottom w:val="single" w:sz="8" w:color="auto"/>
            </w:tcBorders>
            <w:vMerge w:val="continue"/>
          </w:tcPr>
          <w:p>
            <w:pPr>
              <w:spacing w:after="0"/>
              <w:rPr>
                <w:sz w:val="12"/>
                <w:szCs w:val="12"/>
                <w:color w:val="auto"/>
              </w:rPr>
            </w:pPr>
          </w:p>
        </w:tc>
        <w:tc>
          <w:tcPr>
            <w:tcW w:w="40" w:type="dxa"/>
            <w:vAlign w:val="bottom"/>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vMerge w:val="continue"/>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1"/>
                <w:szCs w:val="11"/>
                <w:b w:val="1"/>
                <w:bCs w:val="1"/>
                <w:color w:val="auto"/>
              </w:rPr>
              <w:t>Gains</w:t>
            </w:r>
          </w:p>
        </w:tc>
        <w:tc>
          <w:tcPr>
            <w:tcW w:w="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58"/>
              <w:spacing w:after="0"/>
              <w:rPr>
                <w:sz w:val="20"/>
                <w:szCs w:val="20"/>
                <w:color w:val="auto"/>
              </w:rPr>
            </w:pPr>
            <w:r>
              <w:rPr>
                <w:rFonts w:ascii="Arial" w:cs="Arial" w:eastAsia="Arial" w:hAnsi="Arial"/>
                <w:sz w:val="11"/>
                <w:szCs w:val="11"/>
                <w:b w:val="1"/>
                <w:bCs w:val="1"/>
                <w:color w:val="auto"/>
              </w:rPr>
              <w:t>Losses</w:t>
            </w:r>
          </w:p>
        </w:tc>
        <w:tc>
          <w:tcPr>
            <w:tcW w:w="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center"/>
              <w:ind w:right="52"/>
              <w:spacing w:after="0"/>
              <w:rPr>
                <w:sz w:val="20"/>
                <w:szCs w:val="20"/>
                <w:color w:val="auto"/>
              </w:rPr>
            </w:pPr>
            <w:r>
              <w:rPr>
                <w:rFonts w:ascii="Arial" w:cs="Arial" w:eastAsia="Arial" w:hAnsi="Arial"/>
                <w:sz w:val="11"/>
                <w:szCs w:val="11"/>
                <w:b w:val="1"/>
                <w:bCs w:val="1"/>
                <w:color w:val="auto"/>
              </w:rPr>
              <w:t>Amount</w:t>
            </w:r>
          </w:p>
        </w:tc>
        <w:tc>
          <w:tcPr>
            <w:tcW w:w="14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160" w:type="dxa"/>
            <w:vAlign w:val="bottom"/>
          </w:tcPr>
          <w:p>
            <w:pPr>
              <w:spacing w:after="0"/>
              <w:rPr>
                <w:sz w:val="14"/>
                <w:szCs w:val="14"/>
                <w:color w:val="auto"/>
              </w:rPr>
            </w:pPr>
          </w:p>
        </w:tc>
        <w:tc>
          <w:tcPr>
            <w:tcW w:w="2440" w:type="dxa"/>
            <w:vAlign w:val="bottom"/>
            <w:gridSpan w:val="2"/>
          </w:tcPr>
          <w:p>
            <w:pPr>
              <w:ind w:left="20"/>
              <w:spacing w:after="0"/>
              <w:rPr>
                <w:sz w:val="20"/>
                <w:szCs w:val="20"/>
                <w:color w:val="auto"/>
              </w:rPr>
            </w:pPr>
            <w:r>
              <w:rPr>
                <w:rFonts w:ascii="Arial" w:cs="Arial" w:eastAsia="Arial" w:hAnsi="Arial"/>
                <w:sz w:val="11"/>
                <w:szCs w:val="11"/>
                <w:color w:val="auto"/>
              </w:rPr>
              <w:t>Publicly traded companies</w:t>
            </w:r>
          </w:p>
        </w:tc>
        <w:tc>
          <w:tcPr>
            <w:tcW w:w="200" w:type="dxa"/>
            <w:vAlign w:val="bottom"/>
          </w:tcPr>
          <w:p>
            <w:pPr>
              <w:jc w:val="right"/>
              <w:ind w:right="43"/>
              <w:spacing w:after="0"/>
              <w:rPr>
                <w:sz w:val="20"/>
                <w:szCs w:val="20"/>
                <w:color w:val="auto"/>
              </w:rPr>
            </w:pPr>
            <w:r>
              <w:rPr>
                <w:rFonts w:ascii="Arial" w:cs="Arial" w:eastAsia="Arial" w:hAnsi="Arial"/>
                <w:sz w:val="11"/>
                <w:szCs w:val="11"/>
                <w:color w:val="auto"/>
              </w:rPr>
              <w:t>$</w:t>
            </w:r>
          </w:p>
        </w:tc>
        <w:tc>
          <w:tcPr>
            <w:tcW w:w="640" w:type="dxa"/>
            <w:vAlign w:val="bottom"/>
          </w:tcPr>
          <w:p>
            <w:pPr>
              <w:jc w:val="right"/>
              <w:spacing w:after="0"/>
              <w:rPr>
                <w:sz w:val="20"/>
                <w:szCs w:val="20"/>
                <w:color w:val="auto"/>
              </w:rPr>
            </w:pPr>
            <w:r>
              <w:rPr>
                <w:rFonts w:ascii="Arial" w:cs="Arial" w:eastAsia="Arial" w:hAnsi="Arial"/>
                <w:sz w:val="11"/>
                <w:szCs w:val="11"/>
                <w:color w:val="auto"/>
              </w:rPr>
              <w:t>201,321</w:t>
            </w:r>
          </w:p>
        </w:tc>
        <w:tc>
          <w:tcPr>
            <w:tcW w:w="180" w:type="dxa"/>
            <w:vAlign w:val="bottom"/>
          </w:tcPr>
          <w:p>
            <w:pPr>
              <w:spacing w:after="0"/>
              <w:rPr>
                <w:sz w:val="14"/>
                <w:szCs w:val="14"/>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720" w:type="dxa"/>
            <w:vAlign w:val="bottom"/>
            <w:gridSpan w:val="2"/>
          </w:tcPr>
          <w:p>
            <w:pPr>
              <w:jc w:val="right"/>
              <w:spacing w:after="0"/>
              <w:rPr>
                <w:sz w:val="20"/>
                <w:szCs w:val="20"/>
                <w:color w:val="auto"/>
              </w:rPr>
            </w:pPr>
            <w:r>
              <w:rPr>
                <w:rFonts w:ascii="Arial" w:cs="Arial" w:eastAsia="Arial" w:hAnsi="Arial"/>
                <w:sz w:val="11"/>
                <w:szCs w:val="11"/>
                <w:color w:val="auto"/>
              </w:rPr>
              <w:t>42,052</w:t>
            </w:r>
          </w:p>
        </w:tc>
        <w:tc>
          <w:tcPr>
            <w:tcW w:w="6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(90,182)</w:t>
            </w:r>
          </w:p>
        </w:tc>
        <w:tc>
          <w:tcPr>
            <w:tcW w:w="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153,191</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3"/>
              <w:spacing w:after="0"/>
              <w:rPr>
                <w:sz w:val="20"/>
                <w:szCs w:val="20"/>
                <w:color w:val="auto"/>
              </w:rPr>
            </w:pPr>
            <w:r>
              <w:rPr>
                <w:rFonts w:ascii="Arial" w:cs="Arial" w:eastAsia="Arial" w:hAnsi="Arial"/>
                <w:sz w:val="11"/>
                <w:szCs w:val="11"/>
                <w:color w:val="auto"/>
              </w:rPr>
              <w:t>159,566</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60" w:type="dxa"/>
            <w:vAlign w:val="bottom"/>
          </w:tcPr>
          <w:p>
            <w:pPr>
              <w:spacing w:after="0"/>
              <w:rPr>
                <w:sz w:val="15"/>
                <w:szCs w:val="15"/>
                <w:color w:val="auto"/>
              </w:rPr>
            </w:pPr>
          </w:p>
        </w:tc>
        <w:tc>
          <w:tcPr>
            <w:tcW w:w="2440" w:type="dxa"/>
            <w:vAlign w:val="bottom"/>
            <w:gridSpan w:val="2"/>
          </w:tcPr>
          <w:p>
            <w:pPr>
              <w:ind w:left="20"/>
              <w:spacing w:after="0"/>
              <w:rPr>
                <w:sz w:val="20"/>
                <w:szCs w:val="20"/>
                <w:color w:val="auto"/>
              </w:rPr>
            </w:pPr>
            <w:r>
              <w:rPr>
                <w:rFonts w:ascii="Arial" w:cs="Arial" w:eastAsia="Arial" w:hAnsi="Arial"/>
                <w:sz w:val="11"/>
                <w:szCs w:val="11"/>
                <w:color w:val="auto"/>
              </w:rPr>
              <w:t>Entities that report NAV</w:t>
            </w:r>
          </w:p>
        </w:tc>
        <w:tc>
          <w:tcPr>
            <w:tcW w:w="2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510,335</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right"/>
              <w:spacing w:after="0"/>
              <w:rPr>
                <w:sz w:val="20"/>
                <w:szCs w:val="20"/>
                <w:color w:val="auto"/>
              </w:rPr>
            </w:pPr>
            <w:r>
              <w:rPr>
                <w:rFonts w:ascii="Arial" w:cs="Arial" w:eastAsia="Arial" w:hAnsi="Arial"/>
                <w:sz w:val="11"/>
                <w:szCs w:val="11"/>
                <w:color w:val="auto"/>
              </w:rPr>
              <w:t>162,559</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(33,254)</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639,640</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jc w:val="right"/>
              <w:ind w:right="3"/>
              <w:spacing w:after="0"/>
              <w:rPr>
                <w:sz w:val="20"/>
                <w:szCs w:val="20"/>
                <w:color w:val="auto"/>
              </w:rPr>
            </w:pPr>
            <w:r>
              <w:rPr>
                <w:rFonts w:ascii="Arial" w:cs="Arial" w:eastAsia="Arial" w:hAnsi="Arial"/>
                <w:sz w:val="11"/>
                <w:szCs w:val="11"/>
                <w:color w:val="auto"/>
              </w:rPr>
              <w:t>671,532</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60" w:type="dxa"/>
            <w:vAlign w:val="bottom"/>
          </w:tcPr>
          <w:p>
            <w:pPr>
              <w:spacing w:after="0"/>
              <w:rPr>
                <w:sz w:val="15"/>
                <w:szCs w:val="15"/>
                <w:color w:val="auto"/>
              </w:rPr>
            </w:pPr>
          </w:p>
        </w:tc>
        <w:tc>
          <w:tcPr>
            <w:tcW w:w="2440" w:type="dxa"/>
            <w:vAlign w:val="bottom"/>
            <w:gridSpan w:val="2"/>
          </w:tcPr>
          <w:p>
            <w:pPr>
              <w:ind w:left="160"/>
              <w:spacing w:after="0"/>
              <w:rPr>
                <w:sz w:val="20"/>
                <w:szCs w:val="20"/>
                <w:color w:val="auto"/>
              </w:rPr>
            </w:pPr>
            <w:r>
              <w:rPr>
                <w:rFonts w:ascii="Arial" w:cs="Arial" w:eastAsia="Arial" w:hAnsi="Arial"/>
                <w:sz w:val="11"/>
                <w:szCs w:val="11"/>
                <w:color w:val="auto"/>
              </w:rPr>
              <w:t>Entities that do not report NAV:</w:t>
            </w: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60" w:type="dxa"/>
            <w:vAlign w:val="bottom"/>
          </w:tcPr>
          <w:p>
            <w:pPr>
              <w:spacing w:after="0"/>
              <w:rPr>
                <w:sz w:val="15"/>
                <w:szCs w:val="15"/>
                <w:color w:val="auto"/>
              </w:rPr>
            </w:pPr>
          </w:p>
        </w:tc>
        <w:tc>
          <w:tcPr>
            <w:tcW w:w="2440" w:type="dxa"/>
            <w:vAlign w:val="bottom"/>
            <w:gridSpan w:val="2"/>
          </w:tcPr>
          <w:p>
            <w:pPr>
              <w:ind w:left="220"/>
              <w:spacing w:after="0"/>
              <w:rPr>
                <w:sz w:val="20"/>
                <w:szCs w:val="20"/>
                <w:color w:val="auto"/>
              </w:rPr>
            </w:pPr>
            <w:r>
              <w:rPr>
                <w:rFonts w:ascii="Arial" w:cs="Arial" w:eastAsia="Arial" w:hAnsi="Arial"/>
                <w:sz w:val="11"/>
                <w:szCs w:val="11"/>
                <w:color w:val="auto"/>
              </w:rPr>
              <w:t>Entities with observable price changes</w:t>
            </w:r>
          </w:p>
        </w:tc>
        <w:tc>
          <w:tcPr>
            <w:tcW w:w="2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94,509</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right"/>
              <w:spacing w:after="0"/>
              <w:rPr>
                <w:sz w:val="20"/>
                <w:szCs w:val="20"/>
                <w:color w:val="auto"/>
              </w:rPr>
            </w:pPr>
            <w:r>
              <w:rPr>
                <w:rFonts w:ascii="Arial" w:cs="Arial" w:eastAsia="Arial" w:hAnsi="Arial"/>
                <w:sz w:val="11"/>
                <w:szCs w:val="11"/>
                <w:color w:val="auto"/>
              </w:rPr>
              <w:t>79,609</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(1,007)</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ind w:right="12"/>
              <w:spacing w:after="0"/>
              <w:rPr>
                <w:sz w:val="20"/>
                <w:szCs w:val="20"/>
                <w:color w:val="auto"/>
              </w:rPr>
            </w:pPr>
            <w:r>
              <w:rPr>
                <w:rFonts w:ascii="Arial" w:cs="Arial" w:eastAsia="Arial" w:hAnsi="Arial"/>
                <w:sz w:val="11"/>
                <w:szCs w:val="11"/>
                <w:color w:val="auto"/>
              </w:rPr>
              <w:t>173,111</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jc w:val="right"/>
              <w:ind w:right="3"/>
              <w:spacing w:after="0"/>
              <w:rPr>
                <w:sz w:val="20"/>
                <w:szCs w:val="20"/>
                <w:color w:val="auto"/>
              </w:rPr>
            </w:pPr>
            <w:r>
              <w:rPr>
                <w:rFonts w:ascii="Arial" w:cs="Arial" w:eastAsia="Arial" w:hAnsi="Arial"/>
                <w:sz w:val="11"/>
                <w:szCs w:val="11"/>
                <w:color w:val="auto"/>
              </w:rPr>
              <w:t>174,268</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60" w:type="dxa"/>
            <w:vAlign w:val="bottom"/>
          </w:tcPr>
          <w:p>
            <w:pPr>
              <w:spacing w:after="0"/>
              <w:rPr>
                <w:sz w:val="15"/>
                <w:szCs w:val="15"/>
                <w:color w:val="auto"/>
              </w:rPr>
            </w:pPr>
          </w:p>
        </w:tc>
        <w:tc>
          <w:tcPr>
            <w:tcW w:w="2440" w:type="dxa"/>
            <w:vAlign w:val="bottom"/>
            <w:gridSpan w:val="2"/>
          </w:tcPr>
          <w:p>
            <w:pPr>
              <w:ind w:left="220"/>
              <w:spacing w:after="0"/>
              <w:rPr>
                <w:sz w:val="20"/>
                <w:szCs w:val="20"/>
                <w:color w:val="auto"/>
              </w:rPr>
            </w:pPr>
            <w:r>
              <w:rPr>
                <w:rFonts w:ascii="Arial" w:cs="Arial" w:eastAsia="Arial" w:hAnsi="Arial"/>
                <w:sz w:val="11"/>
                <w:szCs w:val="11"/>
                <w:color w:val="auto"/>
              </w:rPr>
              <w:t>Entities without observable price changes</w:t>
            </w:r>
          </w:p>
        </w:tc>
        <w:tc>
          <w:tcPr>
            <w:tcW w:w="2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389,124</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389,124</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jc w:val="right"/>
              <w:ind w:right="3"/>
              <w:spacing w:after="0"/>
              <w:rPr>
                <w:sz w:val="20"/>
                <w:szCs w:val="20"/>
                <w:color w:val="auto"/>
              </w:rPr>
            </w:pPr>
            <w:r>
              <w:rPr>
                <w:rFonts w:ascii="Arial" w:cs="Arial" w:eastAsia="Arial" w:hAnsi="Arial"/>
                <w:sz w:val="11"/>
                <w:szCs w:val="11"/>
                <w:color w:val="auto"/>
              </w:rPr>
              <w:t>368,654</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160" w:type="dxa"/>
            <w:vAlign w:val="bottom"/>
          </w:tcPr>
          <w:p>
            <w:pPr>
              <w:spacing w:after="0"/>
              <w:rPr>
                <w:sz w:val="13"/>
                <w:szCs w:val="13"/>
                <w:color w:val="auto"/>
              </w:rPr>
            </w:pPr>
          </w:p>
        </w:tc>
        <w:tc>
          <w:tcPr>
            <w:tcW w:w="2440" w:type="dxa"/>
            <w:vAlign w:val="bottom"/>
            <w:gridSpan w:val="2"/>
          </w:tcPr>
          <w:p>
            <w:pPr>
              <w:ind w:left="20"/>
              <w:spacing w:after="0"/>
              <w:rPr>
                <w:sz w:val="20"/>
                <w:szCs w:val="20"/>
                <w:color w:val="auto"/>
              </w:rPr>
            </w:pPr>
            <w:r>
              <w:rPr>
                <w:rFonts w:ascii="Arial" w:cs="Arial" w:eastAsia="Arial" w:hAnsi="Arial"/>
                <w:sz w:val="11"/>
                <w:szCs w:val="11"/>
                <w:color w:val="auto"/>
              </w:rPr>
              <w:t>Investments accounted for under the equity</w:t>
            </w:r>
          </w:p>
        </w:tc>
        <w:tc>
          <w:tcPr>
            <w:tcW w:w="200" w:type="dxa"/>
            <w:vAlign w:val="bottom"/>
          </w:tcPr>
          <w:p>
            <w:pPr>
              <w:spacing w:after="0"/>
              <w:rPr>
                <w:sz w:val="13"/>
                <w:szCs w:val="13"/>
                <w:color w:val="auto"/>
              </w:rPr>
            </w:pPr>
          </w:p>
        </w:tc>
        <w:tc>
          <w:tcPr>
            <w:tcW w:w="640" w:type="dxa"/>
            <w:vAlign w:val="bottom"/>
            <w:vMerge w:val="restart"/>
          </w:tcPr>
          <w:p>
            <w:pPr>
              <w:jc w:val="right"/>
              <w:ind w:right="23"/>
              <w:spacing w:after="0"/>
              <w:rPr>
                <w:sz w:val="20"/>
                <w:szCs w:val="20"/>
                <w:color w:val="auto"/>
              </w:rPr>
            </w:pPr>
            <w:r>
              <w:rPr>
                <w:rFonts w:ascii="Arial" w:cs="Arial" w:eastAsia="Arial" w:hAnsi="Arial"/>
                <w:sz w:val="11"/>
                <w:szCs w:val="11"/>
                <w:color w:val="auto"/>
              </w:rPr>
              <w:t>N/A</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gridSpan w:val="2"/>
            <w:vMerge w:val="restart"/>
          </w:tcPr>
          <w:p>
            <w:pPr>
              <w:ind w:left="160"/>
              <w:spacing w:after="0"/>
              <w:rPr>
                <w:sz w:val="20"/>
                <w:szCs w:val="20"/>
                <w:color w:val="auto"/>
              </w:rPr>
            </w:pPr>
            <w:r>
              <w:rPr>
                <w:rFonts w:ascii="Arial" w:cs="Arial" w:eastAsia="Arial" w:hAnsi="Arial"/>
                <w:sz w:val="11"/>
                <w:szCs w:val="11"/>
                <w:color w:val="auto"/>
              </w:rPr>
              <w:t>N/A</w:t>
            </w:r>
          </w:p>
        </w:tc>
        <w:tc>
          <w:tcPr>
            <w:tcW w:w="100" w:type="dxa"/>
            <w:vAlign w:val="bottom"/>
          </w:tcPr>
          <w:p>
            <w:pPr>
              <w:spacing w:after="0"/>
              <w:rPr>
                <w:sz w:val="13"/>
                <w:szCs w:val="13"/>
                <w:color w:val="auto"/>
              </w:rPr>
            </w:pPr>
          </w:p>
        </w:tc>
        <w:tc>
          <w:tcPr>
            <w:tcW w:w="780" w:type="dxa"/>
            <w:vAlign w:val="bottom"/>
            <w:gridSpan w:val="2"/>
            <w:vMerge w:val="restart"/>
          </w:tcPr>
          <w:p>
            <w:pPr>
              <w:ind w:left="460"/>
              <w:spacing w:after="0"/>
              <w:rPr>
                <w:sz w:val="20"/>
                <w:szCs w:val="20"/>
                <w:color w:val="auto"/>
              </w:rPr>
            </w:pPr>
            <w:r>
              <w:rPr>
                <w:rFonts w:ascii="Arial" w:cs="Arial" w:eastAsia="Arial" w:hAnsi="Arial"/>
                <w:sz w:val="11"/>
                <w:szCs w:val="11"/>
                <w:color w:val="auto"/>
              </w:rPr>
              <w:t>N/A</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160" w:type="dxa"/>
            <w:vAlign w:val="bottom"/>
          </w:tcPr>
          <w:p>
            <w:pPr>
              <w:spacing w:after="0"/>
              <w:rPr>
                <w:sz w:val="7"/>
                <w:szCs w:val="7"/>
                <w:color w:val="auto"/>
              </w:rPr>
            </w:pPr>
          </w:p>
        </w:tc>
        <w:tc>
          <w:tcPr>
            <w:tcW w:w="2440" w:type="dxa"/>
            <w:vAlign w:val="bottom"/>
            <w:gridSpan w:val="2"/>
            <w:vMerge w:val="restart"/>
          </w:tcPr>
          <w:p>
            <w:pPr>
              <w:ind w:left="160"/>
              <w:spacing w:after="0"/>
              <w:rPr>
                <w:sz w:val="20"/>
                <w:szCs w:val="20"/>
                <w:color w:val="auto"/>
              </w:rPr>
            </w:pPr>
            <w:r>
              <w:rPr>
                <w:rFonts w:ascii="Arial" w:cs="Arial" w:eastAsia="Arial" w:hAnsi="Arial"/>
                <w:sz w:val="11"/>
                <w:szCs w:val="11"/>
                <w:color w:val="auto"/>
              </w:rPr>
              <w:t>method</w:t>
            </w:r>
          </w:p>
        </w:tc>
        <w:tc>
          <w:tcPr>
            <w:tcW w:w="2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5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vMerge w:val="restart"/>
          </w:tcPr>
          <w:p>
            <w:pPr>
              <w:jc w:val="right"/>
              <w:spacing w:after="0"/>
              <w:rPr>
                <w:sz w:val="20"/>
                <w:szCs w:val="20"/>
                <w:color w:val="auto"/>
              </w:rPr>
            </w:pPr>
            <w:r>
              <w:rPr>
                <w:rFonts w:ascii="Arial" w:cs="Arial" w:eastAsia="Arial" w:hAnsi="Arial"/>
                <w:sz w:val="11"/>
                <w:szCs w:val="11"/>
                <w:color w:val="auto"/>
              </w:rPr>
              <w:t>139,282</w:t>
            </w: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tcPr>
          <w:p>
            <w:pPr>
              <w:spacing w:after="0"/>
              <w:rPr>
                <w:sz w:val="7"/>
                <w:szCs w:val="7"/>
                <w:color w:val="auto"/>
              </w:rPr>
            </w:pPr>
          </w:p>
        </w:tc>
        <w:tc>
          <w:tcPr>
            <w:tcW w:w="780" w:type="dxa"/>
            <w:vAlign w:val="bottom"/>
            <w:vMerge w:val="restart"/>
          </w:tcPr>
          <w:p>
            <w:pPr>
              <w:jc w:val="right"/>
              <w:ind w:right="3"/>
              <w:spacing w:after="0"/>
              <w:rPr>
                <w:sz w:val="20"/>
                <w:szCs w:val="20"/>
                <w:color w:val="auto"/>
              </w:rPr>
            </w:pPr>
            <w:r>
              <w:rPr>
                <w:rFonts w:ascii="Arial" w:cs="Arial" w:eastAsia="Arial" w:hAnsi="Arial"/>
                <w:sz w:val="11"/>
                <w:szCs w:val="11"/>
                <w:color w:val="auto"/>
              </w:rPr>
              <w:t>75,498</w:t>
            </w: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0"/>
        </w:trPr>
        <w:tc>
          <w:tcPr>
            <w:tcW w:w="160" w:type="dxa"/>
            <w:vAlign w:val="bottom"/>
          </w:tcPr>
          <w:p>
            <w:pPr>
              <w:spacing w:after="0"/>
              <w:rPr>
                <w:sz w:val="4"/>
                <w:szCs w:val="4"/>
                <w:color w:val="auto"/>
              </w:rPr>
            </w:pPr>
          </w:p>
        </w:tc>
        <w:tc>
          <w:tcPr>
            <w:tcW w:w="2440" w:type="dxa"/>
            <w:vAlign w:val="bottom"/>
            <w:gridSpan w:val="2"/>
            <w:vMerge w:val="continue"/>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vMerge w:val="continue"/>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vMerge w:val="continue"/>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160" w:type="dxa"/>
            <w:vAlign w:val="bottom"/>
          </w:tcPr>
          <w:p>
            <w:pPr>
              <w:spacing w:after="0"/>
              <w:rPr>
                <w:sz w:val="12"/>
                <w:szCs w:val="12"/>
                <w:color w:val="auto"/>
              </w:rPr>
            </w:pPr>
          </w:p>
        </w:tc>
        <w:tc>
          <w:tcPr>
            <w:tcW w:w="2440" w:type="dxa"/>
            <w:vAlign w:val="bottom"/>
            <w:gridSpan w:val="2"/>
          </w:tcPr>
          <w:p>
            <w:pPr>
              <w:ind w:left="20"/>
              <w:spacing w:after="0"/>
              <w:rPr>
                <w:sz w:val="20"/>
                <w:szCs w:val="20"/>
                <w:color w:val="auto"/>
              </w:rPr>
            </w:pPr>
            <w:r>
              <w:rPr>
                <w:rFonts w:ascii="Arial" w:cs="Arial" w:eastAsia="Arial" w:hAnsi="Arial"/>
                <w:sz w:val="11"/>
                <w:szCs w:val="11"/>
                <w:color w:val="auto"/>
              </w:rPr>
              <w:t>June 30, 2024</w:t>
            </w:r>
          </w:p>
        </w:tc>
        <w:tc>
          <w:tcPr>
            <w:tcW w:w="20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1,195,289</w:t>
            </w:r>
          </w:p>
        </w:tc>
        <w:tc>
          <w:tcPr>
            <w:tcW w:w="180" w:type="dxa"/>
            <w:vAlign w:val="bottom"/>
          </w:tcPr>
          <w:p>
            <w:pPr>
              <w:jc w:val="right"/>
              <w:ind w:right="3"/>
              <w:spacing w:after="0"/>
              <w:rPr>
                <w:sz w:val="20"/>
                <w:szCs w:val="20"/>
                <w:color w:val="auto"/>
              </w:rPr>
            </w:pPr>
            <w:r>
              <w:rPr>
                <w:rFonts w:ascii="Arial" w:cs="Arial" w:eastAsia="Arial" w:hAnsi="Arial"/>
                <w:sz w:val="7"/>
                <w:szCs w:val="7"/>
                <w:color w:val="auto"/>
              </w:rPr>
              <w:t>(6)</w:t>
            </w:r>
          </w:p>
        </w:tc>
        <w:tc>
          <w:tcPr>
            <w:tcW w:w="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color w:val="auto"/>
              </w:rPr>
              <w:t>284,220</w:t>
            </w:r>
          </w:p>
        </w:tc>
        <w:tc>
          <w:tcPr>
            <w:tcW w:w="60" w:type="dxa"/>
            <w:vAlign w:val="bottom"/>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(124,443)</w:t>
            </w:r>
          </w:p>
        </w:tc>
        <w:tc>
          <w:tcPr>
            <w:tcW w:w="40" w:type="dxa"/>
            <w:vAlign w:val="bottom"/>
          </w:tcPr>
          <w:p>
            <w:pPr>
              <w:spacing w:after="0"/>
              <w:rPr>
                <w:sz w:val="12"/>
                <w:szCs w:val="1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1,494,348</w:t>
            </w:r>
          </w:p>
        </w:tc>
        <w:tc>
          <w:tcPr>
            <w:tcW w:w="14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1,449,518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160" w:type="dxa"/>
            <w:vAlign w:val="bottom"/>
          </w:tcPr>
          <w:p>
            <w:pPr>
              <w:spacing w:after="0"/>
              <w:rPr>
                <w:sz w:val="17"/>
                <w:szCs w:val="17"/>
                <w:color w:val="auto"/>
              </w:rPr>
            </w:pPr>
          </w:p>
        </w:tc>
        <w:tc>
          <w:tcPr>
            <w:tcW w:w="2440" w:type="dxa"/>
            <w:vAlign w:val="bottom"/>
            <w:gridSpan w:val="2"/>
          </w:tcPr>
          <w:p>
            <w:pPr>
              <w:ind w:left="20"/>
              <w:spacing w:after="0"/>
              <w:rPr>
                <w:sz w:val="20"/>
                <w:szCs w:val="20"/>
                <w:color w:val="auto"/>
              </w:rPr>
            </w:pPr>
            <w:r>
              <w:rPr>
                <w:rFonts w:ascii="Arial" w:cs="Arial" w:eastAsia="Arial" w:hAnsi="Arial"/>
                <w:sz w:val="11"/>
                <w:szCs w:val="11"/>
                <w:color w:val="auto"/>
              </w:rPr>
              <w:t>December 31, 2023</w:t>
            </w:r>
          </w:p>
        </w:tc>
        <w:tc>
          <w:tcPr>
            <w:tcW w:w="20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1,177,072</w:t>
            </w:r>
          </w:p>
        </w:tc>
        <w:tc>
          <w:tcPr>
            <w:tcW w:w="180" w:type="dxa"/>
            <w:vAlign w:val="bottom"/>
          </w:tcPr>
          <w:p>
            <w:pPr>
              <w:spacing w:after="0"/>
              <w:rPr>
                <w:sz w:val="17"/>
                <w:szCs w:val="17"/>
                <w:color w:val="auto"/>
              </w:rPr>
            </w:pPr>
          </w:p>
        </w:tc>
        <w:tc>
          <w:tcPr>
            <w:tcW w:w="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color w:val="auto"/>
              </w:rPr>
              <w:t>320,445</w:t>
            </w:r>
          </w:p>
        </w:tc>
        <w:tc>
          <w:tcPr>
            <w:tcW w:w="6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(123,497)</w:t>
            </w:r>
          </w:p>
        </w:tc>
        <w:tc>
          <w:tcPr>
            <w:tcW w:w="4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1,449,518</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7"/>
        </w:trPr>
        <w:tc>
          <w:tcPr>
            <w:tcW w:w="160" w:type="dxa"/>
            <w:vAlign w:val="bottom"/>
            <w:tcBorders>
              <w:bottom w:val="single" w:sz="8" w:color="1F497D"/>
            </w:tcBorders>
          </w:tcPr>
          <w:p>
            <w:pPr>
              <w:spacing w:after="0"/>
              <w:rPr>
                <w:sz w:val="24"/>
                <w:szCs w:val="24"/>
                <w:color w:val="auto"/>
              </w:rPr>
            </w:pPr>
          </w:p>
        </w:tc>
        <w:tc>
          <w:tcPr>
            <w:tcW w:w="3280" w:type="dxa"/>
            <w:vAlign w:val="bottom"/>
            <w:tcBorders>
              <w:bottom w:val="single" w:sz="8" w:color="1F497D"/>
            </w:tcBorders>
            <w:gridSpan w:val="4"/>
          </w:tcPr>
          <w:p>
            <w:pPr>
              <w:ind w:left="400"/>
              <w:spacing w:after="0"/>
              <w:rPr>
                <w:sz w:val="20"/>
                <w:szCs w:val="20"/>
                <w:color w:val="auto"/>
              </w:rPr>
            </w:pPr>
            <w:r>
              <w:rPr>
                <w:rFonts w:ascii="Arial" w:cs="Arial" w:eastAsia="Arial" w:hAnsi="Arial"/>
                <w:sz w:val="21"/>
                <w:szCs w:val="21"/>
                <w:b w:val="1"/>
                <w:bCs w:val="1"/>
                <w:color w:val="1F497D"/>
              </w:rPr>
              <w:t>Public/Private Mix (Cost)</w:t>
            </w:r>
          </w:p>
        </w:tc>
        <w:tc>
          <w:tcPr>
            <w:tcW w:w="180" w:type="dxa"/>
            <w:vAlign w:val="bottom"/>
            <w:tcBorders>
              <w:bottom w:val="single" w:sz="8" w:color="1F497D"/>
            </w:tcBorders>
          </w:tcPr>
          <w:p>
            <w:pPr>
              <w:spacing w:after="0"/>
              <w:rPr>
                <w:sz w:val="24"/>
                <w:szCs w:val="24"/>
                <w:color w:val="auto"/>
              </w:rPr>
            </w:pPr>
          </w:p>
        </w:tc>
        <w:tc>
          <w:tcPr>
            <w:tcW w:w="20" w:type="dxa"/>
            <w:vAlign w:val="bottom"/>
            <w:tcBorders>
              <w:bottom w:val="single" w:sz="8" w:color="1F497D"/>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80" w:type="dxa"/>
            <w:vAlign w:val="bottom"/>
            <w:tcBorders>
              <w:bottom w:val="single" w:sz="8" w:color="1F497D"/>
            </w:tcBorders>
            <w:gridSpan w:val="11"/>
          </w:tcPr>
          <w:p>
            <w:pPr>
              <w:jc w:val="right"/>
              <w:ind w:right="103"/>
              <w:spacing w:after="0"/>
              <w:rPr>
                <w:sz w:val="20"/>
                <w:szCs w:val="20"/>
                <w:color w:val="auto"/>
              </w:rPr>
            </w:pPr>
            <w:r>
              <w:rPr>
                <w:rFonts w:ascii="Arial" w:cs="Arial" w:eastAsia="Arial" w:hAnsi="Arial"/>
                <w:sz w:val="21"/>
                <w:szCs w:val="21"/>
                <w:b w:val="1"/>
                <w:bCs w:val="1"/>
                <w:color w:val="1F497D"/>
              </w:rPr>
              <w:t>Tenant/Non-Tenant Mix (Cost)</w:t>
            </w:r>
          </w:p>
        </w:tc>
        <w:tc>
          <w:tcPr>
            <w:tcW w:w="160" w:type="dxa"/>
            <w:vAlign w:val="bottom"/>
            <w:tcBorders>
              <w:bottom w:val="single" w:sz="8" w:color="1F497D"/>
            </w:tcBorders>
          </w:tcPr>
          <w:p>
            <w:pPr>
              <w:spacing w:after="0"/>
              <w:rPr>
                <w:sz w:val="24"/>
                <w:szCs w:val="24"/>
                <w:color w:val="auto"/>
              </w:rPr>
            </w:pPr>
          </w:p>
        </w:tc>
        <w:tc>
          <w:tcPr>
            <w:tcW w:w="0" w:type="dxa"/>
            <w:vAlign w:val="bottom"/>
          </w:tcPr>
          <w:p>
            <w:pPr>
              <w:spacing w:after="0"/>
              <w:rPr>
                <w:sz w:val="1"/>
                <w:szCs w:val="1"/>
                <w:color w:val="auto"/>
              </w:rPr>
            </w:pPr>
          </w:p>
        </w:tc>
      </w:tr>
      <w:tr>
        <w:trPr>
          <w:trHeight w:val="885"/>
        </w:trPr>
        <w:tc>
          <w:tcPr>
            <w:tcW w:w="160" w:type="dxa"/>
            <w:vAlign w:val="bottom"/>
          </w:tcPr>
          <w:p>
            <w:pPr>
              <w:spacing w:after="0"/>
              <w:rPr>
                <w:sz w:val="24"/>
                <w:szCs w:val="24"/>
                <w:color w:val="auto"/>
              </w:rPr>
            </w:pPr>
          </w:p>
        </w:tc>
        <w:tc>
          <w:tcPr>
            <w:tcW w:w="2400" w:type="dxa"/>
            <w:vAlign w:val="bottom"/>
          </w:tcPr>
          <w:p>
            <w:pPr>
              <w:jc w:val="center"/>
              <w:ind w:left="768"/>
              <w:spacing w:after="0"/>
              <w:rPr>
                <w:sz w:val="20"/>
                <w:szCs w:val="20"/>
                <w:color w:val="auto"/>
              </w:rPr>
            </w:pPr>
            <w:r>
              <w:rPr>
                <w:rFonts w:ascii="Arial" w:cs="Arial" w:eastAsia="Arial" w:hAnsi="Arial"/>
                <w:sz w:val="20"/>
                <w:szCs w:val="20"/>
                <w:b w:val="1"/>
                <w:bCs w:val="1"/>
                <w:color w:val="05C3DE"/>
                <w:w w:val="99"/>
              </w:rPr>
              <w:t>15%</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20"/>
                <w:szCs w:val="20"/>
                <w:b w:val="1"/>
                <w:bCs w:val="1"/>
                <w:color w:val="05C3DE"/>
                <w:w w:val="99"/>
              </w:rPr>
              <w:t>29%</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160" w:type="dxa"/>
            <w:vAlign w:val="bottom"/>
          </w:tcPr>
          <w:p>
            <w:pPr>
              <w:spacing w:after="0"/>
              <w:rPr>
                <w:sz w:val="23"/>
                <w:szCs w:val="23"/>
                <w:color w:val="auto"/>
              </w:rPr>
            </w:pPr>
          </w:p>
        </w:tc>
        <w:tc>
          <w:tcPr>
            <w:tcW w:w="2440" w:type="dxa"/>
            <w:vAlign w:val="bottom"/>
            <w:gridSpan w:val="2"/>
          </w:tcPr>
          <w:p>
            <w:pPr>
              <w:jc w:val="center"/>
              <w:ind w:left="728"/>
              <w:spacing w:after="0"/>
              <w:rPr>
                <w:sz w:val="20"/>
                <w:szCs w:val="20"/>
                <w:color w:val="auto"/>
              </w:rPr>
            </w:pPr>
            <w:r>
              <w:rPr>
                <w:rFonts w:ascii="Arial" w:cs="Arial" w:eastAsia="Arial" w:hAnsi="Arial"/>
                <w:sz w:val="20"/>
                <w:szCs w:val="20"/>
                <w:b w:val="1"/>
                <w:bCs w:val="1"/>
                <w:color w:val="05C3DE"/>
                <w:w w:val="99"/>
              </w:rPr>
              <w:t>Public</w:t>
            </w: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gridSpan w:val="3"/>
          </w:tcPr>
          <w:p>
            <w:pPr>
              <w:jc w:val="center"/>
              <w:ind w:right="240"/>
              <w:spacing w:after="0"/>
              <w:rPr>
                <w:sz w:val="20"/>
                <w:szCs w:val="20"/>
                <w:color w:val="auto"/>
              </w:rPr>
            </w:pPr>
            <w:r>
              <w:rPr>
                <w:rFonts w:ascii="Arial" w:cs="Arial" w:eastAsia="Arial" w:hAnsi="Arial"/>
                <w:sz w:val="20"/>
                <w:szCs w:val="20"/>
                <w:b w:val="1"/>
                <w:bCs w:val="1"/>
                <w:color w:val="05C3DE"/>
              </w:rPr>
              <w:t>Tenant</w:t>
            </w:r>
          </w:p>
        </w:tc>
        <w:tc>
          <w:tcPr>
            <w:tcW w:w="3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2"/>
        </w:trPr>
        <w:tc>
          <w:tcPr>
            <w:tcW w:w="160" w:type="dxa"/>
            <w:vAlign w:val="bottom"/>
          </w:tcPr>
          <w:p>
            <w:pPr>
              <w:spacing w:after="0"/>
              <w:rPr>
                <w:sz w:val="23"/>
                <w:szCs w:val="23"/>
                <w:color w:val="auto"/>
              </w:rPr>
            </w:pPr>
          </w:p>
        </w:tc>
        <w:tc>
          <w:tcPr>
            <w:tcW w:w="2400" w:type="dxa"/>
            <w:vAlign w:val="bottom"/>
          </w:tcPr>
          <w:p>
            <w:pPr>
              <w:jc w:val="center"/>
              <w:ind w:left="768"/>
              <w:spacing w:after="0"/>
              <w:rPr>
                <w:sz w:val="20"/>
                <w:szCs w:val="20"/>
                <w:color w:val="auto"/>
              </w:rPr>
            </w:pPr>
            <w:r>
              <w:rPr>
                <w:rFonts w:ascii="Arial" w:cs="Arial" w:eastAsia="Arial" w:hAnsi="Arial"/>
                <w:sz w:val="20"/>
                <w:szCs w:val="20"/>
                <w:b w:val="1"/>
                <w:bCs w:val="1"/>
                <w:color w:val="002F86"/>
                <w:w w:val="99"/>
              </w:rPr>
              <w:t>85%</w:t>
            </w: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jc w:val="center"/>
              <w:spacing w:after="0"/>
              <w:rPr>
                <w:sz w:val="20"/>
                <w:szCs w:val="20"/>
                <w:color w:val="auto"/>
              </w:rPr>
            </w:pPr>
            <w:r>
              <w:rPr>
                <w:rFonts w:ascii="Arial" w:cs="Arial" w:eastAsia="Arial" w:hAnsi="Arial"/>
                <w:sz w:val="20"/>
                <w:szCs w:val="20"/>
                <w:b w:val="1"/>
                <w:bCs w:val="1"/>
                <w:color w:val="002F86"/>
                <w:w w:val="99"/>
              </w:rPr>
              <w:t>71%</w:t>
            </w: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160" w:type="dxa"/>
            <w:vAlign w:val="bottom"/>
          </w:tcPr>
          <w:p>
            <w:pPr>
              <w:spacing w:after="0"/>
              <w:rPr>
                <w:sz w:val="23"/>
                <w:szCs w:val="23"/>
                <w:color w:val="auto"/>
              </w:rPr>
            </w:pPr>
          </w:p>
        </w:tc>
        <w:tc>
          <w:tcPr>
            <w:tcW w:w="2440" w:type="dxa"/>
            <w:vAlign w:val="bottom"/>
            <w:gridSpan w:val="2"/>
          </w:tcPr>
          <w:p>
            <w:pPr>
              <w:jc w:val="center"/>
              <w:ind w:left="728"/>
              <w:spacing w:after="0"/>
              <w:rPr>
                <w:sz w:val="20"/>
                <w:szCs w:val="20"/>
                <w:color w:val="auto"/>
              </w:rPr>
            </w:pPr>
            <w:r>
              <w:rPr>
                <w:rFonts w:ascii="Arial" w:cs="Arial" w:eastAsia="Arial" w:hAnsi="Arial"/>
                <w:sz w:val="20"/>
                <w:szCs w:val="20"/>
                <w:b w:val="1"/>
                <w:bCs w:val="1"/>
                <w:color w:val="002F86"/>
              </w:rPr>
              <w:t>Private</w:t>
            </w: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0" w:type="dxa"/>
            <w:vAlign w:val="bottom"/>
            <w:gridSpan w:val="6"/>
          </w:tcPr>
          <w:p>
            <w:pPr>
              <w:jc w:val="center"/>
              <w:ind w:left="598"/>
              <w:spacing w:after="0"/>
              <w:rPr>
                <w:sz w:val="20"/>
                <w:szCs w:val="20"/>
                <w:color w:val="auto"/>
              </w:rPr>
            </w:pPr>
            <w:r>
              <w:rPr>
                <w:rFonts w:ascii="Arial" w:cs="Arial" w:eastAsia="Arial" w:hAnsi="Arial"/>
                <w:sz w:val="20"/>
                <w:szCs w:val="20"/>
                <w:b w:val="1"/>
                <w:bCs w:val="1"/>
                <w:color w:val="002F86"/>
                <w:w w:val="98"/>
              </w:rPr>
              <w:t>Non-Tenant</w:t>
            </w:r>
          </w:p>
        </w:tc>
        <w:tc>
          <w:tcPr>
            <w:tcW w:w="3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900" w:right="859" w:hanging="262"/>
        <w:spacing w:after="0" w:line="279" w:lineRule="auto"/>
        <w:tabs>
          <w:tab w:leader="none" w:pos="900" w:val="left"/>
        </w:tabs>
        <w:numPr>
          <w:ilvl w:val="0"/>
          <w:numId w:val="108"/>
        </w:numPr>
        <w:rPr>
          <w:rFonts w:ascii="Arial" w:cs="Arial" w:eastAsia="Arial" w:hAnsi="Arial"/>
          <w:sz w:val="10"/>
          <w:szCs w:val="10"/>
          <w:color w:val="auto"/>
        </w:rPr>
      </w:pPr>
      <w:r>
        <w:rPr>
          <w:rFonts w:ascii="Arial" w:cs="Arial" w:eastAsia="Arial" w:hAnsi="Arial"/>
          <w:sz w:val="10"/>
          <w:szCs w:val="10"/>
          <w:color w:val="auto"/>
        </w:rPr>
        <w:t>Consists of realized gains of $33.4 million and $62.2 million, partially offset by impairment charges of $12.8 million and $27.5 million during the three and six months ended June 30, 2024, respectively.</w:t>
      </w:r>
    </w:p>
    <w:p>
      <w:pPr>
        <w:ind w:left="900" w:hanging="262"/>
        <w:spacing w:after="0"/>
        <w:tabs>
          <w:tab w:leader="none" w:pos="900" w:val="left"/>
        </w:tabs>
        <w:numPr>
          <w:ilvl w:val="0"/>
          <w:numId w:val="108"/>
        </w:numPr>
        <w:rPr>
          <w:rFonts w:ascii="Arial" w:cs="Arial" w:eastAsia="Arial" w:hAnsi="Arial"/>
          <w:sz w:val="10"/>
          <w:szCs w:val="10"/>
          <w:color w:val="auto"/>
        </w:rPr>
      </w:pPr>
      <w:r>
        <w:rPr>
          <w:rFonts w:ascii="Arial" w:cs="Arial" w:eastAsia="Arial" w:hAnsi="Arial"/>
          <w:sz w:val="10"/>
          <w:szCs w:val="10"/>
          <w:color w:val="auto"/>
        </w:rPr>
        <w:t>Consists of realized gains of $80.6 million, offset by impairment charges of $74.6 million during the year ended December 31, 2023.</w:t>
      </w:r>
    </w:p>
    <w:p>
      <w:pPr>
        <w:spacing w:after="0" w:line="3" w:lineRule="exact"/>
        <w:rPr>
          <w:rFonts w:ascii="Arial" w:cs="Arial" w:eastAsia="Arial" w:hAnsi="Arial"/>
          <w:sz w:val="10"/>
          <w:szCs w:val="10"/>
          <w:color w:val="auto"/>
        </w:rPr>
      </w:pPr>
    </w:p>
    <w:p>
      <w:pPr>
        <w:ind w:left="900" w:right="719" w:hanging="262"/>
        <w:spacing w:after="0" w:line="249" w:lineRule="auto"/>
        <w:tabs>
          <w:tab w:leader="none" w:pos="900" w:val="left"/>
        </w:tabs>
        <w:numPr>
          <w:ilvl w:val="0"/>
          <w:numId w:val="108"/>
        </w:numPr>
        <w:rPr>
          <w:rFonts w:ascii="Arial" w:cs="Arial" w:eastAsia="Arial" w:hAnsi="Arial"/>
          <w:sz w:val="10"/>
          <w:szCs w:val="10"/>
          <w:color w:val="auto"/>
        </w:rPr>
      </w:pPr>
      <w:r>
        <w:rPr>
          <w:rFonts w:ascii="Arial" w:cs="Arial" w:eastAsia="Arial" w:hAnsi="Arial"/>
          <w:sz w:val="10"/>
          <w:szCs w:val="10"/>
          <w:color w:val="auto"/>
        </w:rPr>
        <w:t>Consists of unrealized losses of $20.2 million primarily resulting from the decrease in fair values of our investments in publicly traded entities and $44.1 million resulting from accounting reclassifications of unrealized gains recognized in prior periods into realized gains upon our realization of investments during the three months ended June 30, 2024.</w:t>
      </w:r>
    </w:p>
    <w:p>
      <w:pPr>
        <w:spacing w:after="0" w:line="1" w:lineRule="exact"/>
        <w:rPr>
          <w:rFonts w:ascii="Arial" w:cs="Arial" w:eastAsia="Arial" w:hAnsi="Arial"/>
          <w:sz w:val="10"/>
          <w:szCs w:val="10"/>
          <w:color w:val="auto"/>
        </w:rPr>
      </w:pPr>
    </w:p>
    <w:p>
      <w:pPr>
        <w:ind w:left="900" w:right="759" w:hanging="262"/>
        <w:spacing w:after="0" w:line="275" w:lineRule="auto"/>
        <w:tabs>
          <w:tab w:leader="none" w:pos="900" w:val="left"/>
        </w:tabs>
        <w:numPr>
          <w:ilvl w:val="0"/>
          <w:numId w:val="108"/>
        </w:numPr>
        <w:rPr>
          <w:rFonts w:ascii="Arial" w:cs="Arial" w:eastAsia="Arial" w:hAnsi="Arial"/>
          <w:sz w:val="10"/>
          <w:szCs w:val="10"/>
          <w:color w:val="auto"/>
        </w:rPr>
      </w:pPr>
      <w:r>
        <w:rPr>
          <w:rFonts w:ascii="Arial" w:cs="Arial" w:eastAsia="Arial" w:hAnsi="Arial"/>
          <w:sz w:val="10"/>
          <w:szCs w:val="10"/>
          <w:color w:val="auto"/>
        </w:rPr>
        <w:t>Primarily relates to the accounting reclassifications of unrealized gains recognized in prior periods into realized gains upon our realization of investments during the six months ended June 30, 2024.</w:t>
      </w:r>
    </w:p>
    <w:p>
      <w:pPr>
        <w:sectPr>
          <w:pgSz w:w="11900" w:h="16841" w:orient="portrait"/>
          <w:cols w:equalWidth="0" w:num="1">
            <w:col w:w="9019"/>
          </w:cols>
          <w:pgMar w:left="1440" w:top="118" w:right="1440" w:bottom="0" w:gutter="0" w:footer="0" w:header="0"/>
        </w:sectPr>
      </w:pPr>
    </w:p>
    <w:bookmarkStart w:id="57" w:name="page58"/>
    <w:bookmarkEnd w:id="57"/>
    <w:p>
      <w:pPr>
        <w:ind w:left="900" w:hanging="262"/>
        <w:spacing w:after="0"/>
        <w:tabs>
          <w:tab w:leader="none" w:pos="900" w:val="left"/>
        </w:tabs>
        <w:numPr>
          <w:ilvl w:val="0"/>
          <w:numId w:val="109"/>
        </w:numPr>
        <w:rPr>
          <w:rFonts w:ascii="Arial" w:cs="Arial" w:eastAsia="Arial" w:hAnsi="Arial"/>
          <w:sz w:val="10"/>
          <w:szCs w:val="10"/>
          <w:color w:val="auto"/>
        </w:rPr>
      </w:pPr>
      <w:r>
        <w:rPr>
          <w:rFonts w:ascii="Arial" w:cs="Arial" w:eastAsia="Arial" w:hAnsi="Arial"/>
          <w:sz w:val="10"/>
          <w:szCs w:val="10"/>
          <w:color w:val="auto"/>
        </w:rPr>
        <w:t>Consists of unrealized losses of $111.6 million primarily resulting from the decrease in the fair value of our investments in privately held entities that report NAV and</w:t>
      </w:r>
    </w:p>
    <w:p>
      <w:pPr>
        <w:ind w:left="900" w:right="679"/>
        <w:spacing w:after="0" w:line="251" w:lineRule="auto"/>
        <w:rPr>
          <w:rFonts w:ascii="Arial" w:cs="Arial" w:eastAsia="Arial" w:hAnsi="Arial"/>
          <w:sz w:val="10"/>
          <w:szCs w:val="10"/>
          <w:color w:val="auto"/>
        </w:rPr>
      </w:pPr>
      <w:r>
        <w:rPr>
          <w:rFonts w:ascii="Arial" w:cs="Arial" w:eastAsia="Arial" w:hAnsi="Arial"/>
          <w:sz w:val="10"/>
          <w:szCs w:val="10"/>
          <w:color w:val="auto"/>
        </w:rPr>
        <w:t>$89.9 million resulting from accounting reclassifications of unrealized gains recognized in prior periods into realized gains upon our sales of investments, during the year ended December 31, 2023.</w:t>
      </w:r>
    </w:p>
    <w:p>
      <w:pPr>
        <w:ind w:left="900" w:hanging="262"/>
        <w:spacing w:after="0"/>
        <w:tabs>
          <w:tab w:leader="none" w:pos="900" w:val="left"/>
        </w:tabs>
        <w:numPr>
          <w:ilvl w:val="0"/>
          <w:numId w:val="109"/>
        </w:numPr>
        <w:rPr>
          <w:rFonts w:ascii="Arial" w:cs="Arial" w:eastAsia="Arial" w:hAnsi="Arial"/>
          <w:sz w:val="10"/>
          <w:szCs w:val="10"/>
          <w:color w:val="auto"/>
        </w:rPr>
      </w:pPr>
      <w:r>
        <w:rPr>
          <w:rFonts w:ascii="Arial" w:cs="Arial" w:eastAsia="Arial" w:hAnsi="Arial"/>
          <w:sz w:val="10"/>
          <w:szCs w:val="10"/>
          <w:color w:val="auto"/>
        </w:rPr>
        <w:t>Represents 2.8% of gross assets as of June 30, 2024. Refer to the definition of “Gross assets” under “Definitions and reconciliations” in Item 2 for additional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-242570</wp:posOffset>
            </wp:positionV>
            <wp:extent cx="5584190" cy="112839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584190" cy="1128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188595</wp:posOffset>
            </wp:positionV>
            <wp:extent cx="5584190" cy="722058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Liquidity</w:t>
      </w:r>
    </w:p>
    <w:p>
      <w:pPr>
        <w:sectPr>
          <w:pgSz w:w="11900" w:h="16838" w:orient="portrait"/>
          <w:cols w:equalWidth="0" w:num="1">
            <w:col w:w="9019"/>
          </w:cols>
          <w:pgMar w:left="1440" w:top="52" w:right="1440" w:bottom="0" w:gutter="0" w:footer="0" w:header="0"/>
        </w:sectPr>
      </w:pPr>
    </w:p>
    <w:p>
      <w:pPr>
        <w:spacing w:after="0" w:line="200" w:lineRule="exact"/>
        <w:rPr>
          <w:sz w:val="20"/>
          <w:szCs w:val="20"/>
          <w:color w:val="auto"/>
        </w:rPr>
      </w:pPr>
    </w:p>
    <w:p>
      <w:pPr>
        <w:spacing w:after="0" w:line="282" w:lineRule="exact"/>
        <w:rPr>
          <w:sz w:val="20"/>
          <w:szCs w:val="20"/>
          <w:color w:val="auto"/>
        </w:rPr>
      </w:pPr>
    </w:p>
    <w:p>
      <w:pPr>
        <w:jc w:val="center"/>
        <w:ind w:left="640"/>
        <w:spacing w:after="0"/>
        <w:rPr>
          <w:sz w:val="20"/>
          <w:szCs w:val="20"/>
          <w:color w:val="auto"/>
        </w:rPr>
      </w:pPr>
      <w:r>
        <w:rPr>
          <w:rFonts w:ascii="Arial" w:cs="Arial" w:eastAsia="Arial" w:hAnsi="Arial"/>
          <w:sz w:val="17"/>
          <w:szCs w:val="17"/>
          <w:b w:val="1"/>
          <w:bCs w:val="1"/>
          <w:color w:val="0F497D"/>
        </w:rPr>
        <w:t>Liquidity</w:t>
      </w:r>
    </w:p>
    <w:p>
      <w:pPr>
        <w:ind w:left="860"/>
        <w:spacing w:after="0" w:line="231" w:lineRule="auto"/>
        <w:rPr>
          <w:sz w:val="20"/>
          <w:szCs w:val="20"/>
          <w:color w:val="auto"/>
        </w:rPr>
      </w:pPr>
      <w:r>
        <w:rPr>
          <w:rFonts w:ascii="Arial" w:cs="Arial" w:eastAsia="Arial" w:hAnsi="Arial"/>
          <w:sz w:val="126"/>
          <w:szCs w:val="126"/>
          <w:color w:val="1F497D"/>
        </w:rPr>
        <w:t>$5.6B</w:t>
      </w:r>
    </w:p>
    <w:p>
      <w:pPr>
        <w:spacing w:after="0" w:line="5" w:lineRule="exact"/>
        <w:rPr>
          <w:sz w:val="20"/>
          <w:szCs w:val="20"/>
          <w:color w:val="auto"/>
        </w:rPr>
      </w:pPr>
    </w:p>
    <w:p>
      <w:pPr>
        <w:ind w:left="680"/>
        <w:spacing w:after="0"/>
        <w:rPr>
          <w:sz w:val="20"/>
          <w:szCs w:val="20"/>
          <w:color w:val="auto"/>
        </w:rPr>
      </w:pPr>
      <w:r>
        <w:rPr>
          <w:rFonts w:ascii="Arial" w:cs="Arial" w:eastAsia="Arial" w:hAnsi="Arial"/>
          <w:sz w:val="11"/>
          <w:szCs w:val="11"/>
          <w:i w:val="1"/>
          <w:iCs w:val="1"/>
          <w:color w:val="auto"/>
        </w:rPr>
        <w:t>(In millions)</w:t>
      </w:r>
    </w:p>
    <w:p>
      <w:pPr>
        <w:spacing w:after="0" w:line="48" w:lineRule="exact"/>
        <w:rPr>
          <w:sz w:val="20"/>
          <w:szCs w:val="20"/>
          <w:color w:val="auto"/>
        </w:rPr>
      </w:pPr>
    </w:p>
    <w:p>
      <w:pPr>
        <w:ind w:left="680"/>
        <w:spacing w:after="0"/>
        <w:rPr>
          <w:sz w:val="20"/>
          <w:szCs w:val="20"/>
          <w:color w:val="auto"/>
        </w:rPr>
      </w:pPr>
      <w:r>
        <w:rPr>
          <w:rFonts w:ascii="Arial" w:cs="Arial" w:eastAsia="Arial" w:hAnsi="Arial"/>
          <w:sz w:val="11"/>
          <w:szCs w:val="11"/>
          <w:color w:val="auto"/>
        </w:rPr>
        <w:t>Availability under our unsecured senior line of credit, net of</w:t>
      </w:r>
    </w:p>
    <w:p>
      <w:pPr>
        <w:ind w:left="800"/>
        <w:spacing w:after="0"/>
        <w:rPr>
          <w:sz w:val="20"/>
          <w:szCs w:val="20"/>
          <w:color w:val="auto"/>
        </w:rPr>
      </w:pPr>
      <w:r>
        <w:rPr>
          <w:rFonts w:ascii="Arial" w:cs="Arial" w:eastAsia="Arial" w:hAnsi="Arial"/>
          <w:sz w:val="11"/>
          <w:szCs w:val="11"/>
          <w:color w:val="auto"/>
        </w:rPr>
        <w:t>amounts outstanding under our commercial paper program  $  4,800</w:t>
      </w:r>
    </w:p>
    <w:p>
      <w:pPr>
        <w:spacing w:after="0" w:line="43" w:lineRule="exact"/>
        <w:rPr>
          <w:sz w:val="20"/>
          <w:szCs w:val="20"/>
          <w:color w:val="auto"/>
        </w:rPr>
      </w:pPr>
    </w:p>
    <w:tbl>
      <w:tblPr>
        <w:tblLayout w:type="fixed"/>
        <w:tblInd w:w="680" w:type="dxa"/>
        <w:tblCellMar>
          <w:top w:w="0" w:type="dxa"/>
          <w:left w:w="0" w:type="dxa"/>
          <w:bottom w:w="0" w:type="dxa"/>
          <w:right w:w="0" w:type="dxa"/>
        </w:tblCellMar>
      </w:tblPr>
      <w:tr>
        <w:trPr>
          <w:trHeight w:val="185"/>
        </w:trPr>
        <w:tc>
          <w:tcPr>
            <w:tcW w:w="3160" w:type="dxa"/>
            <w:vAlign w:val="bottom"/>
          </w:tcPr>
          <w:p>
            <w:pPr>
              <w:spacing w:after="0"/>
              <w:rPr>
                <w:sz w:val="20"/>
                <w:szCs w:val="20"/>
                <w:color w:val="auto"/>
              </w:rPr>
            </w:pPr>
            <w:r>
              <w:rPr>
                <w:rFonts w:ascii="Arial" w:cs="Arial" w:eastAsia="Arial" w:hAnsi="Arial"/>
                <w:sz w:val="11"/>
                <w:szCs w:val="11"/>
                <w:color w:val="auto"/>
              </w:rPr>
              <w:t>Outstanding forward equity sales agreements</w:t>
            </w:r>
            <w:r>
              <w:rPr>
                <w:rFonts w:ascii="Arial" w:cs="Arial" w:eastAsia="Arial" w:hAnsi="Arial"/>
                <w:sz w:val="14"/>
                <w:szCs w:val="14"/>
                <w:color w:val="auto"/>
                <w:vertAlign w:val="superscript"/>
              </w:rPr>
              <w:t>(1)</w:t>
            </w:r>
          </w:p>
        </w:tc>
        <w:tc>
          <w:tcPr>
            <w:tcW w:w="520" w:type="dxa"/>
            <w:vAlign w:val="bottom"/>
          </w:tcPr>
          <w:p>
            <w:pPr>
              <w:jc w:val="right"/>
              <w:spacing w:after="0"/>
              <w:rPr>
                <w:sz w:val="20"/>
                <w:szCs w:val="20"/>
                <w:color w:val="auto"/>
              </w:rPr>
            </w:pPr>
            <w:r>
              <w:rPr>
                <w:rFonts w:ascii="Arial" w:cs="Arial" w:eastAsia="Arial" w:hAnsi="Arial"/>
                <w:sz w:val="11"/>
                <w:szCs w:val="11"/>
                <w:color w:val="auto"/>
              </w:rPr>
              <w:t>27</w:t>
            </w:r>
          </w:p>
        </w:tc>
      </w:tr>
      <w:tr>
        <w:trPr>
          <w:trHeight w:val="150"/>
        </w:trPr>
        <w:tc>
          <w:tcPr>
            <w:tcW w:w="3160" w:type="dxa"/>
            <w:vAlign w:val="bottom"/>
          </w:tcPr>
          <w:p>
            <w:pPr>
              <w:spacing w:after="0"/>
              <w:rPr>
                <w:sz w:val="20"/>
                <w:szCs w:val="20"/>
                <w:color w:val="auto"/>
              </w:rPr>
            </w:pPr>
            <w:r>
              <w:rPr>
                <w:rFonts w:ascii="Arial" w:cs="Arial" w:eastAsia="Arial" w:hAnsi="Arial"/>
                <w:sz w:val="11"/>
                <w:szCs w:val="11"/>
                <w:color w:val="auto"/>
              </w:rPr>
              <w:t>Cash, cash equivalents, and restricted cash</w:t>
            </w:r>
          </w:p>
        </w:tc>
        <w:tc>
          <w:tcPr>
            <w:tcW w:w="520" w:type="dxa"/>
            <w:vAlign w:val="bottom"/>
          </w:tcPr>
          <w:p>
            <w:pPr>
              <w:jc w:val="right"/>
              <w:spacing w:after="0"/>
              <w:rPr>
                <w:sz w:val="20"/>
                <w:szCs w:val="20"/>
                <w:color w:val="auto"/>
              </w:rPr>
            </w:pPr>
            <w:r>
              <w:rPr>
                <w:rFonts w:ascii="Arial" w:cs="Arial" w:eastAsia="Arial" w:hAnsi="Arial"/>
                <w:sz w:val="11"/>
                <w:szCs w:val="11"/>
                <w:color w:val="auto"/>
              </w:rPr>
              <w:t>566</w:t>
            </w:r>
          </w:p>
        </w:tc>
      </w:tr>
      <w:tr>
        <w:trPr>
          <w:trHeight w:val="183"/>
        </w:trPr>
        <w:tc>
          <w:tcPr>
            <w:tcW w:w="3160" w:type="dxa"/>
            <w:vAlign w:val="bottom"/>
          </w:tcPr>
          <w:p>
            <w:pPr>
              <w:spacing w:after="0"/>
              <w:rPr>
                <w:sz w:val="20"/>
                <w:szCs w:val="20"/>
                <w:color w:val="auto"/>
              </w:rPr>
            </w:pPr>
            <w:r>
              <w:rPr>
                <w:rFonts w:ascii="Arial" w:cs="Arial" w:eastAsia="Arial" w:hAnsi="Arial"/>
                <w:sz w:val="11"/>
                <w:szCs w:val="11"/>
                <w:color w:val="auto"/>
              </w:rPr>
              <w:t>Availability under our secured construction loan</w:t>
            </w:r>
          </w:p>
        </w:tc>
        <w:tc>
          <w:tcPr>
            <w:tcW w:w="520" w:type="dxa"/>
            <w:vAlign w:val="bottom"/>
          </w:tcPr>
          <w:p>
            <w:pPr>
              <w:jc w:val="right"/>
              <w:spacing w:after="0"/>
              <w:rPr>
                <w:sz w:val="20"/>
                <w:szCs w:val="20"/>
                <w:color w:val="auto"/>
              </w:rPr>
            </w:pPr>
            <w:r>
              <w:rPr>
                <w:rFonts w:ascii="Arial" w:cs="Arial" w:eastAsia="Arial" w:hAnsi="Arial"/>
                <w:sz w:val="11"/>
                <w:szCs w:val="11"/>
                <w:color w:val="auto"/>
              </w:rPr>
              <w:t>61</w:t>
            </w:r>
          </w:p>
        </w:tc>
      </w:tr>
      <w:tr>
        <w:trPr>
          <w:trHeight w:val="179"/>
        </w:trPr>
        <w:tc>
          <w:tcPr>
            <w:tcW w:w="3160" w:type="dxa"/>
            <w:vAlign w:val="bottom"/>
          </w:tcPr>
          <w:p>
            <w:pPr>
              <w:spacing w:after="0"/>
              <w:rPr>
                <w:sz w:val="20"/>
                <w:szCs w:val="20"/>
                <w:color w:val="auto"/>
              </w:rPr>
            </w:pPr>
            <w:r>
              <w:rPr>
                <w:rFonts w:ascii="Arial" w:cs="Arial" w:eastAsia="Arial" w:hAnsi="Arial"/>
                <w:sz w:val="11"/>
                <w:szCs w:val="11"/>
                <w:color w:val="auto"/>
              </w:rPr>
              <w:t>Investments in publicly traded companies</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153</w:t>
            </w:r>
          </w:p>
        </w:tc>
      </w:tr>
      <w:tr>
        <w:trPr>
          <w:trHeight w:val="141"/>
        </w:trPr>
        <w:tc>
          <w:tcPr>
            <w:tcW w:w="3160" w:type="dxa"/>
            <w:vAlign w:val="bottom"/>
          </w:tcPr>
          <w:p>
            <w:pPr>
              <w:ind w:left="100"/>
              <w:spacing w:after="0"/>
              <w:rPr>
                <w:sz w:val="20"/>
                <w:szCs w:val="20"/>
                <w:color w:val="auto"/>
              </w:rPr>
            </w:pPr>
            <w:r>
              <w:rPr>
                <w:rFonts w:ascii="Arial" w:cs="Arial" w:eastAsia="Arial" w:hAnsi="Arial"/>
                <w:sz w:val="11"/>
                <w:szCs w:val="11"/>
                <w:color w:val="auto"/>
              </w:rPr>
              <w:t>Liquidity as of June 30, 2024</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  5,607</w:t>
            </w:r>
          </w:p>
        </w:tc>
      </w:tr>
      <w:tr>
        <w:trPr>
          <w:trHeight w:val="20"/>
        </w:trPr>
        <w:tc>
          <w:tcPr>
            <w:tcW w:w="3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jc w:val="center"/>
        <w:ind w:left="-239"/>
        <w:spacing w:after="0" w:line="237" w:lineRule="auto"/>
        <w:rPr>
          <w:sz w:val="20"/>
          <w:szCs w:val="20"/>
          <w:color w:val="auto"/>
        </w:rPr>
      </w:pPr>
      <w:r>
        <w:rPr>
          <w:rFonts w:ascii="Arial" w:cs="Arial" w:eastAsia="Arial" w:hAnsi="Arial"/>
          <w:sz w:val="17"/>
          <w:szCs w:val="17"/>
          <w:b w:val="1"/>
          <w:bCs w:val="1"/>
          <w:color w:val="00497F"/>
        </w:rPr>
        <w:t>Minimal Outstanding Borrowings and Significant Availability on Unsecured Senior Line of Credit</w:t>
      </w:r>
    </w:p>
    <w:p>
      <w:pPr>
        <w:spacing w:after="0" w:line="12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(in millions)</w:t>
      </w:r>
    </w:p>
    <w:p>
      <w:pPr>
        <w:spacing w:after="0" w:line="2550" w:lineRule="exact"/>
        <w:rPr>
          <w:sz w:val="20"/>
          <w:szCs w:val="20"/>
          <w:color w:val="auto"/>
        </w:rPr>
      </w:pPr>
    </w:p>
    <w:p>
      <w:pPr>
        <w:sectPr>
          <w:pgSz w:w="11900" w:h="16838" w:orient="portrait"/>
          <w:cols w:equalWidth="0" w:num="2">
            <w:col w:w="4360" w:space="220"/>
            <w:col w:w="4439"/>
          </w:cols>
          <w:pgMar w:left="1440" w:top="52" w:right="1440" w:bottom="0" w:gutter="0" w:footer="0" w:header="0"/>
          <w:type w:val="continuous"/>
        </w:sectPr>
      </w:pPr>
    </w:p>
    <w:p>
      <w:pPr>
        <w:ind w:left="900" w:right="1019" w:hanging="262"/>
        <w:spacing w:after="0" w:line="305" w:lineRule="auto"/>
        <w:tabs>
          <w:tab w:leader="none" w:pos="900" w:val="left"/>
        </w:tabs>
        <w:numPr>
          <w:ilvl w:val="0"/>
          <w:numId w:val="110"/>
        </w:numPr>
        <w:rPr>
          <w:rFonts w:ascii="Arial" w:cs="Arial" w:eastAsia="Arial" w:hAnsi="Arial"/>
          <w:sz w:val="10"/>
          <w:szCs w:val="10"/>
          <w:color w:val="auto"/>
        </w:rPr>
      </w:pPr>
      <w:r>
        <w:rPr>
          <w:rFonts w:ascii="Arial" w:cs="Arial" w:eastAsia="Arial" w:hAnsi="Arial"/>
          <w:sz w:val="10"/>
          <w:szCs w:val="10"/>
          <w:color w:val="auto"/>
        </w:rPr>
        <w:t>Represents expected net proceeds from the future settlement of 230 thousand shares of common stock under forward equity sales agreements after underwriter discounts.</w:t>
      </w:r>
    </w:p>
    <w:p>
      <w:pPr>
        <w:spacing w:after="0" w:line="88" w:lineRule="exact"/>
        <w:rPr>
          <w:sz w:val="20"/>
          <w:szCs w:val="20"/>
          <w:color w:val="auto"/>
        </w:rPr>
      </w:pPr>
    </w:p>
    <w:p>
      <w:pPr>
        <w:ind w:left="640" w:right="679" w:firstLine="516"/>
        <w:spacing w:after="0" w:line="254" w:lineRule="auto"/>
        <w:rPr>
          <w:sz w:val="20"/>
          <w:szCs w:val="20"/>
          <w:color w:val="auto"/>
        </w:rPr>
      </w:pPr>
      <w:r>
        <w:rPr>
          <w:rFonts w:ascii="Arial" w:cs="Arial" w:eastAsia="Arial" w:hAnsi="Arial"/>
          <w:sz w:val="13"/>
          <w:szCs w:val="13"/>
          <w:color w:val="auto"/>
        </w:rPr>
        <w:t>We expect to meet certain long-term liquidity requirements, such as requirements for development, redevelopment, other construction projects, capital improvements, tenant improvements, property acquisitions, leasing costs, non-revenue-enhancing capital expenditures, scheduled debt maturities, distributions to noncontrolling interests, and payment of dividends through net cash provided by operating activities, periodic asset sales, strategic real estate joint ventures, long-term secured and unsecured indebtedness, borrowings under our unsecured senior line of credit, issuances under our commercial paper program, and issuances of additional debt and/or equity securities.</w:t>
      </w:r>
    </w:p>
    <w:p>
      <w:pPr>
        <w:spacing w:after="0" w:line="135" w:lineRule="exact"/>
        <w:rPr>
          <w:sz w:val="20"/>
          <w:szCs w:val="20"/>
          <w:color w:val="auto"/>
        </w:rPr>
      </w:pPr>
    </w:p>
    <w:p>
      <w:pPr>
        <w:ind w:left="640" w:right="719" w:firstLine="516"/>
        <w:spacing w:after="0" w:line="265" w:lineRule="auto"/>
        <w:rPr>
          <w:sz w:val="20"/>
          <w:szCs w:val="20"/>
          <w:color w:val="auto"/>
        </w:rPr>
      </w:pPr>
      <w:r>
        <w:rPr>
          <w:rFonts w:ascii="Arial" w:cs="Arial" w:eastAsia="Arial" w:hAnsi="Arial"/>
          <w:sz w:val="13"/>
          <w:szCs w:val="13"/>
          <w:color w:val="auto"/>
        </w:rPr>
        <w:t>We also expect to continue meeting our short-term liquidity and capital requirements, as further detailed in this section, generally through our working capital and net cash provided by operating activities. We believe that the net cash provided by operating activities will continue to be sufficient to enable us to make the distributions necessary to continue qualifying as a REIT.</w:t>
      </w:r>
    </w:p>
    <w:p>
      <w:pPr>
        <w:spacing w:after="0" w:line="128" w:lineRule="exact"/>
        <w:rPr>
          <w:sz w:val="20"/>
          <w:szCs w:val="20"/>
          <w:color w:val="auto"/>
        </w:rPr>
      </w:pPr>
    </w:p>
    <w:p>
      <w:pPr>
        <w:ind w:left="640" w:right="879" w:firstLine="516"/>
        <w:spacing w:after="0" w:line="314" w:lineRule="auto"/>
        <w:rPr>
          <w:sz w:val="20"/>
          <w:szCs w:val="20"/>
          <w:color w:val="auto"/>
        </w:rPr>
      </w:pPr>
      <w:r>
        <w:rPr>
          <w:rFonts w:ascii="Arial" w:cs="Arial" w:eastAsia="Arial" w:hAnsi="Arial"/>
          <w:sz w:val="12"/>
          <w:szCs w:val="12"/>
          <w:color w:val="auto"/>
        </w:rPr>
        <w:t>For additional information on our liquidity requirements related to our contractual obligations and commitments, refer to Note 5 – “Leases” and Note 10 – “Secured and unsecured senior debt” to our unaudited consolidated financial statements in Item 1.</w:t>
      </w:r>
    </w:p>
    <w:p>
      <w:pPr>
        <w:spacing w:after="0" w:line="101" w:lineRule="exact"/>
        <w:rPr>
          <w:sz w:val="20"/>
          <w:szCs w:val="20"/>
          <w:color w:val="auto"/>
        </w:rPr>
      </w:pPr>
    </w:p>
    <w:p>
      <w:pPr>
        <w:ind w:left="1160"/>
        <w:spacing w:after="0"/>
        <w:rPr>
          <w:sz w:val="20"/>
          <w:szCs w:val="20"/>
          <w:color w:val="auto"/>
        </w:rPr>
      </w:pPr>
      <w:r>
        <w:rPr>
          <w:rFonts w:ascii="Arial" w:cs="Arial" w:eastAsia="Arial" w:hAnsi="Arial"/>
          <w:sz w:val="13"/>
          <w:szCs w:val="13"/>
          <w:color w:val="auto"/>
        </w:rPr>
        <w:t>Over the next several years, our balance sheet, capital structure, and liquidity objectives are as follows:</w:t>
      </w:r>
    </w:p>
    <w:p>
      <w:pPr>
        <w:spacing w:after="0" w:line="162" w:lineRule="exact"/>
        <w:rPr>
          <w:sz w:val="20"/>
          <w:szCs w:val="20"/>
          <w:color w:val="auto"/>
        </w:rPr>
      </w:pPr>
    </w:p>
    <w:p>
      <w:pPr>
        <w:ind w:left="1420" w:right="999" w:hanging="267"/>
        <w:spacing w:after="0" w:line="256" w:lineRule="auto"/>
        <w:tabs>
          <w:tab w:leader="none" w:pos="1420" w:val="left"/>
        </w:tabs>
        <w:numPr>
          <w:ilvl w:val="0"/>
          <w:numId w:val="111"/>
        </w:numPr>
        <w:rPr>
          <w:rFonts w:ascii="Arial" w:cs="Arial" w:eastAsia="Arial" w:hAnsi="Arial"/>
          <w:sz w:val="13"/>
          <w:szCs w:val="13"/>
          <w:color w:val="auto"/>
        </w:rPr>
      </w:pPr>
      <w:r>
        <w:rPr>
          <w:rFonts w:ascii="Arial" w:cs="Arial" w:eastAsia="Arial" w:hAnsi="Arial"/>
          <w:sz w:val="13"/>
          <w:szCs w:val="13"/>
          <w:color w:val="auto"/>
        </w:rPr>
        <w:t>Retain cash flows from operating activities after payment of dividends and distributions to noncontrolling interests for investment in development and redevelopment projects and/or acquisitions;</w:t>
      </w:r>
    </w:p>
    <w:p>
      <w:pPr>
        <w:ind w:left="1420" w:hanging="267"/>
        <w:spacing w:after="0"/>
        <w:tabs>
          <w:tab w:leader="none" w:pos="1420" w:val="left"/>
        </w:tabs>
        <w:numPr>
          <w:ilvl w:val="0"/>
          <w:numId w:val="111"/>
        </w:numPr>
        <w:rPr>
          <w:rFonts w:ascii="Arial" w:cs="Arial" w:eastAsia="Arial" w:hAnsi="Arial"/>
          <w:sz w:val="13"/>
          <w:szCs w:val="13"/>
          <w:color w:val="auto"/>
        </w:rPr>
      </w:pPr>
      <w:r>
        <w:rPr>
          <w:rFonts w:ascii="Arial" w:cs="Arial" w:eastAsia="Arial" w:hAnsi="Arial"/>
          <w:sz w:val="13"/>
          <w:szCs w:val="13"/>
          <w:color w:val="auto"/>
        </w:rPr>
        <w:t>Maintain significant balance sheet liquidity;</w:t>
      </w:r>
    </w:p>
    <w:p>
      <w:pPr>
        <w:spacing w:after="0" w:line="5" w:lineRule="exact"/>
        <w:rPr>
          <w:rFonts w:ascii="Arial" w:cs="Arial" w:eastAsia="Arial" w:hAnsi="Arial"/>
          <w:sz w:val="13"/>
          <w:szCs w:val="13"/>
          <w:color w:val="auto"/>
        </w:rPr>
      </w:pPr>
    </w:p>
    <w:p>
      <w:pPr>
        <w:ind w:left="1420" w:hanging="267"/>
        <w:spacing w:after="0"/>
        <w:tabs>
          <w:tab w:leader="none" w:pos="1420" w:val="left"/>
        </w:tabs>
        <w:numPr>
          <w:ilvl w:val="0"/>
          <w:numId w:val="111"/>
        </w:numPr>
        <w:rPr>
          <w:rFonts w:ascii="Arial" w:cs="Arial" w:eastAsia="Arial" w:hAnsi="Arial"/>
          <w:sz w:val="13"/>
          <w:szCs w:val="13"/>
          <w:color w:val="auto"/>
        </w:rPr>
      </w:pPr>
      <w:r>
        <w:rPr>
          <w:rFonts w:ascii="Arial" w:cs="Arial" w:eastAsia="Arial" w:hAnsi="Arial"/>
          <w:sz w:val="13"/>
          <w:szCs w:val="13"/>
          <w:color w:val="auto"/>
        </w:rPr>
        <w:t>Improve credit profile and relative long-term cost of capital;</w:t>
      </w:r>
    </w:p>
    <w:p>
      <w:pPr>
        <w:ind w:left="1420" w:right="759" w:hanging="267"/>
        <w:spacing w:after="0" w:line="250" w:lineRule="auto"/>
        <w:tabs>
          <w:tab w:leader="none" w:pos="1420" w:val="left"/>
        </w:tabs>
        <w:numPr>
          <w:ilvl w:val="0"/>
          <w:numId w:val="111"/>
        </w:numPr>
        <w:rPr>
          <w:rFonts w:ascii="Arial" w:cs="Arial" w:eastAsia="Arial" w:hAnsi="Arial"/>
          <w:sz w:val="13"/>
          <w:szCs w:val="13"/>
          <w:color w:val="auto"/>
        </w:rPr>
      </w:pPr>
      <w:r>
        <w:rPr>
          <w:rFonts w:ascii="Arial" w:cs="Arial" w:eastAsia="Arial" w:hAnsi="Arial"/>
          <w:sz w:val="13"/>
          <w:szCs w:val="13"/>
          <w:color w:val="auto"/>
        </w:rPr>
        <w:t>Maintain diverse sources of capital, including sources from net cash provided by operating activities, unsecured debt, secured debt, selective real estate asset sales, strategic real estate joint ventures, non-real estate investment sales, and common stock;</w:t>
      </w:r>
    </w:p>
    <w:p>
      <w:pPr>
        <w:ind w:left="1420" w:hanging="267"/>
        <w:spacing w:after="0"/>
        <w:tabs>
          <w:tab w:leader="none" w:pos="1420" w:val="left"/>
        </w:tabs>
        <w:numPr>
          <w:ilvl w:val="0"/>
          <w:numId w:val="111"/>
        </w:numPr>
        <w:rPr>
          <w:rFonts w:ascii="Arial" w:cs="Arial" w:eastAsia="Arial" w:hAnsi="Arial"/>
          <w:sz w:val="13"/>
          <w:szCs w:val="13"/>
          <w:color w:val="auto"/>
        </w:rPr>
      </w:pPr>
      <w:r>
        <w:rPr>
          <w:rFonts w:ascii="Arial" w:cs="Arial" w:eastAsia="Arial" w:hAnsi="Arial"/>
          <w:sz w:val="13"/>
          <w:szCs w:val="13"/>
          <w:color w:val="auto"/>
        </w:rPr>
        <w:t>Maintain commitment to long-term capital to fund growth;</w:t>
      </w:r>
    </w:p>
    <w:p>
      <w:pPr>
        <w:spacing w:after="0" w:line="5" w:lineRule="exact"/>
        <w:rPr>
          <w:rFonts w:ascii="Arial" w:cs="Arial" w:eastAsia="Arial" w:hAnsi="Arial"/>
          <w:sz w:val="13"/>
          <w:szCs w:val="13"/>
          <w:color w:val="auto"/>
        </w:rPr>
      </w:pPr>
    </w:p>
    <w:p>
      <w:pPr>
        <w:ind w:left="1420" w:hanging="267"/>
        <w:spacing w:after="0"/>
        <w:tabs>
          <w:tab w:leader="none" w:pos="1420" w:val="left"/>
        </w:tabs>
        <w:numPr>
          <w:ilvl w:val="0"/>
          <w:numId w:val="111"/>
        </w:numPr>
        <w:rPr>
          <w:rFonts w:ascii="Arial" w:cs="Arial" w:eastAsia="Arial" w:hAnsi="Arial"/>
          <w:sz w:val="13"/>
          <w:szCs w:val="13"/>
          <w:color w:val="auto"/>
        </w:rPr>
      </w:pPr>
      <w:r>
        <w:rPr>
          <w:rFonts w:ascii="Arial" w:cs="Arial" w:eastAsia="Arial" w:hAnsi="Arial"/>
          <w:sz w:val="13"/>
          <w:szCs w:val="13"/>
          <w:color w:val="auto"/>
        </w:rPr>
        <w:t>Maintain prudent laddering of debt maturities;</w:t>
      </w:r>
    </w:p>
    <w:p>
      <w:pPr>
        <w:ind w:left="1420" w:hanging="267"/>
        <w:spacing w:after="0"/>
        <w:tabs>
          <w:tab w:leader="none" w:pos="1420" w:val="left"/>
        </w:tabs>
        <w:numPr>
          <w:ilvl w:val="0"/>
          <w:numId w:val="111"/>
        </w:numPr>
        <w:rPr>
          <w:rFonts w:ascii="Arial" w:cs="Arial" w:eastAsia="Arial" w:hAnsi="Arial"/>
          <w:sz w:val="13"/>
          <w:szCs w:val="13"/>
          <w:color w:val="auto"/>
        </w:rPr>
      </w:pPr>
      <w:r>
        <w:rPr>
          <w:rFonts w:ascii="Arial" w:cs="Arial" w:eastAsia="Arial" w:hAnsi="Arial"/>
          <w:sz w:val="13"/>
          <w:szCs w:val="13"/>
          <w:color w:val="auto"/>
        </w:rPr>
        <w:t>Maintain solid credit metrics;</w:t>
      </w:r>
    </w:p>
    <w:p>
      <w:pPr>
        <w:spacing w:after="0" w:line="7" w:lineRule="exact"/>
        <w:rPr>
          <w:rFonts w:ascii="Arial" w:cs="Arial" w:eastAsia="Arial" w:hAnsi="Arial"/>
          <w:sz w:val="13"/>
          <w:szCs w:val="13"/>
          <w:color w:val="auto"/>
        </w:rPr>
      </w:pPr>
    </w:p>
    <w:p>
      <w:pPr>
        <w:ind w:left="1420" w:hanging="267"/>
        <w:spacing w:after="0"/>
        <w:tabs>
          <w:tab w:leader="none" w:pos="1420" w:val="left"/>
        </w:tabs>
        <w:numPr>
          <w:ilvl w:val="0"/>
          <w:numId w:val="111"/>
        </w:numPr>
        <w:rPr>
          <w:rFonts w:ascii="Arial" w:cs="Arial" w:eastAsia="Arial" w:hAnsi="Arial"/>
          <w:sz w:val="13"/>
          <w:szCs w:val="13"/>
          <w:color w:val="auto"/>
        </w:rPr>
      </w:pPr>
      <w:r>
        <w:rPr>
          <w:rFonts w:ascii="Arial" w:cs="Arial" w:eastAsia="Arial" w:hAnsi="Arial"/>
          <w:sz w:val="13"/>
          <w:szCs w:val="13"/>
          <w:color w:val="auto"/>
        </w:rPr>
        <w:t>Prudently manage variable-rate debt exposure;</w:t>
      </w:r>
    </w:p>
    <w:p>
      <w:pPr>
        <w:spacing w:after="0" w:line="5" w:lineRule="exact"/>
        <w:rPr>
          <w:rFonts w:ascii="Arial" w:cs="Arial" w:eastAsia="Arial" w:hAnsi="Arial"/>
          <w:sz w:val="13"/>
          <w:szCs w:val="13"/>
          <w:color w:val="auto"/>
        </w:rPr>
      </w:pPr>
    </w:p>
    <w:p>
      <w:pPr>
        <w:ind w:left="1420" w:hanging="267"/>
        <w:spacing w:after="0"/>
        <w:tabs>
          <w:tab w:leader="none" w:pos="1420" w:val="left"/>
        </w:tabs>
        <w:numPr>
          <w:ilvl w:val="0"/>
          <w:numId w:val="111"/>
        </w:numPr>
        <w:rPr>
          <w:rFonts w:ascii="Arial" w:cs="Arial" w:eastAsia="Arial" w:hAnsi="Arial"/>
          <w:sz w:val="13"/>
          <w:szCs w:val="13"/>
          <w:color w:val="auto"/>
        </w:rPr>
      </w:pPr>
      <w:r>
        <w:rPr>
          <w:rFonts w:ascii="Arial" w:cs="Arial" w:eastAsia="Arial" w:hAnsi="Arial"/>
          <w:sz w:val="13"/>
          <w:szCs w:val="13"/>
          <w:color w:val="auto"/>
        </w:rPr>
        <w:t>Maintain a large, unencumbered asset pool to provide financial flexibility;</w:t>
      </w:r>
    </w:p>
    <w:p>
      <w:pPr>
        <w:spacing w:after="0" w:line="7" w:lineRule="exact"/>
        <w:rPr>
          <w:rFonts w:ascii="Arial" w:cs="Arial" w:eastAsia="Arial" w:hAnsi="Arial"/>
          <w:sz w:val="13"/>
          <w:szCs w:val="13"/>
          <w:color w:val="auto"/>
        </w:rPr>
      </w:pPr>
    </w:p>
    <w:p>
      <w:pPr>
        <w:ind w:left="1420" w:hanging="267"/>
        <w:spacing w:after="0"/>
        <w:tabs>
          <w:tab w:leader="none" w:pos="1420" w:val="left"/>
        </w:tabs>
        <w:numPr>
          <w:ilvl w:val="0"/>
          <w:numId w:val="111"/>
        </w:numPr>
        <w:rPr>
          <w:rFonts w:ascii="Arial" w:cs="Arial" w:eastAsia="Arial" w:hAnsi="Arial"/>
          <w:sz w:val="13"/>
          <w:szCs w:val="13"/>
          <w:color w:val="auto"/>
        </w:rPr>
      </w:pPr>
      <w:r>
        <w:rPr>
          <w:rFonts w:ascii="Arial" w:cs="Arial" w:eastAsia="Arial" w:hAnsi="Arial"/>
          <w:sz w:val="13"/>
          <w:szCs w:val="13"/>
          <w:color w:val="auto"/>
        </w:rPr>
        <w:t>Fund common stock dividends and distributions to noncontrolling interests from net cash provided by operating activities;</w:t>
      </w:r>
    </w:p>
    <w:p>
      <w:pPr>
        <w:spacing w:after="0" w:line="5" w:lineRule="exact"/>
        <w:rPr>
          <w:rFonts w:ascii="Arial" w:cs="Arial" w:eastAsia="Arial" w:hAnsi="Arial"/>
          <w:sz w:val="13"/>
          <w:szCs w:val="13"/>
          <w:color w:val="auto"/>
        </w:rPr>
      </w:pPr>
    </w:p>
    <w:p>
      <w:pPr>
        <w:ind w:left="1420" w:hanging="267"/>
        <w:spacing w:after="0"/>
        <w:tabs>
          <w:tab w:leader="none" w:pos="1420" w:val="left"/>
        </w:tabs>
        <w:numPr>
          <w:ilvl w:val="0"/>
          <w:numId w:val="111"/>
        </w:numPr>
        <w:rPr>
          <w:rFonts w:ascii="Arial" w:cs="Arial" w:eastAsia="Arial" w:hAnsi="Arial"/>
          <w:sz w:val="13"/>
          <w:szCs w:val="13"/>
          <w:color w:val="auto"/>
        </w:rPr>
      </w:pPr>
      <w:r>
        <w:rPr>
          <w:rFonts w:ascii="Arial" w:cs="Arial" w:eastAsia="Arial" w:hAnsi="Arial"/>
          <w:sz w:val="13"/>
          <w:szCs w:val="13"/>
          <w:color w:val="auto"/>
        </w:rPr>
        <w:t>Manage a disciplined level of value-creation projects as a percentage of our gross real estate assets; and</w:t>
      </w:r>
    </w:p>
    <w:p>
      <w:pPr>
        <w:ind w:left="1420" w:hanging="267"/>
        <w:spacing w:after="0"/>
        <w:tabs>
          <w:tab w:leader="none" w:pos="1420" w:val="left"/>
        </w:tabs>
        <w:numPr>
          <w:ilvl w:val="0"/>
          <w:numId w:val="111"/>
        </w:numPr>
        <w:rPr>
          <w:rFonts w:ascii="Arial" w:cs="Arial" w:eastAsia="Arial" w:hAnsi="Arial"/>
          <w:sz w:val="13"/>
          <w:szCs w:val="13"/>
          <w:color w:val="auto"/>
        </w:rPr>
      </w:pPr>
      <w:r>
        <w:rPr>
          <w:rFonts w:ascii="Arial" w:cs="Arial" w:eastAsia="Arial" w:hAnsi="Arial"/>
          <w:sz w:val="13"/>
          <w:szCs w:val="13"/>
          <w:color w:val="auto"/>
        </w:rPr>
        <w:t>Maintain high levels of pre-leasing and percentage leased in value-creation projects.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188595</wp:posOffset>
            </wp:positionV>
            <wp:extent cx="5584190" cy="204216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584190" cy="2042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40" w:right="859" w:firstLine="516"/>
        <w:spacing w:after="0" w:line="265" w:lineRule="auto"/>
        <w:rPr>
          <w:sz w:val="20"/>
          <w:szCs w:val="20"/>
          <w:color w:val="auto"/>
        </w:rPr>
      </w:pPr>
      <w:r>
        <w:rPr>
          <w:rFonts w:ascii="Arial" w:cs="Arial" w:eastAsia="Arial" w:hAnsi="Arial"/>
          <w:sz w:val="13"/>
          <w:szCs w:val="13"/>
          <w:color w:val="auto"/>
        </w:rPr>
        <w:t>The following table presents the availability under our unsecured senior line of credit, net of amounts outstanding under our commercial paper program; outstanding forward equity sales agreements; cash, cash equivalents, and restricted cash; availability under our secured construction loan; and investments in publicly traded companies as of June 30, 2024 (in thousands):</w:t>
      </w:r>
    </w:p>
    <w:p>
      <w:pPr>
        <w:spacing w:after="0" w:line="10" w:lineRule="exact"/>
        <w:rPr>
          <w:sz w:val="20"/>
          <w:szCs w:val="20"/>
          <w:color w:val="auto"/>
        </w:rPr>
      </w:pPr>
    </w:p>
    <w:tbl>
      <w:tblPr>
        <w:tblLayout w:type="fixed"/>
        <w:tblInd w:w="640" w:type="dxa"/>
        <w:tblCellMar>
          <w:top w:w="0" w:type="dxa"/>
          <w:left w:w="0" w:type="dxa"/>
          <w:bottom w:w="0" w:type="dxa"/>
          <w:right w:w="0" w:type="dxa"/>
        </w:tblCellMar>
      </w:tblPr>
      <w:tr>
        <w:trPr>
          <w:trHeight w:val="149"/>
        </w:trPr>
        <w:tc>
          <w:tcPr>
            <w:tcW w:w="3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3"/>
                <w:szCs w:val="13"/>
                <w:color w:val="auto"/>
              </w:rPr>
              <w:t>Aggregate</w:t>
            </w:r>
          </w:p>
        </w:tc>
        <w:tc>
          <w:tcPr>
            <w:tcW w:w="940" w:type="dxa"/>
            <w:vAlign w:val="bottom"/>
            <w:gridSpan w:val="3"/>
            <w:vMerge w:val="restart"/>
          </w:tcPr>
          <w:p>
            <w:pPr>
              <w:ind w:left="80"/>
              <w:spacing w:after="0"/>
              <w:rPr>
                <w:sz w:val="20"/>
                <w:szCs w:val="20"/>
                <w:color w:val="auto"/>
              </w:rPr>
            </w:pPr>
            <w:r>
              <w:rPr>
                <w:rFonts w:ascii="Arial" w:cs="Arial" w:eastAsia="Arial" w:hAnsi="Arial"/>
                <w:sz w:val="13"/>
                <w:szCs w:val="13"/>
                <w:color w:val="auto"/>
              </w:rPr>
              <w:t>Outstanding</w:t>
            </w:r>
          </w:p>
        </w:tc>
        <w:tc>
          <w:tcPr>
            <w:tcW w:w="140" w:type="dxa"/>
            <w:vAlign w:val="bottom"/>
          </w:tcPr>
          <w:p>
            <w:pPr>
              <w:spacing w:after="0"/>
              <w:rPr>
                <w:sz w:val="12"/>
                <w:szCs w:val="12"/>
                <w:color w:val="auto"/>
              </w:rPr>
            </w:pPr>
          </w:p>
        </w:tc>
        <w:tc>
          <w:tcPr>
            <w:tcW w:w="800" w:type="dxa"/>
            <w:vAlign w:val="bottom"/>
          </w:tcPr>
          <w:p>
            <w:pPr>
              <w:jc w:val="right"/>
              <w:ind w:right="96"/>
              <w:spacing w:after="0"/>
              <w:rPr>
                <w:sz w:val="20"/>
                <w:szCs w:val="20"/>
                <w:color w:val="auto"/>
              </w:rPr>
            </w:pPr>
            <w:r>
              <w:rPr>
                <w:rFonts w:ascii="Arial" w:cs="Arial" w:eastAsia="Arial" w:hAnsi="Arial"/>
                <w:sz w:val="13"/>
                <w:szCs w:val="13"/>
                <w:color w:val="auto"/>
                <w:w w:val="99"/>
              </w:rPr>
              <w:t>Remaining</w:t>
            </w:r>
          </w:p>
        </w:tc>
        <w:tc>
          <w:tcPr>
            <w:tcW w:w="0" w:type="dxa"/>
            <w:vAlign w:val="bottom"/>
          </w:tcPr>
          <w:p>
            <w:pPr>
              <w:spacing w:after="0"/>
              <w:rPr>
                <w:sz w:val="1"/>
                <w:szCs w:val="1"/>
                <w:color w:val="auto"/>
              </w:rPr>
            </w:pPr>
          </w:p>
        </w:tc>
      </w:tr>
      <w:tr>
        <w:trPr>
          <w:trHeight w:val="129"/>
        </w:trPr>
        <w:tc>
          <w:tcPr>
            <w:tcW w:w="3720" w:type="dxa"/>
            <w:vAlign w:val="bottom"/>
            <w:vMerge w:val="restart"/>
          </w:tcPr>
          <w:p>
            <w:pPr>
              <w:ind w:left="1540"/>
              <w:spacing w:after="0"/>
              <w:rPr>
                <w:sz w:val="20"/>
                <w:szCs w:val="20"/>
                <w:color w:val="auto"/>
              </w:rPr>
            </w:pPr>
            <w:r>
              <w:rPr>
                <w:rFonts w:ascii="Arial" w:cs="Arial" w:eastAsia="Arial" w:hAnsi="Arial"/>
                <w:sz w:val="13"/>
                <w:szCs w:val="13"/>
                <w:color w:val="auto"/>
              </w:rPr>
              <w:t>Description</w:t>
            </w:r>
          </w:p>
        </w:tc>
        <w:tc>
          <w:tcPr>
            <w:tcW w:w="40" w:type="dxa"/>
            <w:vAlign w:val="bottom"/>
            <w:vMerge w:val="restart"/>
          </w:tcPr>
          <w:p>
            <w:pPr>
              <w:spacing w:after="0"/>
              <w:rPr>
                <w:sz w:val="11"/>
                <w:szCs w:val="11"/>
                <w:color w:val="auto"/>
              </w:rPr>
            </w:pPr>
          </w:p>
        </w:tc>
        <w:tc>
          <w:tcPr>
            <w:tcW w:w="1080" w:type="dxa"/>
            <w:vAlign w:val="bottom"/>
            <w:vMerge w:val="restart"/>
          </w:tcPr>
          <w:p>
            <w:pPr>
              <w:ind w:left="200"/>
              <w:spacing w:after="0"/>
              <w:rPr>
                <w:sz w:val="20"/>
                <w:szCs w:val="20"/>
                <w:color w:val="auto"/>
              </w:rPr>
            </w:pPr>
            <w:r>
              <w:rPr>
                <w:rFonts w:ascii="Arial" w:cs="Arial" w:eastAsia="Arial" w:hAnsi="Arial"/>
                <w:sz w:val="13"/>
                <w:szCs w:val="13"/>
                <w:color w:val="auto"/>
              </w:rPr>
              <w:t>Stated Rate</w:t>
            </w:r>
          </w:p>
        </w:tc>
        <w:tc>
          <w:tcPr>
            <w:tcW w:w="6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940" w:type="dxa"/>
            <w:vAlign w:val="bottom"/>
            <w:gridSpan w:val="3"/>
            <w:vMerge w:val="continue"/>
          </w:tcPr>
          <w:p>
            <w:pPr>
              <w:spacing w:after="0"/>
              <w:rPr>
                <w:sz w:val="11"/>
                <w:szCs w:val="11"/>
                <w:color w:val="auto"/>
              </w:rPr>
            </w:pPr>
          </w:p>
        </w:tc>
        <w:tc>
          <w:tcPr>
            <w:tcW w:w="940" w:type="dxa"/>
            <w:vAlign w:val="bottom"/>
            <w:gridSpan w:val="2"/>
          </w:tcPr>
          <w:p>
            <w:pPr>
              <w:ind w:left="40"/>
              <w:spacing w:after="0" w:line="129" w:lineRule="exact"/>
              <w:rPr>
                <w:sz w:val="20"/>
                <w:szCs w:val="20"/>
                <w:color w:val="auto"/>
              </w:rPr>
            </w:pPr>
            <w:r>
              <w:rPr>
                <w:rFonts w:ascii="Arial" w:cs="Arial" w:eastAsia="Arial" w:hAnsi="Arial"/>
                <w:sz w:val="13"/>
                <w:szCs w:val="13"/>
                <w:color w:val="auto"/>
              </w:rPr>
              <w:t>Commitments/</w:t>
            </w:r>
          </w:p>
        </w:tc>
        <w:tc>
          <w:tcPr>
            <w:tcW w:w="0" w:type="dxa"/>
            <w:vAlign w:val="bottom"/>
          </w:tcPr>
          <w:p>
            <w:pPr>
              <w:spacing w:after="0"/>
              <w:rPr>
                <w:sz w:val="1"/>
                <w:szCs w:val="1"/>
                <w:color w:val="auto"/>
              </w:rPr>
            </w:pPr>
          </w:p>
        </w:tc>
      </w:tr>
      <w:tr>
        <w:trPr>
          <w:trHeight w:val="161"/>
        </w:trPr>
        <w:tc>
          <w:tcPr>
            <w:tcW w:w="3720" w:type="dxa"/>
            <w:vAlign w:val="bottom"/>
            <w:tcBorders>
              <w:bottom w:val="single" w:sz="8" w:color="auto"/>
            </w:tcBorders>
            <w:vMerge w:val="continue"/>
          </w:tcPr>
          <w:p>
            <w:pPr>
              <w:spacing w:after="0"/>
              <w:rPr>
                <w:sz w:val="14"/>
                <w:szCs w:val="14"/>
                <w:color w:val="auto"/>
              </w:rPr>
            </w:pPr>
          </w:p>
        </w:tc>
        <w:tc>
          <w:tcPr>
            <w:tcW w:w="40" w:type="dxa"/>
            <w:vAlign w:val="bottom"/>
            <w:tcBorders>
              <w:bottom w:val="single" w:sz="8" w:color="CCEEFF"/>
            </w:tcBorders>
            <w:vMerge w:val="continue"/>
          </w:tcPr>
          <w:p>
            <w:pPr>
              <w:spacing w:after="0"/>
              <w:rPr>
                <w:sz w:val="14"/>
                <w:szCs w:val="14"/>
                <w:color w:val="auto"/>
              </w:rPr>
            </w:pPr>
          </w:p>
        </w:tc>
        <w:tc>
          <w:tcPr>
            <w:tcW w:w="1080" w:type="dxa"/>
            <w:vAlign w:val="bottom"/>
            <w:tcBorders>
              <w:bottom w:val="single" w:sz="8" w:color="auto"/>
            </w:tcBorders>
            <w:vMerge w:val="continue"/>
          </w:tcPr>
          <w:p>
            <w:pPr>
              <w:spacing w:after="0"/>
              <w:rPr>
                <w:sz w:val="14"/>
                <w:szCs w:val="14"/>
                <w:color w:val="auto"/>
              </w:rPr>
            </w:pPr>
          </w:p>
        </w:tc>
        <w:tc>
          <w:tcPr>
            <w:tcW w:w="60" w:type="dxa"/>
            <w:vAlign w:val="bottom"/>
            <w:tcBorders>
              <w:bottom w:val="single" w:sz="8" w:color="CCEEFF"/>
            </w:tcBorders>
            <w:vMerge w:val="continue"/>
          </w:tcPr>
          <w:p>
            <w:pPr>
              <w:spacing w:after="0"/>
              <w:rPr>
                <w:sz w:val="14"/>
                <w:szCs w:val="14"/>
                <w:color w:val="auto"/>
              </w:rPr>
            </w:pPr>
          </w:p>
        </w:tc>
        <w:tc>
          <w:tcPr>
            <w:tcW w:w="90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color w:val="auto"/>
              </w:rPr>
              <w:t>Commitments</w:t>
            </w:r>
          </w:p>
        </w:tc>
        <w:tc>
          <w:tcPr>
            <w:tcW w:w="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96"/>
              <w:spacing w:after="0" w:line="161" w:lineRule="exact"/>
              <w:rPr>
                <w:sz w:val="20"/>
                <w:szCs w:val="20"/>
                <w:color w:val="auto"/>
              </w:rPr>
            </w:pPr>
            <w:r>
              <w:rPr>
                <w:rFonts w:ascii="Arial" w:cs="Arial" w:eastAsia="Arial" w:hAnsi="Arial"/>
                <w:sz w:val="13"/>
                <w:szCs w:val="13"/>
                <w:color w:val="auto"/>
                <w:w w:val="96"/>
              </w:rPr>
              <w:t>Balance</w:t>
            </w:r>
            <w:r>
              <w:rPr>
                <w:rFonts w:ascii="Arial" w:cs="Arial" w:eastAsia="Arial" w:hAnsi="Arial"/>
                <w:sz w:val="16"/>
                <w:szCs w:val="16"/>
                <w:color w:val="auto"/>
                <w:w w:val="96"/>
                <w:vertAlign w:val="superscript"/>
              </w:rPr>
              <w:t>(1)</w:t>
            </w:r>
          </w:p>
        </w:tc>
        <w:tc>
          <w:tcPr>
            <w:tcW w:w="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auto"/>
              </w:rPr>
              <w:t>Liquidity</w:t>
            </w:r>
          </w:p>
        </w:tc>
        <w:tc>
          <w:tcPr>
            <w:tcW w:w="0" w:type="dxa"/>
            <w:vAlign w:val="bottom"/>
          </w:tcPr>
          <w:p>
            <w:pPr>
              <w:spacing w:after="0"/>
              <w:rPr>
                <w:sz w:val="1"/>
                <w:szCs w:val="1"/>
                <w:color w:val="auto"/>
              </w:rPr>
            </w:pPr>
          </w:p>
        </w:tc>
      </w:tr>
      <w:tr>
        <w:trPr>
          <w:trHeight w:val="152"/>
        </w:trPr>
        <w:tc>
          <w:tcPr>
            <w:tcW w:w="376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Availability under our unsecured senior line of credit, net of</w:t>
            </w:r>
          </w:p>
        </w:tc>
        <w:tc>
          <w:tcPr>
            <w:tcW w:w="1140" w:type="dxa"/>
            <w:vAlign w:val="bottom"/>
            <w:gridSpan w:val="2"/>
            <w:vMerge w:val="restart"/>
            <w:shd w:val="clear" w:color="auto" w:fill="CCEEFF"/>
          </w:tcPr>
          <w:p>
            <w:pPr>
              <w:jc w:val="center"/>
              <w:ind w:right="20"/>
              <w:spacing w:after="0"/>
              <w:rPr>
                <w:sz w:val="20"/>
                <w:szCs w:val="20"/>
                <w:color w:val="auto"/>
              </w:rPr>
            </w:pPr>
            <w:r>
              <w:rPr>
                <w:rFonts w:ascii="Arial" w:cs="Arial" w:eastAsia="Arial" w:hAnsi="Arial"/>
                <w:sz w:val="13"/>
                <w:szCs w:val="13"/>
                <w:color w:val="auto"/>
              </w:rPr>
              <w:t>SOFR+0.855%</w:t>
            </w:r>
          </w:p>
        </w:tc>
        <w:tc>
          <w:tcPr>
            <w:tcW w:w="120" w:type="dxa"/>
            <w:vAlign w:val="bottom"/>
            <w:vMerge w:val="restart"/>
            <w:shd w:val="clear" w:color="auto" w:fill="CCEEFF"/>
          </w:tcPr>
          <w:p>
            <w:pPr>
              <w:ind w:left="40"/>
              <w:spacing w:after="0"/>
              <w:rPr>
                <w:sz w:val="20"/>
                <w:szCs w:val="20"/>
                <w:color w:val="auto"/>
              </w:rPr>
            </w:pPr>
            <w:r>
              <w:rPr>
                <w:rFonts w:ascii="Arial" w:cs="Arial" w:eastAsia="Arial" w:hAnsi="Arial"/>
                <w:sz w:val="13"/>
                <w:szCs w:val="13"/>
                <w:color w:val="auto"/>
                <w:w w:val="82"/>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5,000,000</w:t>
            </w:r>
          </w:p>
        </w:tc>
        <w:tc>
          <w:tcPr>
            <w:tcW w:w="6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199,552</w:t>
            </w:r>
          </w:p>
        </w:tc>
        <w:tc>
          <w:tcPr>
            <w:tcW w:w="6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ind w:left="40"/>
              <w:spacing w:after="0"/>
              <w:rPr>
                <w:sz w:val="20"/>
                <w:szCs w:val="20"/>
                <w:color w:val="auto"/>
              </w:rPr>
            </w:pPr>
            <w:r>
              <w:rPr>
                <w:rFonts w:ascii="Arial" w:cs="Arial" w:eastAsia="Arial" w:hAnsi="Arial"/>
                <w:sz w:val="13"/>
                <w:szCs w:val="13"/>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4,800,000</w:t>
            </w:r>
          </w:p>
        </w:tc>
        <w:tc>
          <w:tcPr>
            <w:tcW w:w="0" w:type="dxa"/>
            <w:vAlign w:val="bottom"/>
          </w:tcPr>
          <w:p>
            <w:pPr>
              <w:spacing w:after="0"/>
              <w:rPr>
                <w:sz w:val="1"/>
                <w:szCs w:val="1"/>
                <w:color w:val="auto"/>
              </w:rPr>
            </w:pPr>
          </w:p>
        </w:tc>
      </w:tr>
      <w:tr>
        <w:trPr>
          <w:trHeight w:val="161"/>
        </w:trPr>
        <w:tc>
          <w:tcPr>
            <w:tcW w:w="376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amounts outstanding under our commercial paper program</w:t>
            </w:r>
          </w:p>
        </w:tc>
        <w:tc>
          <w:tcPr>
            <w:tcW w:w="1140" w:type="dxa"/>
            <w:vAlign w:val="bottom"/>
            <w:gridSpan w:val="2"/>
            <w:vMerge w:val="continue"/>
            <w:shd w:val="clear" w:color="auto" w:fill="CCEEFF"/>
          </w:tcPr>
          <w:p>
            <w:pPr>
              <w:spacing w:after="0"/>
              <w:rPr>
                <w:sz w:val="13"/>
                <w:szCs w:val="13"/>
                <w:color w:val="auto"/>
              </w:rPr>
            </w:pPr>
          </w:p>
        </w:tc>
        <w:tc>
          <w:tcPr>
            <w:tcW w:w="120" w:type="dxa"/>
            <w:vAlign w:val="bottom"/>
            <w:vMerge w:val="continue"/>
            <w:shd w:val="clear" w:color="auto" w:fill="CCEEFF"/>
          </w:tcPr>
          <w:p>
            <w:pPr>
              <w:spacing w:after="0"/>
              <w:rPr>
                <w:sz w:val="13"/>
                <w:szCs w:val="13"/>
                <w:color w:val="auto"/>
              </w:rPr>
            </w:pPr>
          </w:p>
        </w:tc>
        <w:tc>
          <w:tcPr>
            <w:tcW w:w="78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vMerge w:val="continue"/>
            <w:shd w:val="clear" w:color="auto" w:fill="CCEEFF"/>
          </w:tcPr>
          <w:p>
            <w:pPr>
              <w:spacing w:after="0"/>
              <w:rPr>
                <w:sz w:val="13"/>
                <w:szCs w:val="13"/>
                <w:color w:val="auto"/>
              </w:rPr>
            </w:pPr>
          </w:p>
        </w:tc>
        <w:tc>
          <w:tcPr>
            <w:tcW w:w="76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vMerge w:val="continue"/>
            <w:shd w:val="clear" w:color="auto" w:fill="CCEEFF"/>
          </w:tcPr>
          <w:p>
            <w:pPr>
              <w:spacing w:after="0"/>
              <w:rPr>
                <w:sz w:val="13"/>
                <w:szCs w:val="13"/>
                <w:color w:val="auto"/>
              </w:rPr>
            </w:pPr>
          </w:p>
        </w:tc>
        <w:tc>
          <w:tcPr>
            <w:tcW w:w="8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3760" w:type="dxa"/>
            <w:vAlign w:val="bottom"/>
            <w:gridSpan w:val="2"/>
          </w:tcPr>
          <w:p>
            <w:pPr>
              <w:ind w:left="40"/>
              <w:spacing w:after="0"/>
              <w:rPr>
                <w:sz w:val="20"/>
                <w:szCs w:val="20"/>
                <w:color w:val="auto"/>
              </w:rPr>
            </w:pPr>
            <w:r>
              <w:rPr>
                <w:rFonts w:ascii="Arial" w:cs="Arial" w:eastAsia="Arial" w:hAnsi="Arial"/>
                <w:sz w:val="13"/>
                <w:szCs w:val="13"/>
                <w:color w:val="auto"/>
              </w:rPr>
              <w:t>Outstanding forward equity sales agreements</w:t>
            </w:r>
            <w:r>
              <w:rPr>
                <w:rFonts w:ascii="Arial" w:cs="Arial" w:eastAsia="Arial" w:hAnsi="Arial"/>
                <w:sz w:val="16"/>
                <w:szCs w:val="16"/>
                <w:color w:val="auto"/>
                <w:vertAlign w:val="superscript"/>
              </w:rPr>
              <w:t>(2)</w:t>
            </w: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27,488</w:t>
            </w:r>
          </w:p>
        </w:tc>
        <w:tc>
          <w:tcPr>
            <w:tcW w:w="0" w:type="dxa"/>
            <w:vAlign w:val="bottom"/>
          </w:tcPr>
          <w:p>
            <w:pPr>
              <w:spacing w:after="0"/>
              <w:rPr>
                <w:sz w:val="1"/>
                <w:szCs w:val="1"/>
                <w:color w:val="auto"/>
              </w:rPr>
            </w:pPr>
          </w:p>
        </w:tc>
      </w:tr>
      <w:tr>
        <w:trPr>
          <w:trHeight w:val="204"/>
        </w:trPr>
        <w:tc>
          <w:tcPr>
            <w:tcW w:w="376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Cash, cash equivalents, and restricted cash</w:t>
            </w:r>
          </w:p>
        </w:tc>
        <w:tc>
          <w:tcPr>
            <w:tcW w:w="10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565,853</w:t>
            </w:r>
          </w:p>
        </w:tc>
        <w:tc>
          <w:tcPr>
            <w:tcW w:w="0" w:type="dxa"/>
            <w:vAlign w:val="bottom"/>
          </w:tcPr>
          <w:p>
            <w:pPr>
              <w:spacing w:after="0"/>
              <w:rPr>
                <w:sz w:val="1"/>
                <w:szCs w:val="1"/>
                <w:color w:val="auto"/>
              </w:rPr>
            </w:pPr>
          </w:p>
        </w:tc>
      </w:tr>
      <w:tr>
        <w:trPr>
          <w:trHeight w:val="204"/>
        </w:trPr>
        <w:tc>
          <w:tcPr>
            <w:tcW w:w="3760" w:type="dxa"/>
            <w:vAlign w:val="bottom"/>
            <w:gridSpan w:val="2"/>
          </w:tcPr>
          <w:p>
            <w:pPr>
              <w:ind w:left="40"/>
              <w:spacing w:after="0"/>
              <w:rPr>
                <w:sz w:val="20"/>
                <w:szCs w:val="20"/>
                <w:color w:val="auto"/>
              </w:rPr>
            </w:pPr>
            <w:r>
              <w:rPr>
                <w:rFonts w:ascii="Arial" w:cs="Arial" w:eastAsia="Arial" w:hAnsi="Arial"/>
                <w:sz w:val="13"/>
                <w:szCs w:val="13"/>
                <w:color w:val="auto"/>
              </w:rPr>
              <w:t>Construction loan</w:t>
            </w:r>
          </w:p>
        </w:tc>
        <w:tc>
          <w:tcPr>
            <w:tcW w:w="1140" w:type="dxa"/>
            <w:vAlign w:val="bottom"/>
            <w:gridSpan w:val="2"/>
          </w:tcPr>
          <w:p>
            <w:pPr>
              <w:jc w:val="center"/>
              <w:ind w:right="20"/>
              <w:spacing w:after="0"/>
              <w:rPr>
                <w:sz w:val="20"/>
                <w:szCs w:val="20"/>
                <w:color w:val="auto"/>
              </w:rPr>
            </w:pPr>
            <w:r>
              <w:rPr>
                <w:rFonts w:ascii="Arial" w:cs="Arial" w:eastAsia="Arial" w:hAnsi="Arial"/>
                <w:sz w:val="13"/>
                <w:szCs w:val="13"/>
                <w:color w:val="auto"/>
                <w:w w:val="99"/>
              </w:rPr>
              <w:t>SOFR+2.70%</w:t>
            </w:r>
          </w:p>
        </w:tc>
        <w:tc>
          <w:tcPr>
            <w:tcW w:w="120" w:type="dxa"/>
            <w:vAlign w:val="bottom"/>
          </w:tcPr>
          <w:p>
            <w:pPr>
              <w:ind w:left="40"/>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195,300</w:t>
            </w:r>
          </w:p>
        </w:tc>
        <w:tc>
          <w:tcPr>
            <w:tcW w:w="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134,323</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60,652</w:t>
            </w:r>
          </w:p>
        </w:tc>
        <w:tc>
          <w:tcPr>
            <w:tcW w:w="0" w:type="dxa"/>
            <w:vAlign w:val="bottom"/>
          </w:tcPr>
          <w:p>
            <w:pPr>
              <w:spacing w:after="0"/>
              <w:rPr>
                <w:sz w:val="1"/>
                <w:szCs w:val="1"/>
                <w:color w:val="auto"/>
              </w:rPr>
            </w:pPr>
          </w:p>
        </w:tc>
      </w:tr>
      <w:tr>
        <w:trPr>
          <w:trHeight w:val="204"/>
        </w:trPr>
        <w:tc>
          <w:tcPr>
            <w:tcW w:w="376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Investments in publicly traded companies</w:t>
            </w:r>
          </w:p>
        </w:tc>
        <w:tc>
          <w:tcPr>
            <w:tcW w:w="10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153,191</w:t>
            </w:r>
          </w:p>
        </w:tc>
        <w:tc>
          <w:tcPr>
            <w:tcW w:w="0" w:type="dxa"/>
            <w:vAlign w:val="bottom"/>
          </w:tcPr>
          <w:p>
            <w:pPr>
              <w:spacing w:after="0"/>
              <w:rPr>
                <w:sz w:val="1"/>
                <w:szCs w:val="1"/>
                <w:color w:val="auto"/>
              </w:rPr>
            </w:pPr>
          </w:p>
        </w:tc>
      </w:tr>
      <w:tr>
        <w:trPr>
          <w:trHeight w:val="163"/>
        </w:trPr>
        <w:tc>
          <w:tcPr>
            <w:tcW w:w="3760" w:type="dxa"/>
            <w:vAlign w:val="bottom"/>
            <w:gridSpan w:val="2"/>
          </w:tcPr>
          <w:p>
            <w:pPr>
              <w:ind w:left="220"/>
              <w:spacing w:after="0"/>
              <w:rPr>
                <w:sz w:val="20"/>
                <w:szCs w:val="20"/>
                <w:color w:val="auto"/>
              </w:rPr>
            </w:pPr>
            <w:r>
              <w:rPr>
                <w:rFonts w:ascii="Arial" w:cs="Arial" w:eastAsia="Arial" w:hAnsi="Arial"/>
                <w:sz w:val="13"/>
                <w:szCs w:val="13"/>
                <w:color w:val="auto"/>
              </w:rPr>
              <w:t>Liquidity as of June 30, 2024</w:t>
            </w: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5,607,184</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9019"/>
          </w:cols>
          <w:pgMar w:left="1440" w:top="52" w:right="1440" w:bottom="0" w:gutter="0" w:footer="0" w:header="0"/>
          <w:type w:val="continuous"/>
        </w:sectPr>
      </w:pPr>
    </w:p>
    <w:bookmarkStart w:id="58" w:name="page59"/>
    <w:bookmarkEnd w:id="58"/>
    <w:p>
      <w:pPr>
        <w:spacing w:after="0" w:line="2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982345</wp:posOffset>
            </wp:positionH>
            <wp:positionV relativeFrom="page">
              <wp:posOffset>88900</wp:posOffset>
            </wp:positionV>
            <wp:extent cx="5584190" cy="517207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584190" cy="5172075"/>
                    </a:xfrm>
                    <a:prstGeom prst="rect">
                      <a:avLst/>
                    </a:prstGeom>
                    <a:noFill/>
                  </pic:spPr>
                </pic:pic>
              </a:graphicData>
            </a:graphic>
          </wp:anchor>
        </w:drawing>
      </w:r>
    </w:p>
    <w:p>
      <w:pPr>
        <w:ind w:left="900" w:hanging="262"/>
        <w:spacing w:after="0"/>
        <w:tabs>
          <w:tab w:leader="none" w:pos="900" w:val="left"/>
        </w:tabs>
        <w:numPr>
          <w:ilvl w:val="0"/>
          <w:numId w:val="112"/>
        </w:numPr>
        <w:rPr>
          <w:rFonts w:ascii="Arial" w:cs="Arial" w:eastAsia="Arial" w:hAnsi="Arial"/>
          <w:sz w:val="10"/>
          <w:szCs w:val="10"/>
          <w:color w:val="auto"/>
        </w:rPr>
      </w:pPr>
      <w:r>
        <w:rPr>
          <w:rFonts w:ascii="Arial" w:cs="Arial" w:eastAsia="Arial" w:hAnsi="Arial"/>
          <w:sz w:val="10"/>
          <w:szCs w:val="10"/>
          <w:color w:val="auto"/>
        </w:rPr>
        <w:t>Represents outstanding principal, net of unamortized deferred financing costs, as of June 30, 2024.</w:t>
      </w:r>
    </w:p>
    <w:p>
      <w:pPr>
        <w:spacing w:after="0" w:line="13" w:lineRule="exact"/>
        <w:rPr>
          <w:rFonts w:ascii="Arial" w:cs="Arial" w:eastAsia="Arial" w:hAnsi="Arial"/>
          <w:sz w:val="10"/>
          <w:szCs w:val="10"/>
          <w:color w:val="auto"/>
        </w:rPr>
      </w:pPr>
    </w:p>
    <w:p>
      <w:pPr>
        <w:ind w:left="900" w:right="1019" w:hanging="262"/>
        <w:spacing w:after="0" w:line="284" w:lineRule="auto"/>
        <w:tabs>
          <w:tab w:leader="none" w:pos="900" w:val="left"/>
        </w:tabs>
        <w:numPr>
          <w:ilvl w:val="0"/>
          <w:numId w:val="112"/>
        </w:numPr>
        <w:rPr>
          <w:rFonts w:ascii="Arial" w:cs="Arial" w:eastAsia="Arial" w:hAnsi="Arial"/>
          <w:sz w:val="10"/>
          <w:szCs w:val="10"/>
          <w:color w:val="auto"/>
        </w:rPr>
      </w:pPr>
      <w:r>
        <w:rPr>
          <w:rFonts w:ascii="Arial" w:cs="Arial" w:eastAsia="Arial" w:hAnsi="Arial"/>
          <w:sz w:val="10"/>
          <w:szCs w:val="10"/>
          <w:color w:val="auto"/>
        </w:rPr>
        <w:t>Represents expected net proceeds from the future settlement of 230 thousand shares of common stock under forward equity sales agreements after underwriter discounts.</w:t>
      </w:r>
    </w:p>
    <w:p>
      <w:pPr>
        <w:spacing w:after="0" w:line="119" w:lineRule="exact"/>
        <w:rPr>
          <w:sz w:val="20"/>
          <w:szCs w:val="20"/>
          <w:color w:val="auto"/>
        </w:rPr>
      </w:pPr>
    </w:p>
    <w:p>
      <w:pPr>
        <w:ind w:left="640"/>
        <w:spacing w:after="0"/>
        <w:rPr>
          <w:sz w:val="20"/>
          <w:szCs w:val="20"/>
          <w:color w:val="auto"/>
        </w:rPr>
      </w:pPr>
      <w:r>
        <w:rPr>
          <w:rFonts w:ascii="Arial" w:cs="Arial" w:eastAsia="Arial" w:hAnsi="Arial"/>
          <w:sz w:val="13"/>
          <w:szCs w:val="13"/>
          <w:u w:val="single" w:color="auto"/>
          <w:color w:val="auto"/>
        </w:rPr>
        <w:t>Cash, cash equivalents, and restricted cash</w:t>
      </w:r>
    </w:p>
    <w:p>
      <w:pPr>
        <w:spacing w:after="0" w:line="162" w:lineRule="exact"/>
        <w:rPr>
          <w:sz w:val="20"/>
          <w:szCs w:val="20"/>
          <w:color w:val="auto"/>
        </w:rPr>
      </w:pPr>
    </w:p>
    <w:p>
      <w:pPr>
        <w:ind w:left="640" w:right="659" w:firstLine="516"/>
        <w:spacing w:after="0" w:line="253" w:lineRule="auto"/>
        <w:rPr>
          <w:sz w:val="20"/>
          <w:szCs w:val="20"/>
          <w:color w:val="auto"/>
        </w:rPr>
      </w:pPr>
      <w:r>
        <w:rPr>
          <w:rFonts w:ascii="Arial" w:cs="Arial" w:eastAsia="Arial" w:hAnsi="Arial"/>
          <w:sz w:val="13"/>
          <w:szCs w:val="13"/>
          <w:color w:val="auto"/>
        </w:rPr>
        <w:t>As of June 30, 2024 and December 31, 2023, we had $565.9 million and $660.8 million, respectively, of cash, cash equivalents, and restricted cash. We expect existing cash, cash equivalents, and restricted cash, net cash provided by operating activities, proceeds from real estate asset sales, sales of partial interests, strategic real estate joint ventures, non-real estate investment sales, borrowings under our unsecured senior line of credit, issuances under our commercial paper program, issuances of unsecured senior notes payable, borrowings under our secured construction loans, and issuances of common stock to continue to be sufficient to fund our operating activities and cash commitments for investing and financing activities, such as regular quarterly dividends, distributions to noncontrolling interests, scheduled debt repayments, acquisitions, and certain capital expenditures, including expenditures related to construction activities.</w:t>
      </w:r>
    </w:p>
    <w:p>
      <w:pPr>
        <w:spacing w:after="0" w:line="135" w:lineRule="exact"/>
        <w:rPr>
          <w:sz w:val="20"/>
          <w:szCs w:val="20"/>
          <w:color w:val="auto"/>
        </w:rPr>
      </w:pPr>
    </w:p>
    <w:p>
      <w:pPr>
        <w:ind w:left="640"/>
        <w:spacing w:after="0"/>
        <w:rPr>
          <w:sz w:val="20"/>
          <w:szCs w:val="20"/>
          <w:color w:val="auto"/>
        </w:rPr>
      </w:pPr>
      <w:r>
        <w:rPr>
          <w:rFonts w:ascii="Arial" w:cs="Arial" w:eastAsia="Arial" w:hAnsi="Arial"/>
          <w:sz w:val="13"/>
          <w:szCs w:val="13"/>
          <w:u w:val="single" w:color="auto"/>
          <w:color w:val="auto"/>
        </w:rPr>
        <w:t>Cash flows</w:t>
      </w:r>
    </w:p>
    <w:p>
      <w:pPr>
        <w:spacing w:after="0" w:line="151" w:lineRule="exact"/>
        <w:rPr>
          <w:sz w:val="20"/>
          <w:szCs w:val="20"/>
          <w:color w:val="auto"/>
        </w:rPr>
      </w:pPr>
    </w:p>
    <w:p>
      <w:pPr>
        <w:ind w:left="640" w:right="739" w:firstLine="516"/>
        <w:spacing w:after="0" w:line="289" w:lineRule="auto"/>
        <w:rPr>
          <w:sz w:val="20"/>
          <w:szCs w:val="20"/>
          <w:color w:val="auto"/>
        </w:rPr>
      </w:pPr>
      <w:r>
        <w:rPr>
          <w:rFonts w:ascii="Arial" w:cs="Arial" w:eastAsia="Arial" w:hAnsi="Arial"/>
          <w:sz w:val="13"/>
          <w:szCs w:val="13"/>
          <w:color w:val="auto"/>
        </w:rPr>
        <w:t>We report and analyze our cash flows based on operating activities, investing activities, and financing activities. The following table summarizes changes in our cash flows for the six months ended June 30, 2024 and 2023 (in thousands):</w:t>
      </w:r>
    </w:p>
    <w:p>
      <w:pPr>
        <w:spacing w:after="0" w:line="102"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4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0" w:type="dxa"/>
            <w:vAlign w:val="bottom"/>
            <w:gridSpan w:val="5"/>
          </w:tcPr>
          <w:p>
            <w:pPr>
              <w:ind w:left="80"/>
              <w:spacing w:after="0"/>
              <w:rPr>
                <w:sz w:val="20"/>
                <w:szCs w:val="20"/>
                <w:color w:val="auto"/>
              </w:rPr>
            </w:pPr>
            <w:r>
              <w:rPr>
                <w:rFonts w:ascii="Arial" w:cs="Arial" w:eastAsia="Arial" w:hAnsi="Arial"/>
                <w:sz w:val="13"/>
                <w:szCs w:val="13"/>
                <w:color w:val="auto"/>
              </w:rPr>
              <w:t>Six Months Ended June 30,</w:t>
            </w: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84"/>
        </w:trPr>
        <w:tc>
          <w:tcPr>
            <w:tcW w:w="45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3"/>
                <w:szCs w:val="13"/>
                <w:color w:val="auto"/>
              </w:rPr>
              <w:t>2024</w:t>
            </w:r>
          </w:p>
        </w:tc>
        <w:tc>
          <w:tcPr>
            <w:tcW w:w="60" w:type="dxa"/>
            <w:vAlign w:val="bottom"/>
            <w:tcBorders>
              <w:top w:val="single" w:sz="8" w:color="auto"/>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ind w:right="296"/>
              <w:spacing w:after="0"/>
              <w:rPr>
                <w:sz w:val="20"/>
                <w:szCs w:val="20"/>
                <w:color w:val="auto"/>
              </w:rPr>
            </w:pPr>
            <w:r>
              <w:rPr>
                <w:rFonts w:ascii="Arial" w:cs="Arial" w:eastAsia="Arial" w:hAnsi="Arial"/>
                <w:sz w:val="13"/>
                <w:szCs w:val="13"/>
                <w:color w:val="auto"/>
              </w:rPr>
              <w:t>2023</w:t>
            </w:r>
          </w:p>
        </w:tc>
        <w:tc>
          <w:tcPr>
            <w:tcW w:w="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color w:val="auto"/>
              </w:rPr>
              <w:t>Change</w:t>
            </w:r>
          </w:p>
        </w:tc>
      </w:tr>
      <w:tr>
        <w:trPr>
          <w:trHeight w:val="184"/>
        </w:trPr>
        <w:tc>
          <w:tcPr>
            <w:tcW w:w="450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cash provided by operating activities</w:t>
            </w: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752,954</w:t>
            </w: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784,043</w:t>
            </w: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(31,089)</w:t>
            </w:r>
          </w:p>
        </w:tc>
      </w:tr>
      <w:tr>
        <w:trPr>
          <w:trHeight w:val="204"/>
        </w:trPr>
        <w:tc>
          <w:tcPr>
            <w:tcW w:w="4500" w:type="dxa"/>
            <w:vAlign w:val="bottom"/>
          </w:tcPr>
          <w:p>
            <w:pPr>
              <w:ind w:left="40"/>
              <w:spacing w:after="0"/>
              <w:rPr>
                <w:sz w:val="20"/>
                <w:szCs w:val="20"/>
                <w:color w:val="auto"/>
              </w:rPr>
            </w:pPr>
            <w:r>
              <w:rPr>
                <w:rFonts w:ascii="Arial" w:cs="Arial" w:eastAsia="Arial" w:hAnsi="Arial"/>
                <w:sz w:val="13"/>
                <w:szCs w:val="13"/>
                <w:color w:val="auto"/>
              </w:rPr>
              <w:t>Net cash used in investing activities</w:t>
            </w:r>
          </w:p>
        </w:tc>
        <w:tc>
          <w:tcPr>
            <w:tcW w:w="20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(1,468,479)</w:t>
            </w:r>
          </w:p>
        </w:tc>
        <w:tc>
          <w:tcPr>
            <w:tcW w:w="60" w:type="dxa"/>
            <w:vAlign w:val="bottom"/>
          </w:tcPr>
          <w:p>
            <w:pPr>
              <w:spacing w:after="0"/>
              <w:rPr>
                <w:sz w:val="17"/>
                <w:szCs w:val="17"/>
                <w:color w:val="auto"/>
              </w:rPr>
            </w:pPr>
          </w:p>
        </w:tc>
        <w:tc>
          <w:tcPr>
            <w:tcW w:w="24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(1,434,101)</w:t>
            </w:r>
          </w:p>
        </w:tc>
        <w:tc>
          <w:tcPr>
            <w:tcW w:w="60" w:type="dxa"/>
            <w:vAlign w:val="bottom"/>
          </w:tcPr>
          <w:p>
            <w:pPr>
              <w:spacing w:after="0"/>
              <w:rPr>
                <w:sz w:val="17"/>
                <w:szCs w:val="17"/>
                <w:color w:val="auto"/>
              </w:rPr>
            </w:pPr>
          </w:p>
        </w:tc>
        <w:tc>
          <w:tcPr>
            <w:tcW w:w="20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(34,378)</w:t>
            </w:r>
          </w:p>
        </w:tc>
      </w:tr>
      <w:tr>
        <w:trPr>
          <w:trHeight w:val="204"/>
        </w:trPr>
        <w:tc>
          <w:tcPr>
            <w:tcW w:w="450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cash provided by financing activities</w:t>
            </w: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620,460</w:t>
            </w: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752,558</w:t>
            </w: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(132,098)</w:t>
            </w:r>
          </w:p>
        </w:tc>
      </w:tr>
    </w:tbl>
    <w:p>
      <w:pPr>
        <w:spacing w:after="0" w:line="239" w:lineRule="exact"/>
        <w:rPr>
          <w:sz w:val="20"/>
          <w:szCs w:val="20"/>
          <w:color w:val="auto"/>
        </w:rPr>
      </w:pPr>
    </w:p>
    <w:p>
      <w:pPr>
        <w:ind w:left="640"/>
        <w:spacing w:after="0"/>
        <w:rPr>
          <w:sz w:val="20"/>
          <w:szCs w:val="20"/>
          <w:color w:val="auto"/>
        </w:rPr>
      </w:pPr>
      <w:r>
        <w:rPr>
          <w:rFonts w:ascii="Arial" w:cs="Arial" w:eastAsia="Arial" w:hAnsi="Arial"/>
          <w:sz w:val="13"/>
          <w:szCs w:val="13"/>
          <w:i w:val="1"/>
          <w:iCs w:val="1"/>
          <w:u w:val="single" w:color="auto"/>
          <w:color w:val="auto"/>
        </w:rPr>
        <w:t>Operating activities</w:t>
      </w:r>
    </w:p>
    <w:p>
      <w:pPr>
        <w:spacing w:after="0" w:line="160" w:lineRule="exact"/>
        <w:rPr>
          <w:sz w:val="20"/>
          <w:szCs w:val="20"/>
          <w:color w:val="auto"/>
        </w:rPr>
      </w:pPr>
    </w:p>
    <w:p>
      <w:pPr>
        <w:ind w:left="640" w:right="679" w:firstLine="516"/>
        <w:spacing w:after="0" w:line="253" w:lineRule="auto"/>
        <w:rPr>
          <w:sz w:val="20"/>
          <w:szCs w:val="20"/>
          <w:color w:val="auto"/>
        </w:rPr>
      </w:pPr>
      <w:r>
        <w:rPr>
          <w:rFonts w:ascii="Arial" w:cs="Arial" w:eastAsia="Arial" w:hAnsi="Arial"/>
          <w:sz w:val="13"/>
          <w:szCs w:val="13"/>
          <w:color w:val="auto"/>
        </w:rPr>
        <w:t>Cash flows provided by operating activities are primarily dependent upon the occupancy level of our asset base, the rental rates of our leases, the collectibility of rent and recovery of operating expenses from our tenants, the timing of completion of development and redevelopment projects, and the timing of acquisitions and dispositions of operating properties. Net cash provided by operating activities for the six months ended June 30, 2024 decreased by $31.1 million to $753.0 million, compared to $784.0 million for the six months ended June 30, 2023, primarily as a result of fluctuations in working capital due to timing differences.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188595</wp:posOffset>
            </wp:positionV>
            <wp:extent cx="5584190" cy="528129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584190" cy="5281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40"/>
        <w:spacing w:after="0"/>
        <w:rPr>
          <w:sz w:val="20"/>
          <w:szCs w:val="20"/>
          <w:color w:val="auto"/>
        </w:rPr>
      </w:pPr>
      <w:r>
        <w:rPr>
          <w:rFonts w:ascii="Arial" w:cs="Arial" w:eastAsia="Arial" w:hAnsi="Arial"/>
          <w:sz w:val="13"/>
          <w:szCs w:val="13"/>
          <w:i w:val="1"/>
          <w:iCs w:val="1"/>
          <w:u w:val="single" w:color="auto"/>
          <w:color w:val="auto"/>
        </w:rPr>
        <w:t>Investing activities</w:t>
      </w:r>
    </w:p>
    <w:p>
      <w:pPr>
        <w:spacing w:after="0" w:line="160" w:lineRule="exact"/>
        <w:rPr>
          <w:sz w:val="20"/>
          <w:szCs w:val="20"/>
          <w:color w:val="auto"/>
        </w:rPr>
      </w:pPr>
    </w:p>
    <w:p>
      <w:pPr>
        <w:ind w:left="1160"/>
        <w:spacing w:after="0"/>
        <w:rPr>
          <w:sz w:val="20"/>
          <w:szCs w:val="20"/>
          <w:color w:val="auto"/>
        </w:rPr>
      </w:pPr>
      <w:r>
        <w:rPr>
          <w:rFonts w:ascii="Arial" w:cs="Arial" w:eastAsia="Arial" w:hAnsi="Arial"/>
          <w:sz w:val="13"/>
          <w:szCs w:val="13"/>
          <w:color w:val="auto"/>
        </w:rPr>
        <w:t>Cash used in investing activities for the six months ended June 30, 2024 and 2023 consisted of the following (in thousands):</w:t>
      </w:r>
    </w:p>
    <w:p>
      <w:pPr>
        <w:spacing w:after="0" w:line="151"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4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120" w:type="dxa"/>
            <w:vAlign w:val="bottom"/>
            <w:gridSpan w:val="5"/>
          </w:tcPr>
          <w:p>
            <w:pPr>
              <w:ind w:left="120"/>
              <w:spacing w:after="0"/>
              <w:rPr>
                <w:sz w:val="20"/>
                <w:szCs w:val="20"/>
                <w:color w:val="auto"/>
              </w:rPr>
            </w:pPr>
            <w:r>
              <w:rPr>
                <w:rFonts w:ascii="Arial" w:cs="Arial" w:eastAsia="Arial" w:hAnsi="Arial"/>
                <w:sz w:val="13"/>
                <w:szCs w:val="13"/>
                <w:color w:val="auto"/>
              </w:rPr>
              <w:t>Six Months Ended June 30,</w:t>
            </w: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84"/>
        </w:trPr>
        <w:tc>
          <w:tcPr>
            <w:tcW w:w="414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336"/>
              <w:spacing w:after="0"/>
              <w:rPr>
                <w:sz w:val="20"/>
                <w:szCs w:val="20"/>
                <w:color w:val="auto"/>
              </w:rPr>
            </w:pPr>
            <w:r>
              <w:rPr>
                <w:rFonts w:ascii="Arial" w:cs="Arial" w:eastAsia="Arial" w:hAnsi="Arial"/>
                <w:sz w:val="13"/>
                <w:szCs w:val="13"/>
                <w:color w:val="auto"/>
              </w:rPr>
              <w:t>2024</w:t>
            </w:r>
          </w:p>
        </w:tc>
        <w:tc>
          <w:tcPr>
            <w:tcW w:w="60" w:type="dxa"/>
            <w:vAlign w:val="bottom"/>
            <w:tcBorders>
              <w:top w:val="single" w:sz="8" w:color="auto"/>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356"/>
              <w:spacing w:after="0"/>
              <w:rPr>
                <w:sz w:val="20"/>
                <w:szCs w:val="20"/>
                <w:color w:val="auto"/>
              </w:rPr>
            </w:pPr>
            <w:r>
              <w:rPr>
                <w:rFonts w:ascii="Arial" w:cs="Arial" w:eastAsia="Arial" w:hAnsi="Arial"/>
                <w:sz w:val="13"/>
                <w:szCs w:val="13"/>
                <w:color w:val="auto"/>
              </w:rPr>
              <w:t>2023</w:t>
            </w:r>
          </w:p>
        </w:tc>
        <w:tc>
          <w:tcPr>
            <w:tcW w:w="6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color w:val="auto"/>
              </w:rPr>
              <w:t>Increase (Decrease)</w:t>
            </w:r>
          </w:p>
        </w:tc>
      </w:tr>
      <w:tr>
        <w:trPr>
          <w:trHeight w:val="184"/>
        </w:trPr>
        <w:tc>
          <w:tcPr>
            <w:tcW w:w="4140" w:type="dxa"/>
            <w:vAlign w:val="bottom"/>
            <w:shd w:val="clear" w:color="auto" w:fill="CCEEFF"/>
          </w:tcPr>
          <w:p>
            <w:pPr>
              <w:ind w:left="40"/>
              <w:spacing w:after="0"/>
              <w:rPr>
                <w:sz w:val="20"/>
                <w:szCs w:val="20"/>
                <w:color w:val="auto"/>
              </w:rPr>
            </w:pPr>
            <w:r>
              <w:rPr>
                <w:rFonts w:ascii="Arial" w:cs="Arial" w:eastAsia="Arial" w:hAnsi="Arial"/>
                <w:sz w:val="13"/>
                <w:szCs w:val="13"/>
                <w:color w:val="auto"/>
              </w:rPr>
              <w:t>Sources of cash from investing activities:</w:t>
            </w: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r>
      <w:tr>
        <w:trPr>
          <w:trHeight w:val="204"/>
        </w:trPr>
        <w:tc>
          <w:tcPr>
            <w:tcW w:w="4140" w:type="dxa"/>
            <w:vAlign w:val="bottom"/>
          </w:tcPr>
          <w:p>
            <w:pPr>
              <w:ind w:left="200"/>
              <w:spacing w:after="0"/>
              <w:rPr>
                <w:sz w:val="20"/>
                <w:szCs w:val="20"/>
                <w:color w:val="auto"/>
              </w:rPr>
            </w:pPr>
            <w:r>
              <w:rPr>
                <w:rFonts w:ascii="Arial" w:cs="Arial" w:eastAsia="Arial" w:hAnsi="Arial"/>
                <w:sz w:val="13"/>
                <w:szCs w:val="13"/>
                <w:color w:val="auto"/>
              </w:rPr>
              <w:t>Proceeds from sales of real estate</w:t>
            </w:r>
          </w:p>
        </w:tc>
        <w:tc>
          <w:tcPr>
            <w:tcW w:w="22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16,670</w:t>
            </w:r>
          </w:p>
        </w:tc>
        <w:tc>
          <w:tcPr>
            <w:tcW w:w="60" w:type="dxa"/>
            <w:vAlign w:val="bottom"/>
          </w:tcPr>
          <w:p>
            <w:pPr>
              <w:spacing w:after="0"/>
              <w:rPr>
                <w:sz w:val="17"/>
                <w:szCs w:val="17"/>
                <w:color w:val="auto"/>
              </w:rPr>
            </w:pPr>
          </w:p>
        </w:tc>
        <w:tc>
          <w:tcPr>
            <w:tcW w:w="26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592,630</w:t>
            </w:r>
          </w:p>
        </w:tc>
        <w:tc>
          <w:tcPr>
            <w:tcW w:w="60" w:type="dxa"/>
            <w:vAlign w:val="bottom"/>
          </w:tcPr>
          <w:p>
            <w:pPr>
              <w:spacing w:after="0"/>
              <w:rPr>
                <w:sz w:val="17"/>
                <w:szCs w:val="17"/>
                <w:color w:val="auto"/>
              </w:rPr>
            </w:pPr>
          </w:p>
        </w:tc>
        <w:tc>
          <w:tcPr>
            <w:tcW w:w="400" w:type="dxa"/>
            <w:vAlign w:val="bottom"/>
          </w:tcPr>
          <w:p>
            <w:pPr>
              <w:ind w:left="40"/>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(575,960)</w:t>
            </w:r>
          </w:p>
        </w:tc>
      </w:tr>
      <w:tr>
        <w:trPr>
          <w:trHeight w:val="204"/>
        </w:trPr>
        <w:tc>
          <w:tcPr>
            <w:tcW w:w="41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Sales of and distributions from non-real estate investments</w:t>
            </w: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86,008</w:t>
            </w: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109,335</w:t>
            </w: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(23,327)</w:t>
            </w:r>
          </w:p>
        </w:tc>
      </w:tr>
      <w:tr>
        <w:trPr>
          <w:trHeight w:val="204"/>
        </w:trPr>
        <w:tc>
          <w:tcPr>
            <w:tcW w:w="4140" w:type="dxa"/>
            <w:vAlign w:val="bottom"/>
          </w:tcPr>
          <w:p>
            <w:pPr>
              <w:ind w:left="200"/>
              <w:spacing w:after="0"/>
              <w:rPr>
                <w:sz w:val="20"/>
                <w:szCs w:val="20"/>
                <w:color w:val="auto"/>
              </w:rPr>
            </w:pPr>
            <w:r>
              <w:rPr>
                <w:rFonts w:ascii="Arial" w:cs="Arial" w:eastAsia="Arial" w:hAnsi="Arial"/>
                <w:sz w:val="13"/>
                <w:szCs w:val="13"/>
                <w:color w:val="auto"/>
              </w:rPr>
              <w:t>Change in escrow deposits</w:t>
            </w:r>
          </w:p>
        </w:tc>
        <w:tc>
          <w:tcPr>
            <w:tcW w:w="22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13,663</w:t>
            </w: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(13,663)</w:t>
            </w:r>
          </w:p>
        </w:tc>
      </w:tr>
      <w:tr>
        <w:trPr>
          <w:trHeight w:val="184"/>
        </w:trPr>
        <w:tc>
          <w:tcPr>
            <w:tcW w:w="414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102,678</w:t>
            </w:r>
          </w:p>
        </w:tc>
        <w:tc>
          <w:tcPr>
            <w:tcW w:w="6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715,628</w:t>
            </w:r>
          </w:p>
        </w:tc>
        <w:tc>
          <w:tcPr>
            <w:tcW w:w="6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(612,950)</w:t>
            </w:r>
          </w:p>
        </w:tc>
      </w:tr>
      <w:tr>
        <w:trPr>
          <w:trHeight w:val="204"/>
        </w:trPr>
        <w:tc>
          <w:tcPr>
            <w:tcW w:w="4140" w:type="dxa"/>
            <w:vAlign w:val="bottom"/>
          </w:tcPr>
          <w:p>
            <w:pPr>
              <w:ind w:left="40"/>
              <w:spacing w:after="0"/>
              <w:rPr>
                <w:sz w:val="20"/>
                <w:szCs w:val="20"/>
                <w:color w:val="auto"/>
              </w:rPr>
            </w:pPr>
            <w:r>
              <w:rPr>
                <w:rFonts w:ascii="Arial" w:cs="Arial" w:eastAsia="Arial" w:hAnsi="Arial"/>
                <w:sz w:val="13"/>
                <w:szCs w:val="13"/>
                <w:color w:val="auto"/>
              </w:rPr>
              <w:t>Uses of cash for investing activities:</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4"/>
        </w:trPr>
        <w:tc>
          <w:tcPr>
            <w:tcW w:w="41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Purchases of real estate</w:t>
            </w: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201,049</w:t>
            </w: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233,317</w:t>
            </w: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(32,268)</w:t>
            </w:r>
          </w:p>
        </w:tc>
      </w:tr>
      <w:tr>
        <w:trPr>
          <w:trHeight w:val="204"/>
        </w:trPr>
        <w:tc>
          <w:tcPr>
            <w:tcW w:w="4140" w:type="dxa"/>
            <w:vAlign w:val="bottom"/>
          </w:tcPr>
          <w:p>
            <w:pPr>
              <w:ind w:left="200"/>
              <w:spacing w:after="0"/>
              <w:rPr>
                <w:sz w:val="20"/>
                <w:szCs w:val="20"/>
                <w:color w:val="auto"/>
              </w:rPr>
            </w:pPr>
            <w:r>
              <w:rPr>
                <w:rFonts w:ascii="Arial" w:cs="Arial" w:eastAsia="Arial" w:hAnsi="Arial"/>
                <w:sz w:val="13"/>
                <w:szCs w:val="13"/>
                <w:color w:val="auto"/>
              </w:rPr>
              <w:t>Additions to real estate</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1,241,214</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1,812,241</w:t>
            </w: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(571,027)</w:t>
            </w:r>
          </w:p>
        </w:tc>
      </w:tr>
      <w:tr>
        <w:trPr>
          <w:trHeight w:val="204"/>
        </w:trPr>
        <w:tc>
          <w:tcPr>
            <w:tcW w:w="41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Change in escrow deposits</w:t>
            </w: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2,473</w:t>
            </w: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2,473</w:t>
            </w:r>
          </w:p>
        </w:tc>
      </w:tr>
      <w:tr>
        <w:trPr>
          <w:trHeight w:val="204"/>
        </w:trPr>
        <w:tc>
          <w:tcPr>
            <w:tcW w:w="4140" w:type="dxa"/>
            <w:vAlign w:val="bottom"/>
          </w:tcPr>
          <w:p>
            <w:pPr>
              <w:ind w:left="200"/>
              <w:spacing w:after="0"/>
              <w:rPr>
                <w:sz w:val="20"/>
                <w:szCs w:val="20"/>
                <w:color w:val="auto"/>
              </w:rPr>
            </w:pPr>
            <w:r>
              <w:rPr>
                <w:rFonts w:ascii="Arial" w:cs="Arial" w:eastAsia="Arial" w:hAnsi="Arial"/>
                <w:sz w:val="13"/>
                <w:szCs w:val="13"/>
                <w:color w:val="auto"/>
              </w:rPr>
              <w:t>Investments in unconsolidated real estate joint ventures</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3,713</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332</w:t>
            </w: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3,381</w:t>
            </w:r>
          </w:p>
        </w:tc>
      </w:tr>
      <w:tr>
        <w:trPr>
          <w:trHeight w:val="204"/>
        </w:trPr>
        <w:tc>
          <w:tcPr>
            <w:tcW w:w="41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Additions to non-real estate investments</w:t>
            </w:r>
          </w:p>
        </w:tc>
        <w:tc>
          <w:tcPr>
            <w:tcW w:w="2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122,708</w:t>
            </w:r>
          </w:p>
        </w:tc>
        <w:tc>
          <w:tcPr>
            <w:tcW w:w="6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103,839</w:t>
            </w:r>
          </w:p>
        </w:tc>
        <w:tc>
          <w:tcPr>
            <w:tcW w:w="6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18,869</w:t>
            </w:r>
          </w:p>
        </w:tc>
      </w:tr>
      <w:tr>
        <w:trPr>
          <w:trHeight w:val="184"/>
        </w:trPr>
        <w:tc>
          <w:tcPr>
            <w:tcW w:w="4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1,571,157</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2,149,729</w:t>
            </w: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(578,572)</w:t>
            </w:r>
          </w:p>
        </w:tc>
      </w:tr>
      <w:tr>
        <w:trPr>
          <w:trHeight w:val="204"/>
        </w:trPr>
        <w:tc>
          <w:tcPr>
            <w:tcW w:w="41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spacing w:after="0"/>
              <w:rPr>
                <w:sz w:val="17"/>
                <w:szCs w:val="17"/>
                <w:color w:val="auto"/>
              </w:rPr>
            </w:pPr>
          </w:p>
        </w:tc>
      </w:tr>
      <w:tr>
        <w:trPr>
          <w:trHeight w:val="163"/>
        </w:trPr>
        <w:tc>
          <w:tcPr>
            <w:tcW w:w="4140" w:type="dxa"/>
            <w:vAlign w:val="bottom"/>
          </w:tcPr>
          <w:p>
            <w:pPr>
              <w:ind w:left="160"/>
              <w:spacing w:after="0"/>
              <w:rPr>
                <w:sz w:val="20"/>
                <w:szCs w:val="20"/>
                <w:color w:val="auto"/>
              </w:rPr>
            </w:pPr>
            <w:r>
              <w:rPr>
                <w:rFonts w:ascii="Arial" w:cs="Arial" w:eastAsia="Arial" w:hAnsi="Arial"/>
                <w:sz w:val="13"/>
                <w:szCs w:val="13"/>
                <w:color w:val="auto"/>
              </w:rPr>
              <w:t>Net cash used in investing activities</w:t>
            </w:r>
          </w:p>
        </w:tc>
        <w:tc>
          <w:tcPr>
            <w:tcW w:w="22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1,468,479</w:t>
            </w:r>
          </w:p>
        </w:tc>
        <w:tc>
          <w:tcPr>
            <w:tcW w:w="60" w:type="dxa"/>
            <w:vAlign w:val="bottom"/>
          </w:tcPr>
          <w:p>
            <w:pPr>
              <w:spacing w:after="0"/>
              <w:rPr>
                <w:sz w:val="14"/>
                <w:szCs w:val="14"/>
                <w:color w:val="auto"/>
              </w:rPr>
            </w:pPr>
          </w:p>
        </w:tc>
        <w:tc>
          <w:tcPr>
            <w:tcW w:w="26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1,434,101</w:t>
            </w:r>
          </w:p>
        </w:tc>
        <w:tc>
          <w:tcPr>
            <w:tcW w:w="60" w:type="dxa"/>
            <w:vAlign w:val="bottom"/>
          </w:tcPr>
          <w:p>
            <w:pPr>
              <w:spacing w:after="0"/>
              <w:rPr>
                <w:sz w:val="14"/>
                <w:szCs w:val="14"/>
                <w:color w:val="auto"/>
              </w:rPr>
            </w:pPr>
          </w:p>
        </w:tc>
        <w:tc>
          <w:tcPr>
            <w:tcW w:w="40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34,378</w:t>
            </w:r>
          </w:p>
        </w:tc>
      </w:tr>
      <w:tr>
        <w:trPr>
          <w:trHeight w:val="20"/>
        </w:trPr>
        <w:tc>
          <w:tcPr>
            <w:tcW w:w="4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4" w:lineRule="exact"/>
        <w:rPr>
          <w:sz w:val="20"/>
          <w:szCs w:val="20"/>
          <w:color w:val="auto"/>
        </w:rPr>
      </w:pPr>
    </w:p>
    <w:p>
      <w:pPr>
        <w:ind w:left="640" w:right="759" w:firstLine="516"/>
        <w:spacing w:after="0" w:line="257" w:lineRule="auto"/>
        <w:rPr>
          <w:sz w:val="20"/>
          <w:szCs w:val="20"/>
          <w:color w:val="auto"/>
        </w:rPr>
      </w:pPr>
      <w:r>
        <w:rPr>
          <w:rFonts w:ascii="Arial" w:cs="Arial" w:eastAsia="Arial" w:hAnsi="Arial"/>
          <w:sz w:val="13"/>
          <w:szCs w:val="13"/>
          <w:color w:val="auto"/>
        </w:rPr>
        <w:t>The increase in net cash used in investing activities for the six months ended June 30, 2024, compared to the six months ended June 30, 2023, was primarily due to a decrease in cash used for real estate purchases and additions, partially offset by lower proceeds from sales of real estate. Refer to Note 3 – “Investments in real estate” to our unaudited consolidated financial statements in Item 1 for additional information.</w:t>
      </w:r>
    </w:p>
    <w:p>
      <w:pPr>
        <w:spacing w:after="0" w:line="135" w:lineRule="exact"/>
        <w:rPr>
          <w:sz w:val="20"/>
          <w:szCs w:val="20"/>
          <w:color w:val="auto"/>
        </w:rPr>
      </w:pPr>
    </w:p>
    <w:p>
      <w:pPr>
        <w:ind w:left="640"/>
        <w:spacing w:after="0"/>
        <w:rPr>
          <w:sz w:val="20"/>
          <w:szCs w:val="20"/>
          <w:color w:val="auto"/>
        </w:rPr>
      </w:pPr>
      <w:r>
        <w:rPr>
          <w:rFonts w:ascii="Arial" w:cs="Arial" w:eastAsia="Arial" w:hAnsi="Arial"/>
          <w:sz w:val="13"/>
          <w:szCs w:val="13"/>
          <w:i w:val="1"/>
          <w:iCs w:val="1"/>
          <w:u w:val="single" w:color="auto"/>
          <w:color w:val="auto"/>
        </w:rPr>
        <w:t>Financing activities</w:t>
      </w:r>
    </w:p>
    <w:p>
      <w:pPr>
        <w:spacing w:after="0" w:line="149" w:lineRule="exact"/>
        <w:rPr>
          <w:sz w:val="20"/>
          <w:szCs w:val="20"/>
          <w:color w:val="auto"/>
        </w:rPr>
      </w:pPr>
    </w:p>
    <w:p>
      <w:pPr>
        <w:ind w:left="640" w:right="1099" w:firstLine="516"/>
        <w:spacing w:after="0" w:line="289" w:lineRule="auto"/>
        <w:rPr>
          <w:sz w:val="20"/>
          <w:szCs w:val="20"/>
          <w:color w:val="auto"/>
        </w:rPr>
      </w:pPr>
      <w:r>
        <w:rPr>
          <w:rFonts w:ascii="Arial" w:cs="Arial" w:eastAsia="Arial" w:hAnsi="Arial"/>
          <w:sz w:val="13"/>
          <w:szCs w:val="13"/>
          <w:color w:val="auto"/>
        </w:rPr>
        <w:t>Cash flows provided by financing activities for the six months ended June 30, 2024 and 2023 consisted of the following (in thousands):</w:t>
      </w:r>
    </w:p>
    <w:p>
      <w:pPr>
        <w:spacing w:after="0" w:line="16" w:lineRule="exact"/>
        <w:rPr>
          <w:sz w:val="20"/>
          <w:szCs w:val="20"/>
          <w:color w:val="auto"/>
        </w:rPr>
      </w:pPr>
    </w:p>
    <w:tbl>
      <w:tblPr>
        <w:tblLayout w:type="fixed"/>
        <w:tblInd w:w="680" w:type="dxa"/>
        <w:tblCellMar>
          <w:top w:w="0" w:type="dxa"/>
          <w:left w:w="0" w:type="dxa"/>
          <w:bottom w:w="0" w:type="dxa"/>
          <w:right w:w="0" w:type="dxa"/>
        </w:tblCellMar>
      </w:tblPr>
      <w:tr>
        <w:trPr>
          <w:trHeight w:val="169"/>
        </w:trPr>
        <w:tc>
          <w:tcPr>
            <w:tcW w:w="40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40" w:type="dxa"/>
            <w:vAlign w:val="bottom"/>
            <w:gridSpan w:val="3"/>
          </w:tcPr>
          <w:p>
            <w:pPr>
              <w:jc w:val="right"/>
              <w:ind w:right="296"/>
              <w:spacing w:after="0"/>
              <w:rPr>
                <w:sz w:val="20"/>
                <w:szCs w:val="20"/>
                <w:color w:val="auto"/>
              </w:rPr>
            </w:pPr>
            <w:r>
              <w:rPr>
                <w:rFonts w:ascii="Arial" w:cs="Arial" w:eastAsia="Arial" w:hAnsi="Arial"/>
                <w:sz w:val="13"/>
                <w:szCs w:val="13"/>
                <w:color w:val="auto"/>
              </w:rPr>
              <w:t>Six Months Ended June 30,</w:t>
            </w: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204"/>
        </w:trPr>
        <w:tc>
          <w:tcPr>
            <w:tcW w:w="40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00" w:type="dxa"/>
            <w:vAlign w:val="bottom"/>
          </w:tcPr>
          <w:p>
            <w:pPr>
              <w:jc w:val="right"/>
              <w:ind w:right="376"/>
              <w:spacing w:after="0"/>
              <w:rPr>
                <w:sz w:val="20"/>
                <w:szCs w:val="20"/>
                <w:color w:val="auto"/>
              </w:rPr>
            </w:pPr>
            <w:r>
              <w:rPr>
                <w:rFonts w:ascii="Arial" w:cs="Arial" w:eastAsia="Arial" w:hAnsi="Arial"/>
                <w:sz w:val="13"/>
                <w:szCs w:val="13"/>
                <w:color w:val="auto"/>
              </w:rPr>
              <w:t>2024</w:t>
            </w:r>
          </w:p>
        </w:tc>
        <w:tc>
          <w:tcPr>
            <w:tcW w:w="280" w:type="dxa"/>
            <w:vAlign w:val="bottom"/>
          </w:tcPr>
          <w:p>
            <w:pPr>
              <w:spacing w:after="0"/>
              <w:rPr>
                <w:sz w:val="17"/>
                <w:szCs w:val="17"/>
                <w:color w:val="auto"/>
              </w:rPr>
            </w:pPr>
          </w:p>
        </w:tc>
        <w:tc>
          <w:tcPr>
            <w:tcW w:w="860" w:type="dxa"/>
            <w:vAlign w:val="bottom"/>
          </w:tcPr>
          <w:p>
            <w:pPr>
              <w:jc w:val="right"/>
              <w:ind w:right="376"/>
              <w:spacing w:after="0"/>
              <w:rPr>
                <w:sz w:val="20"/>
                <w:szCs w:val="20"/>
                <w:color w:val="auto"/>
              </w:rPr>
            </w:pPr>
            <w:r>
              <w:rPr>
                <w:rFonts w:ascii="Arial" w:cs="Arial" w:eastAsia="Arial" w:hAnsi="Arial"/>
                <w:sz w:val="13"/>
                <w:szCs w:val="13"/>
                <w:color w:val="auto"/>
              </w:rPr>
              <w:t>2023</w:t>
            </w:r>
          </w:p>
        </w:tc>
        <w:tc>
          <w:tcPr>
            <w:tcW w:w="200" w:type="dxa"/>
            <w:vAlign w:val="bottom"/>
          </w:tcPr>
          <w:p>
            <w:pPr>
              <w:spacing w:after="0"/>
              <w:rPr>
                <w:sz w:val="17"/>
                <w:szCs w:val="17"/>
                <w:color w:val="auto"/>
              </w:rPr>
            </w:pPr>
          </w:p>
        </w:tc>
        <w:tc>
          <w:tcPr>
            <w:tcW w:w="740" w:type="dxa"/>
            <w:vAlign w:val="bottom"/>
          </w:tcPr>
          <w:p>
            <w:pPr>
              <w:jc w:val="right"/>
              <w:ind w:right="156"/>
              <w:spacing w:after="0"/>
              <w:rPr>
                <w:sz w:val="20"/>
                <w:szCs w:val="20"/>
                <w:color w:val="auto"/>
              </w:rPr>
            </w:pPr>
            <w:r>
              <w:rPr>
                <w:rFonts w:ascii="Arial" w:cs="Arial" w:eastAsia="Arial" w:hAnsi="Arial"/>
                <w:sz w:val="13"/>
                <w:szCs w:val="13"/>
                <w:color w:val="auto"/>
              </w:rPr>
              <w:t>Change</w:t>
            </w:r>
          </w:p>
        </w:tc>
      </w:tr>
      <w:tr>
        <w:trPr>
          <w:trHeight w:val="204"/>
        </w:trPr>
        <w:tc>
          <w:tcPr>
            <w:tcW w:w="4080" w:type="dxa"/>
            <w:vAlign w:val="bottom"/>
          </w:tcPr>
          <w:p>
            <w:pPr>
              <w:spacing w:after="0"/>
              <w:rPr>
                <w:sz w:val="20"/>
                <w:szCs w:val="20"/>
                <w:color w:val="auto"/>
              </w:rPr>
            </w:pPr>
            <w:r>
              <w:rPr>
                <w:rFonts w:ascii="Arial" w:cs="Arial" w:eastAsia="Arial" w:hAnsi="Arial"/>
                <w:sz w:val="13"/>
                <w:szCs w:val="13"/>
                <w:color w:val="auto"/>
              </w:rPr>
              <w:t>Borrowings under secured notes payable</w:t>
            </w:r>
          </w:p>
        </w:tc>
        <w:tc>
          <w:tcPr>
            <w:tcW w:w="60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36"/>
              <w:spacing w:after="0"/>
              <w:rPr>
                <w:sz w:val="20"/>
                <w:szCs w:val="20"/>
                <w:color w:val="auto"/>
              </w:rPr>
            </w:pPr>
            <w:r>
              <w:rPr>
                <w:rFonts w:ascii="Arial" w:cs="Arial" w:eastAsia="Arial" w:hAnsi="Arial"/>
                <w:sz w:val="13"/>
                <w:szCs w:val="13"/>
                <w:color w:val="auto"/>
              </w:rPr>
              <w:t>14,974</w:t>
            </w:r>
          </w:p>
        </w:tc>
        <w:tc>
          <w:tcPr>
            <w:tcW w:w="28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36"/>
              <w:spacing w:after="0"/>
              <w:rPr>
                <w:sz w:val="20"/>
                <w:szCs w:val="20"/>
                <w:color w:val="auto"/>
              </w:rPr>
            </w:pPr>
            <w:r>
              <w:rPr>
                <w:rFonts w:ascii="Arial" w:cs="Arial" w:eastAsia="Arial" w:hAnsi="Arial"/>
                <w:sz w:val="13"/>
                <w:szCs w:val="13"/>
                <w:color w:val="auto"/>
              </w:rPr>
              <w:t>32,550</w:t>
            </w:r>
          </w:p>
        </w:tc>
        <w:tc>
          <w:tcPr>
            <w:tcW w:w="20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(17,576)</w:t>
            </w:r>
          </w:p>
        </w:tc>
      </w:tr>
      <w:tr>
        <w:trPr>
          <w:trHeight w:val="204"/>
        </w:trPr>
        <w:tc>
          <w:tcPr>
            <w:tcW w:w="4080" w:type="dxa"/>
            <w:vAlign w:val="bottom"/>
          </w:tcPr>
          <w:p>
            <w:pPr>
              <w:spacing w:after="0"/>
              <w:rPr>
                <w:sz w:val="20"/>
                <w:szCs w:val="20"/>
                <w:color w:val="auto"/>
              </w:rPr>
            </w:pPr>
            <w:r>
              <w:rPr>
                <w:rFonts w:ascii="Arial" w:cs="Arial" w:eastAsia="Arial" w:hAnsi="Arial"/>
                <w:sz w:val="13"/>
                <w:szCs w:val="13"/>
                <w:color w:val="auto"/>
              </w:rPr>
              <w:t>Proceeds from issuance of unsecured senior notes payable</w:t>
            </w:r>
          </w:p>
        </w:tc>
        <w:tc>
          <w:tcPr>
            <w:tcW w:w="600" w:type="dxa"/>
            <w:vAlign w:val="bottom"/>
          </w:tcPr>
          <w:p>
            <w:pPr>
              <w:spacing w:after="0"/>
              <w:rPr>
                <w:sz w:val="17"/>
                <w:szCs w:val="17"/>
                <w:color w:val="auto"/>
              </w:rPr>
            </w:pPr>
          </w:p>
        </w:tc>
        <w:tc>
          <w:tcPr>
            <w:tcW w:w="900" w:type="dxa"/>
            <w:vAlign w:val="bottom"/>
          </w:tcPr>
          <w:p>
            <w:pPr>
              <w:jc w:val="right"/>
              <w:ind w:right="36"/>
              <w:spacing w:after="0"/>
              <w:rPr>
                <w:sz w:val="20"/>
                <w:szCs w:val="20"/>
                <w:color w:val="auto"/>
              </w:rPr>
            </w:pPr>
            <w:r>
              <w:rPr>
                <w:rFonts w:ascii="Arial" w:cs="Arial" w:eastAsia="Arial" w:hAnsi="Arial"/>
                <w:sz w:val="13"/>
                <w:szCs w:val="13"/>
                <w:color w:val="auto"/>
              </w:rPr>
              <w:t>998,806</w:t>
            </w:r>
          </w:p>
        </w:tc>
        <w:tc>
          <w:tcPr>
            <w:tcW w:w="280" w:type="dxa"/>
            <w:vAlign w:val="bottom"/>
          </w:tcPr>
          <w:p>
            <w:pPr>
              <w:spacing w:after="0"/>
              <w:rPr>
                <w:sz w:val="17"/>
                <w:szCs w:val="17"/>
                <w:color w:val="auto"/>
              </w:rPr>
            </w:pPr>
          </w:p>
        </w:tc>
        <w:tc>
          <w:tcPr>
            <w:tcW w:w="860" w:type="dxa"/>
            <w:vAlign w:val="bottom"/>
          </w:tcPr>
          <w:p>
            <w:pPr>
              <w:jc w:val="right"/>
              <w:ind w:right="36"/>
              <w:spacing w:after="0"/>
              <w:rPr>
                <w:sz w:val="20"/>
                <w:szCs w:val="20"/>
                <w:color w:val="auto"/>
              </w:rPr>
            </w:pPr>
            <w:r>
              <w:rPr>
                <w:rFonts w:ascii="Arial" w:cs="Arial" w:eastAsia="Arial" w:hAnsi="Arial"/>
                <w:sz w:val="13"/>
                <w:szCs w:val="13"/>
                <w:color w:val="auto"/>
              </w:rPr>
              <w:t>996,205</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2,601</w:t>
            </w:r>
          </w:p>
        </w:tc>
      </w:tr>
      <w:tr>
        <w:trPr>
          <w:trHeight w:val="204"/>
        </w:trPr>
        <w:tc>
          <w:tcPr>
            <w:tcW w:w="4080" w:type="dxa"/>
            <w:vAlign w:val="bottom"/>
          </w:tcPr>
          <w:p>
            <w:pPr>
              <w:spacing w:after="0"/>
              <w:rPr>
                <w:sz w:val="20"/>
                <w:szCs w:val="20"/>
                <w:color w:val="auto"/>
              </w:rPr>
            </w:pPr>
            <w:r>
              <w:rPr>
                <w:rFonts w:ascii="Arial" w:cs="Arial" w:eastAsia="Arial" w:hAnsi="Arial"/>
                <w:sz w:val="13"/>
                <w:szCs w:val="13"/>
                <w:color w:val="auto"/>
              </w:rPr>
              <w:t>Borrowings under unsecured senior line of credit</w:t>
            </w:r>
          </w:p>
        </w:tc>
        <w:tc>
          <w:tcPr>
            <w:tcW w:w="600" w:type="dxa"/>
            <w:vAlign w:val="bottom"/>
          </w:tcPr>
          <w:p>
            <w:pPr>
              <w:spacing w:after="0"/>
              <w:rPr>
                <w:sz w:val="17"/>
                <w:szCs w:val="17"/>
                <w:color w:val="auto"/>
              </w:rPr>
            </w:pPr>
          </w:p>
        </w:tc>
        <w:tc>
          <w:tcPr>
            <w:tcW w:w="90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7"/>
                <w:szCs w:val="17"/>
                <w:color w:val="auto"/>
              </w:rPr>
            </w:pPr>
          </w:p>
        </w:tc>
        <w:tc>
          <w:tcPr>
            <w:tcW w:w="860" w:type="dxa"/>
            <w:vAlign w:val="bottom"/>
          </w:tcPr>
          <w:p>
            <w:pPr>
              <w:jc w:val="right"/>
              <w:ind w:right="36"/>
              <w:spacing w:after="0"/>
              <w:rPr>
                <w:sz w:val="20"/>
                <w:szCs w:val="20"/>
                <w:color w:val="auto"/>
              </w:rPr>
            </w:pPr>
            <w:r>
              <w:rPr>
                <w:rFonts w:ascii="Arial" w:cs="Arial" w:eastAsia="Arial" w:hAnsi="Arial"/>
                <w:sz w:val="13"/>
                <w:szCs w:val="13"/>
                <w:color w:val="auto"/>
              </w:rPr>
              <w:t>375,000</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(375,000)</w:t>
            </w:r>
          </w:p>
        </w:tc>
      </w:tr>
      <w:tr>
        <w:trPr>
          <w:trHeight w:val="204"/>
        </w:trPr>
        <w:tc>
          <w:tcPr>
            <w:tcW w:w="4080" w:type="dxa"/>
            <w:vAlign w:val="bottom"/>
          </w:tcPr>
          <w:p>
            <w:pPr>
              <w:spacing w:after="0"/>
              <w:rPr>
                <w:sz w:val="20"/>
                <w:szCs w:val="20"/>
                <w:color w:val="auto"/>
              </w:rPr>
            </w:pPr>
            <w:r>
              <w:rPr>
                <w:rFonts w:ascii="Arial" w:cs="Arial" w:eastAsia="Arial" w:hAnsi="Arial"/>
                <w:sz w:val="13"/>
                <w:szCs w:val="13"/>
                <w:color w:val="auto"/>
              </w:rPr>
              <w:t>Repayments of borrowings under unsecured senior line of credit</w:t>
            </w:r>
          </w:p>
        </w:tc>
        <w:tc>
          <w:tcPr>
            <w:tcW w:w="600" w:type="dxa"/>
            <w:vAlign w:val="bottom"/>
          </w:tcPr>
          <w:p>
            <w:pPr>
              <w:spacing w:after="0"/>
              <w:rPr>
                <w:sz w:val="17"/>
                <w:szCs w:val="17"/>
                <w:color w:val="auto"/>
              </w:rPr>
            </w:pPr>
          </w:p>
        </w:tc>
        <w:tc>
          <w:tcPr>
            <w:tcW w:w="90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(375,000)</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375,000</w:t>
            </w:r>
          </w:p>
        </w:tc>
      </w:tr>
      <w:tr>
        <w:trPr>
          <w:trHeight w:val="204"/>
        </w:trPr>
        <w:tc>
          <w:tcPr>
            <w:tcW w:w="4080" w:type="dxa"/>
            <w:vAlign w:val="bottom"/>
          </w:tcPr>
          <w:p>
            <w:pPr>
              <w:spacing w:after="0"/>
              <w:rPr>
                <w:sz w:val="20"/>
                <w:szCs w:val="20"/>
                <w:color w:val="auto"/>
              </w:rPr>
            </w:pPr>
            <w:r>
              <w:rPr>
                <w:rFonts w:ascii="Arial" w:cs="Arial" w:eastAsia="Arial" w:hAnsi="Arial"/>
                <w:sz w:val="13"/>
                <w:szCs w:val="13"/>
                <w:color w:val="auto"/>
              </w:rPr>
              <w:t>Proceeds from issuances under commercial paper program</w:t>
            </w:r>
          </w:p>
        </w:tc>
        <w:tc>
          <w:tcPr>
            <w:tcW w:w="600" w:type="dxa"/>
            <w:vAlign w:val="bottom"/>
          </w:tcPr>
          <w:p>
            <w:pPr>
              <w:spacing w:after="0"/>
              <w:rPr>
                <w:sz w:val="17"/>
                <w:szCs w:val="17"/>
                <w:color w:val="auto"/>
              </w:rPr>
            </w:pPr>
          </w:p>
        </w:tc>
        <w:tc>
          <w:tcPr>
            <w:tcW w:w="900" w:type="dxa"/>
            <w:vAlign w:val="bottom"/>
          </w:tcPr>
          <w:p>
            <w:pPr>
              <w:jc w:val="right"/>
              <w:ind w:right="36"/>
              <w:spacing w:after="0"/>
              <w:rPr>
                <w:sz w:val="20"/>
                <w:szCs w:val="20"/>
                <w:color w:val="auto"/>
              </w:rPr>
            </w:pPr>
            <w:r>
              <w:rPr>
                <w:rFonts w:ascii="Arial" w:cs="Arial" w:eastAsia="Arial" w:hAnsi="Arial"/>
                <w:sz w:val="13"/>
                <w:szCs w:val="13"/>
                <w:color w:val="auto"/>
              </w:rPr>
              <w:t>5,006,950</w:t>
            </w:r>
          </w:p>
        </w:tc>
        <w:tc>
          <w:tcPr>
            <w:tcW w:w="280" w:type="dxa"/>
            <w:vAlign w:val="bottom"/>
          </w:tcPr>
          <w:p>
            <w:pPr>
              <w:spacing w:after="0"/>
              <w:rPr>
                <w:sz w:val="17"/>
                <w:szCs w:val="17"/>
                <w:color w:val="auto"/>
              </w:rPr>
            </w:pPr>
          </w:p>
        </w:tc>
        <w:tc>
          <w:tcPr>
            <w:tcW w:w="860" w:type="dxa"/>
            <w:vAlign w:val="bottom"/>
          </w:tcPr>
          <w:p>
            <w:pPr>
              <w:jc w:val="right"/>
              <w:ind w:right="36"/>
              <w:spacing w:after="0"/>
              <w:rPr>
                <w:sz w:val="20"/>
                <w:szCs w:val="20"/>
                <w:color w:val="auto"/>
              </w:rPr>
            </w:pPr>
            <w:r>
              <w:rPr>
                <w:rFonts w:ascii="Arial" w:cs="Arial" w:eastAsia="Arial" w:hAnsi="Arial"/>
                <w:sz w:val="13"/>
                <w:szCs w:val="13"/>
                <w:color w:val="auto"/>
              </w:rPr>
              <w:t>1,705,000</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3,301,950</w:t>
            </w:r>
          </w:p>
        </w:tc>
      </w:tr>
      <w:tr>
        <w:trPr>
          <w:trHeight w:val="204"/>
        </w:trPr>
        <w:tc>
          <w:tcPr>
            <w:tcW w:w="4080" w:type="dxa"/>
            <w:vAlign w:val="bottom"/>
          </w:tcPr>
          <w:p>
            <w:pPr>
              <w:spacing w:after="0"/>
              <w:rPr>
                <w:sz w:val="20"/>
                <w:szCs w:val="20"/>
                <w:color w:val="auto"/>
              </w:rPr>
            </w:pPr>
            <w:r>
              <w:rPr>
                <w:rFonts w:ascii="Arial" w:cs="Arial" w:eastAsia="Arial" w:hAnsi="Arial"/>
                <w:sz w:val="13"/>
                <w:szCs w:val="13"/>
                <w:color w:val="auto"/>
              </w:rPr>
              <w:t>Repayments of borrowings under commercial paper program</w:t>
            </w:r>
          </w:p>
        </w:tc>
        <w:tc>
          <w:tcPr>
            <w:tcW w:w="6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(4,906,950)</w:t>
            </w:r>
          </w:p>
        </w:tc>
        <w:tc>
          <w:tcPr>
            <w:tcW w:w="2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(1,705,000)</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(3,201,950)</w:t>
            </w:r>
          </w:p>
        </w:tc>
      </w:tr>
      <w:tr>
        <w:trPr>
          <w:trHeight w:val="204"/>
        </w:trPr>
        <w:tc>
          <w:tcPr>
            <w:tcW w:w="4080" w:type="dxa"/>
            <w:vAlign w:val="bottom"/>
          </w:tcPr>
          <w:p>
            <w:pPr>
              <w:spacing w:after="0"/>
              <w:rPr>
                <w:sz w:val="20"/>
                <w:szCs w:val="20"/>
                <w:color w:val="auto"/>
              </w:rPr>
            </w:pPr>
            <w:r>
              <w:rPr>
                <w:rFonts w:ascii="Arial" w:cs="Arial" w:eastAsia="Arial" w:hAnsi="Arial"/>
                <w:sz w:val="13"/>
                <w:szCs w:val="13"/>
                <w:color w:val="auto"/>
              </w:rPr>
              <w:t>Payments of loan fees</w:t>
            </w:r>
          </w:p>
        </w:tc>
        <w:tc>
          <w:tcPr>
            <w:tcW w:w="6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(10,118)</w:t>
            </w:r>
          </w:p>
        </w:tc>
        <w:tc>
          <w:tcPr>
            <w:tcW w:w="2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(10,113)</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(5)</w:t>
            </w:r>
          </w:p>
        </w:tc>
      </w:tr>
      <w:tr>
        <w:trPr>
          <w:trHeight w:val="204"/>
        </w:trPr>
        <w:tc>
          <w:tcPr>
            <w:tcW w:w="4080" w:type="dxa"/>
            <w:vAlign w:val="bottom"/>
          </w:tcPr>
          <w:p>
            <w:pPr>
              <w:ind w:left="100"/>
              <w:spacing w:after="0"/>
              <w:rPr>
                <w:sz w:val="20"/>
                <w:szCs w:val="20"/>
                <w:color w:val="auto"/>
              </w:rPr>
            </w:pPr>
            <w:r>
              <w:rPr>
                <w:rFonts w:ascii="Arial" w:cs="Arial" w:eastAsia="Arial" w:hAnsi="Arial"/>
                <w:sz w:val="13"/>
                <w:szCs w:val="13"/>
                <w:color w:val="auto"/>
              </w:rPr>
              <w:t>Changes related to debt</w:t>
            </w:r>
          </w:p>
        </w:tc>
        <w:tc>
          <w:tcPr>
            <w:tcW w:w="600" w:type="dxa"/>
            <w:vAlign w:val="bottom"/>
          </w:tcPr>
          <w:p>
            <w:pPr>
              <w:spacing w:after="0"/>
              <w:rPr>
                <w:sz w:val="17"/>
                <w:szCs w:val="17"/>
                <w:color w:val="auto"/>
              </w:rPr>
            </w:pPr>
          </w:p>
        </w:tc>
        <w:tc>
          <w:tcPr>
            <w:tcW w:w="900" w:type="dxa"/>
            <w:vAlign w:val="bottom"/>
          </w:tcPr>
          <w:p>
            <w:pPr>
              <w:jc w:val="right"/>
              <w:ind w:right="36"/>
              <w:spacing w:after="0"/>
              <w:rPr>
                <w:sz w:val="20"/>
                <w:szCs w:val="20"/>
                <w:color w:val="auto"/>
              </w:rPr>
            </w:pPr>
            <w:r>
              <w:rPr>
                <w:rFonts w:ascii="Arial" w:cs="Arial" w:eastAsia="Arial" w:hAnsi="Arial"/>
                <w:sz w:val="13"/>
                <w:szCs w:val="13"/>
                <w:color w:val="auto"/>
              </w:rPr>
              <w:t>1,103,662</w:t>
            </w:r>
          </w:p>
        </w:tc>
        <w:tc>
          <w:tcPr>
            <w:tcW w:w="280" w:type="dxa"/>
            <w:vAlign w:val="bottom"/>
          </w:tcPr>
          <w:p>
            <w:pPr>
              <w:spacing w:after="0"/>
              <w:rPr>
                <w:sz w:val="17"/>
                <w:szCs w:val="17"/>
                <w:color w:val="auto"/>
              </w:rPr>
            </w:pPr>
          </w:p>
        </w:tc>
        <w:tc>
          <w:tcPr>
            <w:tcW w:w="860" w:type="dxa"/>
            <w:vAlign w:val="bottom"/>
          </w:tcPr>
          <w:p>
            <w:pPr>
              <w:jc w:val="right"/>
              <w:ind w:right="36"/>
              <w:spacing w:after="0"/>
              <w:rPr>
                <w:sz w:val="20"/>
                <w:szCs w:val="20"/>
                <w:color w:val="auto"/>
              </w:rPr>
            </w:pPr>
            <w:r>
              <w:rPr>
                <w:rFonts w:ascii="Arial" w:cs="Arial" w:eastAsia="Arial" w:hAnsi="Arial"/>
                <w:sz w:val="13"/>
                <w:szCs w:val="13"/>
                <w:color w:val="auto"/>
              </w:rPr>
              <w:t>1,018,642</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85,020</w:t>
            </w:r>
          </w:p>
        </w:tc>
      </w:tr>
    </w:tbl>
    <w:p>
      <w:pPr>
        <w:sectPr>
          <w:pgSz w:w="11900" w:h="16865" w:orient="portrait"/>
          <w:cols w:equalWidth="0" w:num="1">
            <w:col w:w="9019"/>
          </w:cols>
          <w:pgMar w:left="1440" w:top="179" w:right="1440" w:bottom="0" w:gutter="0" w:footer="0" w:header="0"/>
        </w:sectPr>
      </w:pPr>
    </w:p>
    <w:bookmarkStart w:id="59" w:name="page60"/>
    <w:bookmarkEnd w:id="59"/>
    <w:p>
      <w:pPr>
        <w:spacing w:after="0" w:line="1" w:lineRule="exact"/>
        <w:rPr>
          <w:sz w:val="20"/>
          <w:szCs w:val="20"/>
          <w:color w:val="auto"/>
        </w:rPr>
      </w:pPr>
    </w:p>
    <w:tbl>
      <w:tblPr>
        <w:tblLayout w:type="fixed"/>
        <w:tblInd w:w="110" w:type="dxa"/>
        <w:tblCellMar>
          <w:top w:w="0" w:type="dxa"/>
          <w:left w:w="0" w:type="dxa"/>
          <w:bottom w:w="0" w:type="dxa"/>
          <w:right w:w="0" w:type="dxa"/>
        </w:tblCellMar>
      </w:tblPr>
      <w:tr>
        <w:trPr>
          <w:trHeight w:val="204"/>
        </w:trPr>
        <w:tc>
          <w:tcPr>
            <w:tcW w:w="540" w:type="dxa"/>
            <w:vAlign w:val="bottom"/>
            <w:tcBorders>
              <w:left w:val="single" w:sz="8" w:color="CCCCCC"/>
            </w:tcBorders>
          </w:tcPr>
          <w:p>
            <w:pPr>
              <w:spacing w:after="0"/>
              <w:rPr>
                <w:sz w:val="17"/>
                <w:szCs w:val="17"/>
                <w:color w:val="auto"/>
              </w:rPr>
            </w:pPr>
          </w:p>
        </w:tc>
        <w:tc>
          <w:tcPr>
            <w:tcW w:w="3540" w:type="dxa"/>
            <w:vAlign w:val="bottom"/>
            <w:vMerge w:val="restart"/>
          </w:tcPr>
          <w:p>
            <w:pPr>
              <w:ind w:left="40"/>
              <w:spacing w:after="0"/>
              <w:rPr>
                <w:sz w:val="20"/>
                <w:szCs w:val="20"/>
                <w:color w:val="auto"/>
              </w:rPr>
            </w:pPr>
            <w:r>
              <w:rPr>
                <w:rFonts w:ascii="Arial" w:cs="Arial" w:eastAsia="Arial" w:hAnsi="Arial"/>
                <w:sz w:val="13"/>
                <w:szCs w:val="13"/>
                <w:color w:val="auto"/>
              </w:rPr>
              <w:t>Contributions from and sales of noncontrolling interests</w:t>
            </w:r>
          </w:p>
        </w:tc>
        <w:tc>
          <w:tcPr>
            <w:tcW w:w="9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(139,887)</w:t>
            </w:r>
          </w:p>
        </w:tc>
        <w:tc>
          <w:tcPr>
            <w:tcW w:w="540" w:type="dxa"/>
            <w:vAlign w:val="bottom"/>
            <w:tcBorders>
              <w:right w:val="single" w:sz="8" w:color="CCCCCC"/>
            </w:tcBorders>
          </w:tcPr>
          <w:p>
            <w:pPr>
              <w:spacing w:after="0"/>
              <w:rPr>
                <w:sz w:val="17"/>
                <w:szCs w:val="17"/>
                <w:color w:val="auto"/>
              </w:rPr>
            </w:pPr>
          </w:p>
        </w:tc>
        <w:tc>
          <w:tcPr>
            <w:tcW w:w="0" w:type="dxa"/>
            <w:vAlign w:val="bottom"/>
          </w:tcPr>
          <w:p>
            <w:pPr>
              <w:spacing w:after="0"/>
              <w:rPr>
                <w:sz w:val="1"/>
                <w:szCs w:val="1"/>
                <w:color w:val="auto"/>
              </w:rPr>
            </w:pPr>
          </w:p>
        </w:tc>
      </w:tr>
      <w:tr>
        <w:trPr>
          <w:trHeight w:val="159"/>
        </w:trPr>
        <w:tc>
          <w:tcPr>
            <w:tcW w:w="540" w:type="dxa"/>
            <w:vAlign w:val="bottom"/>
            <w:tcBorders>
              <w:left w:val="single" w:sz="8" w:color="CCCCCC"/>
            </w:tcBorders>
          </w:tcPr>
          <w:p>
            <w:pPr>
              <w:spacing w:after="0"/>
              <w:rPr>
                <w:sz w:val="13"/>
                <w:szCs w:val="13"/>
                <w:color w:val="auto"/>
              </w:rPr>
            </w:pPr>
          </w:p>
        </w:tc>
        <w:tc>
          <w:tcPr>
            <w:tcW w:w="3540" w:type="dxa"/>
            <w:vAlign w:val="bottom"/>
            <w:vMerge w:val="continue"/>
          </w:tcPr>
          <w:p>
            <w:pPr>
              <w:spacing w:after="0"/>
              <w:rPr>
                <w:sz w:val="13"/>
                <w:szCs w:val="13"/>
                <w:color w:val="auto"/>
              </w:rPr>
            </w:pPr>
          </w:p>
        </w:tc>
        <w:tc>
          <w:tcPr>
            <w:tcW w:w="9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159,644</w:t>
            </w: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299,531</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540" w:type="dxa"/>
            <w:vAlign w:val="bottom"/>
            <w:tcBorders>
              <w:right w:val="single" w:sz="8" w:color="CCCCCC"/>
            </w:tcBorders>
          </w:tcPr>
          <w:p>
            <w:pPr>
              <w:spacing w:after="0"/>
              <w:rPr>
                <w:sz w:val="13"/>
                <w:szCs w:val="13"/>
                <w:color w:val="auto"/>
              </w:rPr>
            </w:pPr>
          </w:p>
        </w:tc>
        <w:tc>
          <w:tcPr>
            <w:tcW w:w="0" w:type="dxa"/>
            <w:vAlign w:val="bottom"/>
          </w:tcPr>
          <w:p>
            <w:pPr>
              <w:spacing w:after="0"/>
              <w:rPr>
                <w:sz w:val="1"/>
                <w:szCs w:val="1"/>
                <w:color w:val="auto"/>
              </w:rPr>
            </w:pPr>
          </w:p>
        </w:tc>
      </w:tr>
      <w:tr>
        <w:trPr>
          <w:trHeight w:val="25"/>
        </w:trPr>
        <w:tc>
          <w:tcPr>
            <w:tcW w:w="540" w:type="dxa"/>
            <w:vAlign w:val="bottom"/>
            <w:tcBorders>
              <w:left w:val="single" w:sz="8" w:color="CCCCCC"/>
            </w:tcBorders>
          </w:tcPr>
          <w:p>
            <w:pPr>
              <w:spacing w:after="0"/>
              <w:rPr>
                <w:sz w:val="2"/>
                <w:szCs w:val="2"/>
                <w:color w:val="auto"/>
              </w:rPr>
            </w:pPr>
          </w:p>
        </w:tc>
        <w:tc>
          <w:tcPr>
            <w:tcW w:w="354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40" w:type="dxa"/>
            <w:vAlign w:val="bottom"/>
            <w:tcBorders>
              <w:right w:val="single" w:sz="8" w:color="CCCCCC"/>
            </w:tcBorders>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540" w:type="dxa"/>
            <w:vAlign w:val="bottom"/>
            <w:tcBorders>
              <w:left w:val="single" w:sz="8" w:color="CCCCCC"/>
            </w:tcBorders>
          </w:tcPr>
          <w:p>
            <w:pPr>
              <w:spacing w:after="0"/>
              <w:rPr>
                <w:sz w:val="14"/>
                <w:szCs w:val="14"/>
                <w:color w:val="auto"/>
              </w:rPr>
            </w:pPr>
          </w:p>
        </w:tc>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Distributions to and purchases of noncontrolling interests</w:t>
            </w:r>
          </w:p>
        </w:tc>
        <w:tc>
          <w:tcPr>
            <w:tcW w:w="96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(171,871)</w:t>
            </w:r>
          </w:p>
        </w:tc>
        <w:tc>
          <w:tcPr>
            <w:tcW w:w="6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(134,617)</w:t>
            </w:r>
          </w:p>
        </w:tc>
        <w:tc>
          <w:tcPr>
            <w:tcW w:w="6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(37,254)</w:t>
            </w:r>
          </w:p>
        </w:tc>
        <w:tc>
          <w:tcPr>
            <w:tcW w:w="540" w:type="dxa"/>
            <w:vAlign w:val="bottom"/>
            <w:tcBorders>
              <w:right w:val="single" w:sz="8" w:color="CCCCCC"/>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40" w:type="dxa"/>
            <w:vAlign w:val="bottom"/>
            <w:tcBorders>
              <w:left w:val="single" w:sz="8" w:color="CCCCCC"/>
            </w:tcBorders>
          </w:tcPr>
          <w:p>
            <w:pPr>
              <w:spacing w:after="0"/>
              <w:rPr>
                <w:sz w:val="14"/>
                <w:szCs w:val="14"/>
                <w:color w:val="auto"/>
              </w:rPr>
            </w:pPr>
          </w:p>
        </w:tc>
        <w:tc>
          <w:tcPr>
            <w:tcW w:w="3540" w:type="dxa"/>
            <w:vAlign w:val="bottom"/>
          </w:tcPr>
          <w:p>
            <w:pPr>
              <w:ind w:left="40"/>
              <w:spacing w:after="0"/>
              <w:rPr>
                <w:sz w:val="20"/>
                <w:szCs w:val="20"/>
                <w:color w:val="auto"/>
              </w:rPr>
            </w:pPr>
            <w:r>
              <w:rPr>
                <w:rFonts w:ascii="Arial" w:cs="Arial" w:eastAsia="Arial" w:hAnsi="Arial"/>
                <w:sz w:val="13"/>
                <w:szCs w:val="13"/>
                <w:color w:val="auto"/>
              </w:rPr>
              <w:t>Dividends on common stock</w:t>
            </w: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(443,958)</w:t>
            </w: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(418,477)</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(25,481)</w:t>
            </w:r>
          </w:p>
        </w:tc>
        <w:tc>
          <w:tcPr>
            <w:tcW w:w="540" w:type="dxa"/>
            <w:vAlign w:val="bottom"/>
            <w:tcBorders>
              <w:right w:val="single" w:sz="8" w:color="CCCCCC"/>
            </w:tcBorders>
          </w:tcPr>
          <w:p>
            <w:pPr>
              <w:spacing w:after="0"/>
              <w:rPr>
                <w:sz w:val="14"/>
                <w:szCs w:val="14"/>
                <w:color w:val="auto"/>
              </w:rPr>
            </w:pPr>
          </w:p>
        </w:tc>
        <w:tc>
          <w:tcPr>
            <w:tcW w:w="0" w:type="dxa"/>
            <w:vAlign w:val="bottom"/>
          </w:tcPr>
          <w:p>
            <w:pPr>
              <w:spacing w:after="0"/>
              <w:rPr>
                <w:sz w:val="1"/>
                <w:szCs w:val="1"/>
                <w:color w:val="auto"/>
              </w:rPr>
            </w:pPr>
          </w:p>
        </w:tc>
      </w:tr>
      <w:tr>
        <w:trPr>
          <w:trHeight w:val="35"/>
        </w:trPr>
        <w:tc>
          <w:tcPr>
            <w:tcW w:w="540" w:type="dxa"/>
            <w:vAlign w:val="bottom"/>
            <w:tcBorders>
              <w:left w:val="single" w:sz="8" w:color="CCCCCC"/>
            </w:tcBorders>
          </w:tcPr>
          <w:p>
            <w:pPr>
              <w:spacing w:after="0"/>
              <w:rPr>
                <w:sz w:val="3"/>
                <w:szCs w:val="3"/>
                <w:color w:val="auto"/>
              </w:rPr>
            </w:pPr>
          </w:p>
        </w:tc>
        <w:tc>
          <w:tcPr>
            <w:tcW w:w="3540" w:type="dxa"/>
            <w:vAlign w:val="bottom"/>
          </w:tcPr>
          <w:p>
            <w:pPr>
              <w:spacing w:after="0"/>
              <w:rPr>
                <w:sz w:val="3"/>
                <w:szCs w:val="3"/>
                <w:color w:val="auto"/>
              </w:rPr>
            </w:pPr>
          </w:p>
        </w:tc>
        <w:tc>
          <w:tcPr>
            <w:tcW w:w="960" w:type="dxa"/>
            <w:vAlign w:val="bottom"/>
          </w:tcPr>
          <w:p>
            <w:pPr>
              <w:spacing w:after="0"/>
              <w:rPr>
                <w:sz w:val="3"/>
                <w:szCs w:val="3"/>
                <w:color w:val="auto"/>
              </w:rPr>
            </w:pPr>
          </w:p>
        </w:tc>
        <w:tc>
          <w:tcPr>
            <w:tcW w:w="3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Borders>
              <w:right w:val="single" w:sz="8" w:color="CCCCC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4"/>
        </w:trPr>
        <w:tc>
          <w:tcPr>
            <w:tcW w:w="540" w:type="dxa"/>
            <w:vAlign w:val="bottom"/>
            <w:tcBorders>
              <w:left w:val="single" w:sz="8" w:color="CCCCCC"/>
            </w:tcBorders>
          </w:tcPr>
          <w:p>
            <w:pPr>
              <w:spacing w:after="0"/>
              <w:rPr>
                <w:sz w:val="16"/>
                <w:szCs w:val="16"/>
                <w:color w:val="auto"/>
              </w:rPr>
            </w:pPr>
          </w:p>
        </w:tc>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Taxes paid related to net settlement of equity awards</w:t>
            </w:r>
          </w:p>
        </w:tc>
        <w:tc>
          <w:tcPr>
            <w:tcW w:w="96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(27,017)</w:t>
            </w:r>
          </w:p>
        </w:tc>
        <w:tc>
          <w:tcPr>
            <w:tcW w:w="6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(12,521)</w:t>
            </w:r>
          </w:p>
        </w:tc>
        <w:tc>
          <w:tcPr>
            <w:tcW w:w="6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(14,496)</w:t>
            </w:r>
          </w:p>
        </w:tc>
        <w:tc>
          <w:tcPr>
            <w:tcW w:w="540" w:type="dxa"/>
            <w:vAlign w:val="bottom"/>
            <w:tcBorders>
              <w:right w:val="single" w:sz="8" w:color="CCCCCC"/>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40" w:type="dxa"/>
            <w:vAlign w:val="bottom"/>
            <w:tcBorders>
              <w:left w:val="single" w:sz="8" w:color="CCCCCC"/>
            </w:tcBorders>
          </w:tcPr>
          <w:p>
            <w:pPr>
              <w:spacing w:after="0"/>
              <w:rPr>
                <w:sz w:val="14"/>
                <w:szCs w:val="14"/>
                <w:color w:val="auto"/>
              </w:rPr>
            </w:pPr>
          </w:p>
        </w:tc>
        <w:tc>
          <w:tcPr>
            <w:tcW w:w="3540" w:type="dxa"/>
            <w:vAlign w:val="bottom"/>
          </w:tcPr>
          <w:p>
            <w:pPr>
              <w:ind w:left="160"/>
              <w:spacing w:after="0"/>
              <w:rPr>
                <w:sz w:val="20"/>
                <w:szCs w:val="20"/>
                <w:color w:val="auto"/>
              </w:rPr>
            </w:pPr>
            <w:r>
              <w:rPr>
                <w:rFonts w:ascii="Arial" w:cs="Arial" w:eastAsia="Arial" w:hAnsi="Arial"/>
                <w:sz w:val="13"/>
                <w:szCs w:val="13"/>
                <w:color w:val="auto"/>
              </w:rPr>
              <w:t>Net cash provided by financing activities</w:t>
            </w:r>
          </w:p>
        </w:tc>
        <w:tc>
          <w:tcPr>
            <w:tcW w:w="12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620,460</w:t>
            </w:r>
          </w:p>
        </w:tc>
        <w:tc>
          <w:tcPr>
            <w:tcW w:w="60" w:type="dxa"/>
            <w:vAlign w:val="bottom"/>
          </w:tcPr>
          <w:p>
            <w:pPr>
              <w:spacing w:after="0"/>
              <w:rPr>
                <w:sz w:val="14"/>
                <w:szCs w:val="14"/>
                <w:color w:val="auto"/>
              </w:rPr>
            </w:pPr>
          </w:p>
        </w:tc>
        <w:tc>
          <w:tcPr>
            <w:tcW w:w="320" w:type="dxa"/>
            <w:vAlign w:val="bottom"/>
          </w:tcPr>
          <w:p>
            <w:pPr>
              <w:jc w:val="right"/>
              <w:ind w:right="156"/>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752,558</w:t>
            </w:r>
          </w:p>
        </w:tc>
        <w:tc>
          <w:tcPr>
            <w:tcW w:w="60" w:type="dxa"/>
            <w:vAlign w:val="bottom"/>
          </w:tcPr>
          <w:p>
            <w:pPr>
              <w:spacing w:after="0"/>
              <w:rPr>
                <w:sz w:val="14"/>
                <w:szCs w:val="14"/>
                <w:color w:val="auto"/>
              </w:rPr>
            </w:pPr>
          </w:p>
        </w:tc>
        <w:tc>
          <w:tcPr>
            <w:tcW w:w="24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(132,098)</w:t>
            </w:r>
          </w:p>
        </w:tc>
        <w:tc>
          <w:tcPr>
            <w:tcW w:w="540" w:type="dxa"/>
            <w:vAlign w:val="bottom"/>
            <w:tcBorders>
              <w:right w:val="single" w:sz="8" w:color="CCCCCC"/>
            </w:tcBorders>
          </w:tcPr>
          <w:p>
            <w:pPr>
              <w:spacing w:after="0"/>
              <w:rPr>
                <w:sz w:val="14"/>
                <w:szCs w:val="14"/>
                <w:color w:val="auto"/>
              </w:rPr>
            </w:pPr>
          </w:p>
        </w:tc>
        <w:tc>
          <w:tcPr>
            <w:tcW w:w="0" w:type="dxa"/>
            <w:vAlign w:val="bottom"/>
          </w:tcPr>
          <w:p>
            <w:pPr>
              <w:spacing w:after="0"/>
              <w:rPr>
                <w:sz w:val="1"/>
                <w:szCs w:val="1"/>
                <w:color w:val="auto"/>
              </w:rPr>
            </w:pPr>
          </w:p>
        </w:tc>
      </w:tr>
      <w:tr>
        <w:trPr>
          <w:trHeight w:val="35"/>
        </w:trPr>
        <w:tc>
          <w:tcPr>
            <w:tcW w:w="540" w:type="dxa"/>
            <w:vAlign w:val="bottom"/>
            <w:tcBorders>
              <w:left w:val="single" w:sz="8" w:color="CCCCCC"/>
            </w:tcBorders>
          </w:tcPr>
          <w:p>
            <w:pPr>
              <w:spacing w:after="0"/>
              <w:rPr>
                <w:sz w:val="3"/>
                <w:szCs w:val="3"/>
                <w:color w:val="auto"/>
              </w:rPr>
            </w:pPr>
          </w:p>
        </w:tc>
        <w:tc>
          <w:tcPr>
            <w:tcW w:w="3540" w:type="dxa"/>
            <w:vAlign w:val="bottom"/>
          </w:tcPr>
          <w:p>
            <w:pPr>
              <w:spacing w:after="0"/>
              <w:rPr>
                <w:sz w:val="3"/>
                <w:szCs w:val="3"/>
                <w:color w:val="auto"/>
              </w:rPr>
            </w:pPr>
          </w:p>
        </w:tc>
        <w:tc>
          <w:tcPr>
            <w:tcW w:w="960" w:type="dxa"/>
            <w:vAlign w:val="bottom"/>
          </w:tcPr>
          <w:p>
            <w:pPr>
              <w:spacing w:after="0"/>
              <w:rPr>
                <w:sz w:val="3"/>
                <w:szCs w:val="3"/>
                <w:color w:val="auto"/>
              </w:rPr>
            </w:pPr>
          </w:p>
        </w:tc>
        <w:tc>
          <w:tcPr>
            <w:tcW w:w="3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Borders>
              <w:right w:val="single" w:sz="8" w:color="CCCCC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4"/>
        </w:trPr>
        <w:tc>
          <w:tcPr>
            <w:tcW w:w="540" w:type="dxa"/>
            <w:vAlign w:val="bottom"/>
            <w:tcBorders>
              <w:left w:val="single" w:sz="8" w:color="CCCCCC"/>
            </w:tcBorders>
          </w:tcPr>
          <w:p>
            <w:pPr>
              <w:spacing w:after="0"/>
              <w:rPr>
                <w:sz w:val="17"/>
                <w:szCs w:val="17"/>
                <w:color w:val="auto"/>
              </w:rPr>
            </w:pPr>
          </w:p>
        </w:tc>
        <w:tc>
          <w:tcPr>
            <w:tcW w:w="35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40" w:type="dxa"/>
            <w:vAlign w:val="bottom"/>
            <w:tcBorders>
              <w:right w:val="single" w:sz="8" w:color="CCCCCC"/>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40" w:type="dxa"/>
            <w:vAlign w:val="bottom"/>
            <w:tcBorders>
              <w:left w:val="single" w:sz="8" w:color="CCCCCC"/>
            </w:tcBorders>
          </w:tcPr>
          <w:p>
            <w:pPr>
              <w:spacing w:after="0"/>
              <w:rPr>
                <w:sz w:val="17"/>
                <w:szCs w:val="17"/>
                <w:color w:val="auto"/>
              </w:rPr>
            </w:pPr>
          </w:p>
        </w:tc>
        <w:tc>
          <w:tcPr>
            <w:tcW w:w="35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Borders>
              <w:right w:val="single" w:sz="8" w:color="CCCCCC"/>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40" w:type="dxa"/>
            <w:vAlign w:val="bottom"/>
            <w:tcBorders>
              <w:left w:val="single" w:sz="8" w:color="CCCCCC"/>
            </w:tcBorders>
          </w:tcPr>
          <w:p>
            <w:pPr>
              <w:spacing w:after="0"/>
              <w:rPr>
                <w:sz w:val="17"/>
                <w:szCs w:val="17"/>
                <w:color w:val="auto"/>
              </w:rPr>
            </w:pPr>
          </w:p>
        </w:tc>
        <w:tc>
          <w:tcPr>
            <w:tcW w:w="35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right w:val="single" w:sz="8" w:color="CCCCCC"/>
            </w:tcBorders>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540" w:type="dxa"/>
            <w:vAlign w:val="bottom"/>
            <w:tcBorders>
              <w:left w:val="single" w:sz="8" w:color="CCCCCC"/>
            </w:tcBorders>
          </w:tcPr>
          <w:p>
            <w:pPr>
              <w:spacing w:after="0"/>
              <w:rPr>
                <w:sz w:val="16"/>
                <w:szCs w:val="16"/>
                <w:color w:val="auto"/>
              </w:rPr>
            </w:pPr>
          </w:p>
        </w:tc>
        <w:tc>
          <w:tcPr>
            <w:tcW w:w="35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Borders>
              <w:right w:val="single" w:sz="8" w:color="CCCCCC"/>
            </w:tcBorders>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540" w:type="dxa"/>
            <w:vAlign w:val="bottom"/>
            <w:tcBorders>
              <w:left w:val="single" w:sz="8" w:color="CCCCCC"/>
            </w:tcBorders>
          </w:tcPr>
          <w:p>
            <w:pPr>
              <w:spacing w:after="0"/>
              <w:rPr>
                <w:sz w:val="17"/>
                <w:szCs w:val="17"/>
                <w:color w:val="auto"/>
              </w:rPr>
            </w:pPr>
          </w:p>
        </w:tc>
        <w:tc>
          <w:tcPr>
            <w:tcW w:w="35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40" w:type="dxa"/>
            <w:vAlign w:val="bottom"/>
            <w:tcBorders>
              <w:right w:val="single" w:sz="8" w:color="CCCCCC"/>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40" w:type="dxa"/>
            <w:vAlign w:val="bottom"/>
            <w:tcBorders>
              <w:left w:val="single" w:sz="8" w:color="CCCCCC"/>
            </w:tcBorders>
          </w:tcPr>
          <w:p>
            <w:pPr>
              <w:spacing w:after="0"/>
              <w:rPr>
                <w:sz w:val="17"/>
                <w:szCs w:val="17"/>
                <w:color w:val="auto"/>
              </w:rPr>
            </w:pPr>
          </w:p>
        </w:tc>
        <w:tc>
          <w:tcPr>
            <w:tcW w:w="35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Borders>
              <w:right w:val="single" w:sz="8" w:color="CCCCCC"/>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40" w:type="dxa"/>
            <w:vAlign w:val="bottom"/>
            <w:tcBorders>
              <w:left w:val="single" w:sz="8" w:color="CCCCCC"/>
            </w:tcBorders>
          </w:tcPr>
          <w:p>
            <w:pPr>
              <w:spacing w:after="0"/>
              <w:rPr>
                <w:sz w:val="17"/>
                <w:szCs w:val="17"/>
                <w:color w:val="auto"/>
              </w:rPr>
            </w:pPr>
          </w:p>
        </w:tc>
        <w:tc>
          <w:tcPr>
            <w:tcW w:w="35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40" w:type="dxa"/>
            <w:vAlign w:val="bottom"/>
            <w:tcBorders>
              <w:right w:val="single" w:sz="8" w:color="CCCCCC"/>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40" w:type="dxa"/>
            <w:vAlign w:val="bottom"/>
            <w:tcBorders>
              <w:left w:val="single" w:sz="8" w:color="CCCCCC"/>
            </w:tcBorders>
          </w:tcPr>
          <w:p>
            <w:pPr>
              <w:spacing w:after="0"/>
              <w:rPr>
                <w:sz w:val="17"/>
                <w:szCs w:val="17"/>
                <w:color w:val="auto"/>
              </w:rPr>
            </w:pPr>
          </w:p>
        </w:tc>
        <w:tc>
          <w:tcPr>
            <w:tcW w:w="3540" w:type="dxa"/>
            <w:vAlign w:val="bottom"/>
          </w:tcPr>
          <w:p>
            <w:pPr>
              <w:spacing w:after="0"/>
              <w:rPr>
                <w:sz w:val="17"/>
                <w:szCs w:val="17"/>
                <w:color w:val="auto"/>
              </w:rPr>
            </w:pPr>
          </w:p>
        </w:tc>
        <w:tc>
          <w:tcPr>
            <w:tcW w:w="960" w:type="dxa"/>
            <w:vAlign w:val="bottom"/>
          </w:tcPr>
          <w:p>
            <w:pPr>
              <w:jc w:val="right"/>
              <w:ind w:right="496"/>
              <w:spacing w:after="0"/>
              <w:rPr>
                <w:sz w:val="20"/>
                <w:szCs w:val="20"/>
                <w:color w:val="auto"/>
              </w:rPr>
            </w:pPr>
            <w:r>
              <w:rPr>
                <w:rFonts w:ascii="Arial" w:cs="Arial" w:eastAsia="Arial" w:hAnsi="Arial"/>
                <w:sz w:val="13"/>
                <w:szCs w:val="13"/>
                <w:color w:val="auto"/>
              </w:rPr>
              <w:t>87</w:t>
            </w: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Borders>
              <w:right w:val="single" w:sz="8" w:color="CCCCCC"/>
            </w:tcBorders>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540" w:type="dxa"/>
            <w:vAlign w:val="bottom"/>
            <w:tcBorders>
              <w:left w:val="single" w:sz="8" w:color="CCCCCC"/>
              <w:bottom w:val="single" w:sz="8" w:color="CCCCCC"/>
            </w:tcBorders>
          </w:tcPr>
          <w:p>
            <w:pPr>
              <w:spacing w:after="0"/>
              <w:rPr>
                <w:sz w:val="14"/>
                <w:szCs w:val="14"/>
                <w:color w:val="auto"/>
              </w:rPr>
            </w:pPr>
          </w:p>
        </w:tc>
        <w:tc>
          <w:tcPr>
            <w:tcW w:w="3540" w:type="dxa"/>
            <w:vAlign w:val="bottom"/>
            <w:tcBorders>
              <w:bottom w:val="single" w:sz="8" w:color="CCCCCC"/>
            </w:tcBorders>
            <w:shd w:val="clear" w:color="auto" w:fill="CCEEFF"/>
          </w:tcPr>
          <w:p>
            <w:pPr>
              <w:spacing w:after="0"/>
              <w:rPr>
                <w:sz w:val="14"/>
                <w:szCs w:val="14"/>
                <w:color w:val="auto"/>
              </w:rPr>
            </w:pPr>
          </w:p>
        </w:tc>
        <w:tc>
          <w:tcPr>
            <w:tcW w:w="960" w:type="dxa"/>
            <w:vAlign w:val="bottom"/>
            <w:tcBorders>
              <w:bottom w:val="single" w:sz="8" w:color="CCCCCC"/>
            </w:tcBorders>
            <w:shd w:val="clear" w:color="auto" w:fill="CCEEFF"/>
          </w:tcPr>
          <w:p>
            <w:pPr>
              <w:spacing w:after="0"/>
              <w:rPr>
                <w:sz w:val="14"/>
                <w:szCs w:val="14"/>
                <w:color w:val="auto"/>
              </w:rPr>
            </w:pPr>
          </w:p>
        </w:tc>
        <w:tc>
          <w:tcPr>
            <w:tcW w:w="320" w:type="dxa"/>
            <w:vAlign w:val="bottom"/>
            <w:tcBorders>
              <w:bottom w:val="single" w:sz="8" w:color="CCCCCC"/>
            </w:tcBorders>
            <w:shd w:val="clear" w:color="auto" w:fill="CCEEFF"/>
          </w:tcPr>
          <w:p>
            <w:pPr>
              <w:spacing w:after="0"/>
              <w:rPr>
                <w:sz w:val="14"/>
                <w:szCs w:val="14"/>
                <w:color w:val="auto"/>
              </w:rPr>
            </w:pPr>
          </w:p>
        </w:tc>
        <w:tc>
          <w:tcPr>
            <w:tcW w:w="760" w:type="dxa"/>
            <w:vAlign w:val="bottom"/>
            <w:tcBorders>
              <w:bottom w:val="single" w:sz="8" w:color="CCCCCC"/>
            </w:tcBorders>
            <w:shd w:val="clear" w:color="auto" w:fill="CCEEFF"/>
          </w:tcPr>
          <w:p>
            <w:pPr>
              <w:spacing w:after="0"/>
              <w:rPr>
                <w:sz w:val="14"/>
                <w:szCs w:val="14"/>
                <w:color w:val="auto"/>
              </w:rPr>
            </w:pPr>
          </w:p>
        </w:tc>
        <w:tc>
          <w:tcPr>
            <w:tcW w:w="60" w:type="dxa"/>
            <w:vAlign w:val="bottom"/>
            <w:tcBorders>
              <w:bottom w:val="single" w:sz="8" w:color="CCCCCC"/>
            </w:tcBorders>
            <w:shd w:val="clear" w:color="auto" w:fill="CCEEFF"/>
          </w:tcPr>
          <w:p>
            <w:pPr>
              <w:spacing w:after="0"/>
              <w:rPr>
                <w:sz w:val="14"/>
                <w:szCs w:val="14"/>
                <w:color w:val="auto"/>
              </w:rPr>
            </w:pPr>
          </w:p>
        </w:tc>
        <w:tc>
          <w:tcPr>
            <w:tcW w:w="320" w:type="dxa"/>
            <w:vAlign w:val="bottom"/>
            <w:tcBorders>
              <w:bottom w:val="single" w:sz="8" w:color="CCCCCC"/>
            </w:tcBorders>
            <w:shd w:val="clear" w:color="auto" w:fill="CCEEFF"/>
          </w:tcPr>
          <w:p>
            <w:pPr>
              <w:spacing w:after="0"/>
              <w:rPr>
                <w:sz w:val="14"/>
                <w:szCs w:val="14"/>
                <w:color w:val="auto"/>
              </w:rPr>
            </w:pPr>
          </w:p>
        </w:tc>
        <w:tc>
          <w:tcPr>
            <w:tcW w:w="760" w:type="dxa"/>
            <w:vAlign w:val="bottom"/>
            <w:tcBorders>
              <w:bottom w:val="single" w:sz="8" w:color="CCCCCC"/>
            </w:tcBorders>
            <w:shd w:val="clear" w:color="auto" w:fill="CCEEFF"/>
          </w:tcPr>
          <w:p>
            <w:pPr>
              <w:spacing w:after="0"/>
              <w:rPr>
                <w:sz w:val="14"/>
                <w:szCs w:val="14"/>
                <w:color w:val="auto"/>
              </w:rPr>
            </w:pPr>
          </w:p>
        </w:tc>
        <w:tc>
          <w:tcPr>
            <w:tcW w:w="60" w:type="dxa"/>
            <w:vAlign w:val="bottom"/>
            <w:tcBorders>
              <w:bottom w:val="single" w:sz="8" w:color="CCCCCC"/>
            </w:tcBorders>
            <w:shd w:val="clear" w:color="auto" w:fill="CCEEFF"/>
          </w:tcPr>
          <w:p>
            <w:pPr>
              <w:spacing w:after="0"/>
              <w:rPr>
                <w:sz w:val="14"/>
                <w:szCs w:val="14"/>
                <w:color w:val="auto"/>
              </w:rPr>
            </w:pPr>
          </w:p>
        </w:tc>
        <w:tc>
          <w:tcPr>
            <w:tcW w:w="240" w:type="dxa"/>
            <w:vAlign w:val="bottom"/>
            <w:tcBorders>
              <w:bottom w:val="single" w:sz="8" w:color="CCCCCC"/>
            </w:tcBorders>
            <w:shd w:val="clear" w:color="auto" w:fill="CCEEFF"/>
          </w:tcPr>
          <w:p>
            <w:pPr>
              <w:spacing w:after="0"/>
              <w:rPr>
                <w:sz w:val="14"/>
                <w:szCs w:val="14"/>
                <w:color w:val="auto"/>
              </w:rPr>
            </w:pPr>
          </w:p>
        </w:tc>
        <w:tc>
          <w:tcPr>
            <w:tcW w:w="700" w:type="dxa"/>
            <w:vAlign w:val="bottom"/>
            <w:tcBorders>
              <w:bottom w:val="single" w:sz="8" w:color="CCCCCC"/>
            </w:tcBorders>
            <w:shd w:val="clear" w:color="auto" w:fill="CCEEFF"/>
          </w:tcPr>
          <w:p>
            <w:pPr>
              <w:spacing w:after="0"/>
              <w:rPr>
                <w:sz w:val="14"/>
                <w:szCs w:val="14"/>
                <w:color w:val="auto"/>
              </w:rPr>
            </w:pPr>
          </w:p>
        </w:tc>
        <w:tc>
          <w:tcPr>
            <w:tcW w:w="540" w:type="dxa"/>
            <w:vAlign w:val="bottom"/>
            <w:tcBorders>
              <w:bottom w:val="single" w:sz="8" w:color="CCCCCC"/>
              <w:right w:val="single" w:sz="8" w:color="CCCCCC"/>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-1543685</wp:posOffset>
            </wp:positionV>
            <wp:extent cx="4902835" cy="1295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4902835" cy="129540"/>
                    </a:xfrm>
                    <a:prstGeom prst="rect">
                      <a:avLst/>
                    </a:prstGeom>
                    <a:noFill/>
                  </pic:spPr>
                </pic:pic>
              </a:graphicData>
            </a:graphic>
          </wp:anchor>
        </w:drawing>
        <w:drawing>
          <wp:anchor simplePos="0" relativeHeight="251657728" behindDoc="1" locked="0" layoutInCell="0" allowOverlap="1">
            <wp:simplePos x="0" y="0"/>
            <wp:positionH relativeFrom="column">
              <wp:posOffset>405130</wp:posOffset>
            </wp:positionH>
            <wp:positionV relativeFrom="paragraph">
              <wp:posOffset>-1284605</wp:posOffset>
            </wp:positionV>
            <wp:extent cx="4902835" cy="1295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4902835" cy="129540"/>
                    </a:xfrm>
                    <a:prstGeom prst="rect">
                      <a:avLst/>
                    </a:prstGeom>
                    <a:noFill/>
                  </pic:spPr>
                </pic:pic>
              </a:graphicData>
            </a:graphic>
          </wp:anchor>
        </w:drawing>
        <w:drawing>
          <wp:anchor simplePos="0" relativeHeight="251657728" behindDoc="1" locked="0" layoutInCell="0" allowOverlap="1">
            <wp:simplePos x="0" y="0"/>
            <wp:positionH relativeFrom="column">
              <wp:posOffset>405130</wp:posOffset>
            </wp:positionH>
            <wp:positionV relativeFrom="paragraph">
              <wp:posOffset>-1025525</wp:posOffset>
            </wp:positionV>
            <wp:extent cx="4902835" cy="1295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4902835" cy="129540"/>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-765810</wp:posOffset>
            </wp:positionV>
            <wp:extent cx="5584190" cy="804989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584190" cy="8049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Capital resources</w:t>
      </w:r>
    </w:p>
    <w:p>
      <w:pPr>
        <w:spacing w:after="0" w:line="162" w:lineRule="exact"/>
        <w:rPr>
          <w:sz w:val="20"/>
          <w:szCs w:val="20"/>
          <w:color w:val="auto"/>
        </w:rPr>
      </w:pPr>
    </w:p>
    <w:p>
      <w:pPr>
        <w:jc w:val="both"/>
        <w:ind w:left="640" w:right="819" w:firstLine="516"/>
        <w:spacing w:after="0" w:line="265" w:lineRule="auto"/>
        <w:rPr>
          <w:sz w:val="20"/>
          <w:szCs w:val="20"/>
          <w:color w:val="auto"/>
        </w:rPr>
      </w:pPr>
      <w:r>
        <w:rPr>
          <w:rFonts w:ascii="Arial" w:cs="Arial" w:eastAsia="Arial" w:hAnsi="Arial"/>
          <w:sz w:val="13"/>
          <w:szCs w:val="13"/>
          <w:color w:val="auto"/>
        </w:rPr>
        <w:t>We expect that our principal liquidity needs for the year ending December 31, 2024 will be satisfied by the following multiple sources of capital, as shown in the table below. There can be no assurance that our sources and uses of capital will not be materially higher or lower than these expectations.</w:t>
      </w:r>
    </w:p>
    <w:p>
      <w:pPr>
        <w:spacing w:after="0" w:line="161"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4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20" w:type="dxa"/>
            <w:vAlign w:val="bottom"/>
            <w:gridSpan w:val="4"/>
            <w:vMerge w:val="restart"/>
          </w:tcPr>
          <w:p>
            <w:pPr>
              <w:ind w:left="20"/>
              <w:spacing w:after="0"/>
              <w:rPr>
                <w:sz w:val="20"/>
                <w:szCs w:val="20"/>
                <w:color w:val="auto"/>
              </w:rPr>
            </w:pPr>
            <w:r>
              <w:rPr>
                <w:rFonts w:ascii="Arial" w:cs="Arial" w:eastAsia="Arial" w:hAnsi="Arial"/>
                <w:sz w:val="13"/>
                <w:szCs w:val="13"/>
                <w:color w:val="auto"/>
                <w:w w:val="99"/>
              </w:rPr>
              <w:t>2024 Guidance</w:t>
            </w: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center"/>
              <w:ind w:right="39"/>
              <w:spacing w:after="0"/>
              <w:rPr>
                <w:sz w:val="20"/>
                <w:szCs w:val="20"/>
                <w:color w:val="auto"/>
              </w:rPr>
            </w:pPr>
            <w:r>
              <w:rPr>
                <w:rFonts w:ascii="Arial" w:cs="Arial" w:eastAsia="Arial" w:hAnsi="Arial"/>
                <w:sz w:val="13"/>
                <w:szCs w:val="13"/>
                <w:color w:val="auto"/>
              </w:rPr>
              <w:t>Certain</w:t>
            </w:r>
          </w:p>
        </w:tc>
        <w:tc>
          <w:tcPr>
            <w:tcW w:w="0" w:type="dxa"/>
            <w:vAlign w:val="bottom"/>
          </w:tcPr>
          <w:p>
            <w:pPr>
              <w:spacing w:after="0"/>
              <w:rPr>
                <w:sz w:val="1"/>
                <w:szCs w:val="1"/>
                <w:color w:val="auto"/>
              </w:rPr>
            </w:pPr>
          </w:p>
        </w:tc>
      </w:tr>
      <w:tr>
        <w:trPr>
          <w:trHeight w:val="86"/>
        </w:trPr>
        <w:tc>
          <w:tcPr>
            <w:tcW w:w="4200" w:type="dxa"/>
            <w:vAlign w:val="bottom"/>
            <w:gridSpan w:val="2"/>
            <w:vMerge w:val="restart"/>
          </w:tcPr>
          <w:p>
            <w:pPr>
              <w:ind w:left="40"/>
              <w:spacing w:after="0" w:line="129" w:lineRule="exact"/>
              <w:rPr>
                <w:sz w:val="20"/>
                <w:szCs w:val="20"/>
                <w:color w:val="auto"/>
              </w:rPr>
            </w:pPr>
            <w:r>
              <w:rPr>
                <w:rFonts w:ascii="Arial" w:cs="Arial" w:eastAsia="Arial" w:hAnsi="Arial"/>
                <w:sz w:val="13"/>
                <w:szCs w:val="13"/>
                <w:b w:val="1"/>
                <w:bCs w:val="1"/>
                <w:color w:val="auto"/>
              </w:rPr>
              <w:t>Key Sources and Uses of Capital</w:t>
            </w:r>
          </w:p>
        </w:tc>
        <w:tc>
          <w:tcPr>
            <w:tcW w:w="28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gridSpan w:val="4"/>
            <w:vMerge w:val="continue"/>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vMerge w:val="restart"/>
          </w:tcPr>
          <w:p>
            <w:pPr>
              <w:jc w:val="center"/>
              <w:ind w:right="39"/>
              <w:spacing w:after="0" w:line="129" w:lineRule="exact"/>
              <w:rPr>
                <w:sz w:val="20"/>
                <w:szCs w:val="20"/>
                <w:color w:val="auto"/>
              </w:rPr>
            </w:pPr>
            <w:r>
              <w:rPr>
                <w:rFonts w:ascii="Arial" w:cs="Arial" w:eastAsia="Arial" w:hAnsi="Arial"/>
                <w:sz w:val="13"/>
                <w:szCs w:val="13"/>
                <w:color w:val="auto"/>
                <w:w w:val="98"/>
              </w:rPr>
              <w:t>Completed</w:t>
            </w:r>
          </w:p>
        </w:tc>
        <w:tc>
          <w:tcPr>
            <w:tcW w:w="0" w:type="dxa"/>
            <w:vAlign w:val="bottom"/>
          </w:tcPr>
          <w:p>
            <w:pPr>
              <w:spacing w:after="0"/>
              <w:rPr>
                <w:sz w:val="1"/>
                <w:szCs w:val="1"/>
                <w:color w:val="auto"/>
              </w:rPr>
            </w:pPr>
          </w:p>
        </w:tc>
      </w:tr>
      <w:tr>
        <w:trPr>
          <w:trHeight w:val="23"/>
        </w:trPr>
        <w:tc>
          <w:tcPr>
            <w:tcW w:w="4200" w:type="dxa"/>
            <w:vAlign w:val="bottom"/>
            <w:gridSpan w:val="2"/>
            <w:vMerge w:val="continue"/>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gridSpan w:val="3"/>
            <w:vMerge w:val="restart"/>
          </w:tcPr>
          <w:p>
            <w:pPr>
              <w:jc w:val="right"/>
              <w:ind w:right="120"/>
              <w:spacing w:after="0"/>
              <w:rPr>
                <w:sz w:val="20"/>
                <w:szCs w:val="20"/>
                <w:color w:val="auto"/>
              </w:rPr>
            </w:pPr>
            <w:r>
              <w:rPr>
                <w:rFonts w:ascii="Arial" w:cs="Arial" w:eastAsia="Arial" w:hAnsi="Arial"/>
                <w:sz w:val="13"/>
                <w:szCs w:val="13"/>
                <w:color w:val="auto"/>
              </w:rPr>
              <w:t>Range</w:t>
            </w: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vMerge w:val="restart"/>
          </w:tcPr>
          <w:p>
            <w:pPr>
              <w:jc w:val="right"/>
              <w:ind w:right="96"/>
              <w:spacing w:after="0"/>
              <w:rPr>
                <w:sz w:val="20"/>
                <w:szCs w:val="20"/>
                <w:color w:val="auto"/>
              </w:rPr>
            </w:pPr>
            <w:r>
              <w:rPr>
                <w:rFonts w:ascii="Arial" w:cs="Arial" w:eastAsia="Arial" w:hAnsi="Arial"/>
                <w:sz w:val="13"/>
                <w:szCs w:val="13"/>
                <w:color w:val="auto"/>
              </w:rPr>
              <w:t>Midpoint</w:t>
            </w: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4140" w:type="dxa"/>
            <w:vAlign w:val="bottom"/>
            <w:tcBorders>
              <w:bottom w:val="single" w:sz="8" w:color="auto"/>
            </w:tcBorders>
          </w:tcPr>
          <w:p>
            <w:pPr>
              <w:ind w:left="40"/>
              <w:spacing w:after="0"/>
              <w:rPr>
                <w:sz w:val="20"/>
                <w:szCs w:val="20"/>
                <w:color w:val="auto"/>
              </w:rPr>
            </w:pPr>
            <w:r>
              <w:rPr>
                <w:rFonts w:ascii="Arial" w:cs="Arial" w:eastAsia="Arial" w:hAnsi="Arial"/>
                <w:sz w:val="13"/>
                <w:szCs w:val="13"/>
                <w:i w:val="1"/>
                <w:iCs w:val="1"/>
                <w:color w:val="auto"/>
              </w:rPr>
              <w:t>(In millions)</w:t>
            </w:r>
          </w:p>
        </w:tc>
        <w:tc>
          <w:tcPr>
            <w:tcW w:w="6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3"/>
            <w:vMerge w:val="continue"/>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vMerge w:val="continue"/>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ind w:right="59"/>
              <w:spacing w:after="0"/>
              <w:rPr>
                <w:sz w:val="20"/>
                <w:szCs w:val="20"/>
                <w:color w:val="auto"/>
              </w:rPr>
            </w:pPr>
            <w:r>
              <w:rPr>
                <w:rFonts w:ascii="Arial" w:cs="Arial" w:eastAsia="Arial" w:hAnsi="Arial"/>
                <w:sz w:val="13"/>
                <w:szCs w:val="13"/>
                <w:color w:val="auto"/>
              </w:rPr>
              <w:t>Items</w:t>
            </w:r>
          </w:p>
        </w:tc>
        <w:tc>
          <w:tcPr>
            <w:tcW w:w="0" w:type="dxa"/>
            <w:vAlign w:val="bottom"/>
          </w:tcPr>
          <w:p>
            <w:pPr>
              <w:spacing w:after="0"/>
              <w:rPr>
                <w:sz w:val="1"/>
                <w:szCs w:val="1"/>
                <w:color w:val="auto"/>
              </w:rPr>
            </w:pPr>
          </w:p>
        </w:tc>
      </w:tr>
      <w:tr>
        <w:trPr>
          <w:trHeight w:val="184"/>
        </w:trPr>
        <w:tc>
          <w:tcPr>
            <w:tcW w:w="4200" w:type="dxa"/>
            <w:vAlign w:val="bottom"/>
            <w:gridSpan w:val="2"/>
            <w:shd w:val="clear" w:color="auto" w:fill="CCEEFF"/>
          </w:tcPr>
          <w:p>
            <w:pPr>
              <w:ind w:left="40"/>
              <w:spacing w:after="0"/>
              <w:rPr>
                <w:sz w:val="20"/>
                <w:szCs w:val="20"/>
                <w:color w:val="auto"/>
              </w:rPr>
            </w:pPr>
            <w:r>
              <w:rPr>
                <w:rFonts w:ascii="Arial" w:cs="Arial" w:eastAsia="Arial" w:hAnsi="Arial"/>
                <w:sz w:val="13"/>
                <w:szCs w:val="13"/>
                <w:i w:val="1"/>
                <w:iCs w:val="1"/>
                <w:color w:val="auto"/>
              </w:rPr>
              <w:t>Sources of capital:</w:t>
            </w:r>
          </w:p>
        </w:tc>
        <w:tc>
          <w:tcPr>
            <w:tcW w:w="2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200" w:type="dxa"/>
            <w:vAlign w:val="bottom"/>
            <w:gridSpan w:val="2"/>
          </w:tcPr>
          <w:p>
            <w:pPr>
              <w:ind w:left="140"/>
              <w:spacing w:after="0"/>
              <w:rPr>
                <w:sz w:val="20"/>
                <w:szCs w:val="20"/>
                <w:color w:val="auto"/>
              </w:rPr>
            </w:pPr>
            <w:r>
              <w:rPr>
                <w:rFonts w:ascii="Arial" w:cs="Arial" w:eastAsia="Arial" w:hAnsi="Arial"/>
                <w:sz w:val="13"/>
                <w:szCs w:val="13"/>
                <w:color w:val="auto"/>
              </w:rPr>
              <w:t>Incremental debt</w:t>
            </w:r>
          </w:p>
        </w:tc>
        <w:tc>
          <w:tcPr>
            <w:tcW w:w="280" w:type="dxa"/>
            <w:vAlign w:val="bottom"/>
          </w:tcPr>
          <w:p>
            <w:pPr>
              <w:jc w:val="right"/>
              <w:ind w:right="116"/>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885</w:t>
            </w:r>
          </w:p>
        </w:tc>
        <w:tc>
          <w:tcPr>
            <w:tcW w:w="3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885</w:t>
            </w:r>
          </w:p>
        </w:tc>
        <w:tc>
          <w:tcPr>
            <w:tcW w:w="6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885</w:t>
            </w:r>
          </w:p>
        </w:tc>
        <w:tc>
          <w:tcPr>
            <w:tcW w:w="40" w:type="dxa"/>
            <w:vAlign w:val="bottom"/>
          </w:tcPr>
          <w:p>
            <w:pPr>
              <w:spacing w:after="0"/>
              <w:rPr>
                <w:sz w:val="17"/>
                <w:szCs w:val="17"/>
                <w:color w:val="auto"/>
              </w:rPr>
            </w:pPr>
          </w:p>
        </w:tc>
        <w:tc>
          <w:tcPr>
            <w:tcW w:w="880" w:type="dxa"/>
            <w:vAlign w:val="bottom"/>
            <w:gridSpan w:val="2"/>
          </w:tcPr>
          <w:p>
            <w:pPr>
              <w:jc w:val="right"/>
              <w:ind w:right="159"/>
              <w:spacing w:after="0"/>
              <w:rPr>
                <w:sz w:val="20"/>
                <w:szCs w:val="20"/>
                <w:color w:val="auto"/>
              </w:rPr>
            </w:pPr>
            <w:r>
              <w:rPr>
                <w:rFonts w:ascii="Arial" w:cs="Arial" w:eastAsia="Arial" w:hAnsi="Arial"/>
                <w:sz w:val="13"/>
                <w:szCs w:val="13"/>
                <w:color w:val="auto"/>
              </w:rPr>
              <w:t>See below</w:t>
            </w:r>
          </w:p>
        </w:tc>
        <w:tc>
          <w:tcPr>
            <w:tcW w:w="0" w:type="dxa"/>
            <w:vAlign w:val="bottom"/>
          </w:tcPr>
          <w:p>
            <w:pPr>
              <w:spacing w:after="0"/>
              <w:rPr>
                <w:sz w:val="1"/>
                <w:szCs w:val="1"/>
                <w:color w:val="auto"/>
              </w:rPr>
            </w:pPr>
          </w:p>
        </w:tc>
      </w:tr>
      <w:tr>
        <w:trPr>
          <w:trHeight w:val="204"/>
        </w:trPr>
        <w:tc>
          <w:tcPr>
            <w:tcW w:w="42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Net cash provided by operating activities after dividends</w:t>
            </w:r>
          </w:p>
        </w:tc>
        <w:tc>
          <w:tcPr>
            <w:tcW w:w="2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400</w:t>
            </w: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450</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200" w:type="dxa"/>
            <w:vAlign w:val="bottom"/>
            <w:tcBorders>
              <w:bottom w:val="single" w:sz="8" w:color="CCEEFF"/>
            </w:tcBorders>
            <w:gridSpan w:val="2"/>
          </w:tcPr>
          <w:p>
            <w:pPr>
              <w:ind w:left="140"/>
              <w:spacing w:after="0"/>
              <w:rPr>
                <w:sz w:val="20"/>
                <w:szCs w:val="20"/>
                <w:color w:val="auto"/>
              </w:rPr>
            </w:pPr>
            <w:r>
              <w:rPr>
                <w:rFonts w:ascii="Arial" w:cs="Arial" w:eastAsia="Arial" w:hAnsi="Arial"/>
                <w:sz w:val="13"/>
                <w:szCs w:val="13"/>
                <w:color w:val="auto"/>
              </w:rPr>
              <w:t>Dispositions, sales of partial interests, and common equity</w:t>
            </w:r>
            <w:r>
              <w:rPr>
                <w:rFonts w:ascii="Arial" w:cs="Arial" w:eastAsia="Arial" w:hAnsi="Arial"/>
                <w:sz w:val="16"/>
                <w:szCs w:val="16"/>
                <w:color w:val="auto"/>
                <w:vertAlign w:val="superscript"/>
              </w:rPr>
              <w:t>(1)</w:t>
            </w:r>
          </w:p>
        </w:tc>
        <w:tc>
          <w:tcPr>
            <w:tcW w:w="2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1,050</w:t>
            </w:r>
          </w:p>
        </w:tc>
        <w:tc>
          <w:tcPr>
            <w:tcW w:w="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2,050</w:t>
            </w:r>
          </w:p>
        </w:tc>
        <w:tc>
          <w:tcPr>
            <w:tcW w:w="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1,550</w:t>
            </w: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760" w:type="dxa"/>
            <w:vAlign w:val="bottom"/>
            <w:tcBorders>
              <w:bottom w:val="single" w:sz="8" w:color="CCEEFF"/>
            </w:tcBorders>
          </w:tcPr>
          <w:p>
            <w:pPr>
              <w:jc w:val="right"/>
              <w:ind w:right="419"/>
              <w:spacing w:after="0"/>
              <w:rPr>
                <w:sz w:val="20"/>
                <w:szCs w:val="20"/>
                <w:color w:val="auto"/>
              </w:rPr>
            </w:pPr>
            <w:r>
              <w:rPr>
                <w:rFonts w:ascii="Arial" w:cs="Arial" w:eastAsia="Arial" w:hAnsi="Arial"/>
                <w:sz w:val="8"/>
                <w:szCs w:val="8"/>
                <w:color w:val="auto"/>
              </w:rPr>
              <w:t>(1)</w:t>
            </w:r>
          </w:p>
        </w:tc>
        <w:tc>
          <w:tcPr>
            <w:tcW w:w="0" w:type="dxa"/>
            <w:vAlign w:val="bottom"/>
          </w:tcPr>
          <w:p>
            <w:pPr>
              <w:spacing w:after="0"/>
              <w:rPr>
                <w:sz w:val="1"/>
                <w:szCs w:val="1"/>
                <w:color w:val="auto"/>
              </w:rPr>
            </w:pPr>
          </w:p>
        </w:tc>
      </w:tr>
      <w:tr>
        <w:trPr>
          <w:trHeight w:val="183"/>
        </w:trPr>
        <w:tc>
          <w:tcPr>
            <w:tcW w:w="42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Total sources of capital</w:t>
            </w:r>
          </w:p>
        </w:tc>
        <w:tc>
          <w:tcPr>
            <w:tcW w:w="28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2,335</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3,435</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2,885</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4200" w:type="dxa"/>
            <w:vAlign w:val="bottom"/>
            <w:gridSpan w:val="2"/>
            <w:shd w:val="clear" w:color="auto" w:fill="CCEEFF"/>
          </w:tcPr>
          <w:p>
            <w:pPr>
              <w:ind w:left="40"/>
              <w:spacing w:after="0"/>
              <w:rPr>
                <w:sz w:val="20"/>
                <w:szCs w:val="20"/>
                <w:color w:val="auto"/>
              </w:rPr>
            </w:pPr>
            <w:r>
              <w:rPr>
                <w:rFonts w:ascii="Arial" w:cs="Arial" w:eastAsia="Arial" w:hAnsi="Arial"/>
                <w:sz w:val="13"/>
                <w:szCs w:val="13"/>
                <w:i w:val="1"/>
                <w:iCs w:val="1"/>
                <w:color w:val="auto"/>
              </w:rPr>
              <w:t>Uses of capital:</w:t>
            </w:r>
          </w:p>
        </w:tc>
        <w:tc>
          <w:tcPr>
            <w:tcW w:w="2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200" w:type="dxa"/>
            <w:vAlign w:val="bottom"/>
            <w:gridSpan w:val="2"/>
          </w:tcPr>
          <w:p>
            <w:pPr>
              <w:ind w:left="140"/>
              <w:spacing w:after="0"/>
              <w:rPr>
                <w:sz w:val="20"/>
                <w:szCs w:val="20"/>
                <w:color w:val="auto"/>
              </w:rPr>
            </w:pPr>
            <w:r>
              <w:rPr>
                <w:rFonts w:ascii="Arial" w:cs="Arial" w:eastAsia="Arial" w:hAnsi="Arial"/>
                <w:sz w:val="13"/>
                <w:szCs w:val="13"/>
                <w:color w:val="auto"/>
              </w:rPr>
              <w:t>Construction</w:t>
            </w:r>
          </w:p>
        </w:tc>
        <w:tc>
          <w:tcPr>
            <w:tcW w:w="280" w:type="dxa"/>
            <w:vAlign w:val="bottom"/>
          </w:tcPr>
          <w:p>
            <w:pPr>
              <w:jc w:val="right"/>
              <w:ind w:right="116"/>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1,950</w:t>
            </w:r>
          </w:p>
        </w:tc>
        <w:tc>
          <w:tcPr>
            <w:tcW w:w="3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2,550</w:t>
            </w:r>
          </w:p>
        </w:tc>
        <w:tc>
          <w:tcPr>
            <w:tcW w:w="6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2,250</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2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Acquisitions</w:t>
            </w:r>
          </w:p>
        </w:tc>
        <w:tc>
          <w:tcPr>
            <w:tcW w:w="2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w:t>
            </w: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750</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159"/>
              <w:spacing w:after="0"/>
              <w:rPr>
                <w:sz w:val="20"/>
                <w:szCs w:val="20"/>
                <w:color w:val="auto"/>
              </w:rPr>
            </w:pPr>
            <w:r>
              <w:rPr>
                <w:rFonts w:ascii="Arial" w:cs="Arial" w:eastAsia="Arial" w:hAnsi="Arial"/>
                <w:sz w:val="13"/>
                <w:szCs w:val="13"/>
                <w:color w:val="auto"/>
              </w:rPr>
              <w:t>202</w:t>
            </w:r>
          </w:p>
        </w:tc>
        <w:tc>
          <w:tcPr>
            <w:tcW w:w="0" w:type="dxa"/>
            <w:vAlign w:val="bottom"/>
          </w:tcPr>
          <w:p>
            <w:pPr>
              <w:spacing w:after="0"/>
              <w:rPr>
                <w:sz w:val="1"/>
                <w:szCs w:val="1"/>
                <w:color w:val="auto"/>
              </w:rPr>
            </w:pPr>
          </w:p>
        </w:tc>
      </w:tr>
      <w:tr>
        <w:trPr>
          <w:trHeight w:val="204"/>
        </w:trPr>
        <w:tc>
          <w:tcPr>
            <w:tcW w:w="4200" w:type="dxa"/>
            <w:vAlign w:val="bottom"/>
            <w:tcBorders>
              <w:bottom w:val="single" w:sz="8" w:color="CCEEFF"/>
            </w:tcBorders>
            <w:gridSpan w:val="2"/>
          </w:tcPr>
          <w:p>
            <w:pPr>
              <w:ind w:left="140"/>
              <w:spacing w:after="0"/>
              <w:rPr>
                <w:sz w:val="20"/>
                <w:szCs w:val="20"/>
                <w:color w:val="auto"/>
              </w:rPr>
            </w:pPr>
            <w:r>
              <w:rPr>
                <w:rFonts w:ascii="Arial" w:cs="Arial" w:eastAsia="Arial" w:hAnsi="Arial"/>
                <w:sz w:val="13"/>
                <w:szCs w:val="13"/>
                <w:color w:val="auto"/>
              </w:rPr>
              <w:t>Ground lease prepayment</w:t>
            </w:r>
            <w:r>
              <w:rPr>
                <w:rFonts w:ascii="Arial" w:cs="Arial" w:eastAsia="Arial" w:hAnsi="Arial"/>
                <w:sz w:val="16"/>
                <w:szCs w:val="16"/>
                <w:color w:val="auto"/>
                <w:vertAlign w:val="superscript"/>
              </w:rPr>
              <w:t>(2)</w:t>
            </w:r>
          </w:p>
        </w:tc>
        <w:tc>
          <w:tcPr>
            <w:tcW w:w="2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135</w:t>
            </w:r>
          </w:p>
        </w:tc>
        <w:tc>
          <w:tcPr>
            <w:tcW w:w="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135</w:t>
            </w:r>
          </w:p>
        </w:tc>
        <w:tc>
          <w:tcPr>
            <w:tcW w:w="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135</w:t>
            </w: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7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42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Total uses of capital</w:t>
            </w:r>
          </w:p>
        </w:tc>
        <w:tc>
          <w:tcPr>
            <w:tcW w:w="28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2,335</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3,435</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2,885</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4200" w:type="dxa"/>
            <w:vAlign w:val="bottom"/>
            <w:gridSpan w:val="2"/>
            <w:shd w:val="clear" w:color="auto" w:fill="CCEEFF"/>
          </w:tcPr>
          <w:p>
            <w:pPr>
              <w:ind w:left="40"/>
              <w:spacing w:after="0"/>
              <w:rPr>
                <w:sz w:val="20"/>
                <w:szCs w:val="20"/>
                <w:color w:val="auto"/>
              </w:rPr>
            </w:pPr>
            <w:r>
              <w:rPr>
                <w:rFonts w:ascii="Arial" w:cs="Arial" w:eastAsia="Arial" w:hAnsi="Arial"/>
                <w:sz w:val="13"/>
                <w:szCs w:val="13"/>
                <w:i w:val="1"/>
                <w:iCs w:val="1"/>
                <w:color w:val="auto"/>
              </w:rPr>
              <w:t>Incremental debt (included above):</w:t>
            </w:r>
          </w:p>
        </w:tc>
        <w:tc>
          <w:tcPr>
            <w:tcW w:w="2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200" w:type="dxa"/>
            <w:vAlign w:val="bottom"/>
            <w:gridSpan w:val="2"/>
          </w:tcPr>
          <w:p>
            <w:pPr>
              <w:ind w:left="140"/>
              <w:spacing w:after="0"/>
              <w:rPr>
                <w:sz w:val="20"/>
                <w:szCs w:val="20"/>
                <w:color w:val="auto"/>
              </w:rPr>
            </w:pPr>
            <w:r>
              <w:rPr>
                <w:rFonts w:ascii="Arial" w:cs="Arial" w:eastAsia="Arial" w:hAnsi="Arial"/>
                <w:sz w:val="13"/>
                <w:szCs w:val="13"/>
                <w:color w:val="auto"/>
              </w:rPr>
              <w:t>Issuance of unsecured senior notes payable</w:t>
            </w:r>
            <w:r>
              <w:rPr>
                <w:rFonts w:ascii="Arial" w:cs="Arial" w:eastAsia="Arial" w:hAnsi="Arial"/>
                <w:sz w:val="16"/>
                <w:szCs w:val="16"/>
                <w:color w:val="auto"/>
                <w:vertAlign w:val="superscript"/>
              </w:rPr>
              <w:t>(3)</w:t>
            </w:r>
          </w:p>
        </w:tc>
        <w:tc>
          <w:tcPr>
            <w:tcW w:w="280" w:type="dxa"/>
            <w:vAlign w:val="bottom"/>
          </w:tcPr>
          <w:p>
            <w:pPr>
              <w:jc w:val="right"/>
              <w:ind w:right="116"/>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1,000</w:t>
            </w:r>
          </w:p>
        </w:tc>
        <w:tc>
          <w:tcPr>
            <w:tcW w:w="3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1,000</w:t>
            </w:r>
          </w:p>
        </w:tc>
        <w:tc>
          <w:tcPr>
            <w:tcW w:w="6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1,000</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 xml:space="preserve">1,000  </w:t>
            </w:r>
            <w:r>
              <w:rPr>
                <w:rFonts w:ascii="Arial" w:cs="Arial" w:eastAsia="Arial" w:hAnsi="Arial"/>
                <w:sz w:val="16"/>
                <w:szCs w:val="16"/>
                <w:color w:val="auto"/>
                <w:vertAlign w:val="superscript"/>
              </w:rPr>
              <w:t>(3)</w:t>
            </w:r>
          </w:p>
        </w:tc>
        <w:tc>
          <w:tcPr>
            <w:tcW w:w="0" w:type="dxa"/>
            <w:vAlign w:val="bottom"/>
          </w:tcPr>
          <w:p>
            <w:pPr>
              <w:spacing w:after="0"/>
              <w:rPr>
                <w:sz w:val="1"/>
                <w:szCs w:val="1"/>
                <w:color w:val="auto"/>
              </w:rPr>
            </w:pPr>
          </w:p>
        </w:tc>
      </w:tr>
      <w:tr>
        <w:trPr>
          <w:trHeight w:val="204"/>
        </w:trPr>
        <w:tc>
          <w:tcPr>
            <w:tcW w:w="42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Unsecured senior line of credit, commercial paper program, and other</w:t>
            </w:r>
          </w:p>
        </w:tc>
        <w:tc>
          <w:tcPr>
            <w:tcW w:w="28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(115)</w:t>
            </w:r>
          </w:p>
        </w:tc>
        <w:tc>
          <w:tcPr>
            <w:tcW w:w="4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(115)</w:t>
            </w:r>
          </w:p>
        </w:tc>
        <w:tc>
          <w:tcPr>
            <w:tcW w:w="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(115)</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4200" w:type="dxa"/>
            <w:vAlign w:val="bottom"/>
            <w:gridSpan w:val="2"/>
          </w:tcPr>
          <w:p>
            <w:pPr>
              <w:ind w:left="40"/>
              <w:spacing w:after="0"/>
              <w:rPr>
                <w:sz w:val="20"/>
                <w:szCs w:val="20"/>
                <w:color w:val="auto"/>
              </w:rPr>
            </w:pPr>
            <w:r>
              <w:rPr>
                <w:rFonts w:ascii="Arial" w:cs="Arial" w:eastAsia="Arial" w:hAnsi="Arial"/>
                <w:sz w:val="13"/>
                <w:szCs w:val="13"/>
                <w:color w:val="auto"/>
              </w:rPr>
              <w:t>Incremental debt</w:t>
            </w:r>
          </w:p>
        </w:tc>
        <w:tc>
          <w:tcPr>
            <w:tcW w:w="280" w:type="dxa"/>
            <w:vAlign w:val="bottom"/>
          </w:tcPr>
          <w:p>
            <w:pPr>
              <w:jc w:val="right"/>
              <w:ind w:right="116"/>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885</w:t>
            </w:r>
          </w:p>
        </w:tc>
        <w:tc>
          <w:tcPr>
            <w:tcW w:w="3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885</w:t>
            </w:r>
          </w:p>
        </w:tc>
        <w:tc>
          <w:tcPr>
            <w:tcW w:w="6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885</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 w:lineRule="exact"/>
        <w:rPr>
          <w:sz w:val="20"/>
          <w:szCs w:val="20"/>
          <w:color w:val="auto"/>
        </w:rPr>
      </w:pPr>
    </w:p>
    <w:p>
      <w:pPr>
        <w:ind w:left="900" w:right="719" w:hanging="262"/>
        <w:spacing w:after="0" w:line="255" w:lineRule="auto"/>
        <w:tabs>
          <w:tab w:leader="none" w:pos="900" w:val="left"/>
        </w:tabs>
        <w:numPr>
          <w:ilvl w:val="0"/>
          <w:numId w:val="113"/>
        </w:numPr>
        <w:rPr>
          <w:rFonts w:ascii="Arial" w:cs="Arial" w:eastAsia="Arial" w:hAnsi="Arial"/>
          <w:sz w:val="10"/>
          <w:szCs w:val="10"/>
          <w:color w:val="auto"/>
          <w:highlight w:val="white"/>
        </w:rPr>
      </w:pPr>
      <w:r>
        <w:rPr>
          <w:rFonts w:ascii="Arial" w:cs="Arial" w:eastAsia="Arial" w:hAnsi="Arial"/>
          <w:sz w:val="10"/>
          <w:szCs w:val="10"/>
          <w:color w:val="auto"/>
        </w:rPr>
        <w:t>Refer to “Dispositions and sales of partial interests” in Item 2 for additional detail. We expect to continue pursuing our strategy to fund a significant portion of our capital requirements for the year ending December 31, 2024 with dispositions and sales of partial interests in properties not integral to our mega campus strategy and are actively pursuing several dispositions and partial interest sale opportunities. As of the date of this report, we completed dispositions aggregating $77.2 million, have additional pending transactions subject to letters of intent or purchase and sale agreement negotiations aggregating $806.7 million, and entered into new forward equity sales agreements aggregating $27.8 million, which, in aggregate, represents 59% of the $1.55 billion midpoint of our guidance range.</w:t>
      </w:r>
    </w:p>
    <w:p>
      <w:pPr>
        <w:ind w:left="900" w:hanging="262"/>
        <w:spacing w:after="0"/>
        <w:tabs>
          <w:tab w:leader="none" w:pos="900" w:val="left"/>
        </w:tabs>
        <w:numPr>
          <w:ilvl w:val="0"/>
          <w:numId w:val="113"/>
        </w:numPr>
        <w:rPr>
          <w:rFonts w:ascii="Arial" w:cs="Arial" w:eastAsia="Arial" w:hAnsi="Arial"/>
          <w:sz w:val="10"/>
          <w:szCs w:val="10"/>
          <w:color w:val="auto"/>
        </w:rPr>
      </w:pPr>
      <w:r>
        <w:rPr>
          <w:rFonts w:ascii="Arial" w:cs="Arial" w:eastAsia="Arial" w:hAnsi="Arial"/>
          <w:sz w:val="10"/>
          <w:szCs w:val="10"/>
          <w:color w:val="auto"/>
        </w:rPr>
        <w:t>Refer to Note 16 – “Subsequent events” to our unaudited consolidated financial statements in Item 1 for additional information.</w:t>
      </w:r>
    </w:p>
    <w:p>
      <w:pPr>
        <w:spacing w:after="0" w:line="7" w:lineRule="exact"/>
        <w:rPr>
          <w:rFonts w:ascii="Arial" w:cs="Arial" w:eastAsia="Arial" w:hAnsi="Arial"/>
          <w:sz w:val="10"/>
          <w:szCs w:val="10"/>
          <w:color w:val="auto"/>
        </w:rPr>
      </w:pPr>
    </w:p>
    <w:p>
      <w:pPr>
        <w:ind w:left="900" w:right="739" w:hanging="262"/>
        <w:spacing w:after="0" w:line="261" w:lineRule="auto"/>
        <w:tabs>
          <w:tab w:leader="none" w:pos="900" w:val="left"/>
        </w:tabs>
        <w:numPr>
          <w:ilvl w:val="0"/>
          <w:numId w:val="113"/>
        </w:numPr>
        <w:rPr>
          <w:rFonts w:ascii="Arial" w:cs="Arial" w:eastAsia="Arial" w:hAnsi="Arial"/>
          <w:sz w:val="10"/>
          <w:szCs w:val="10"/>
          <w:color w:val="auto"/>
        </w:rPr>
      </w:pPr>
      <w:r>
        <w:rPr>
          <w:rFonts w:ascii="Arial" w:cs="Arial" w:eastAsia="Arial" w:hAnsi="Arial"/>
          <w:sz w:val="10"/>
          <w:szCs w:val="10"/>
          <w:color w:val="auto"/>
        </w:rPr>
        <w:t>Represents $1.0 billion of unsecured senior notes payable issued in February 2024. Subject to market conditions, we may seek additional opportunities in 2024 to fund the repayment of our $600.0 million of 3.45% unsecured senior notes payable due on April 30, 2025 through issuance of additional unsecured senior notes payable, which is not assumed in our current 2024 guidance.</w:t>
      </w:r>
    </w:p>
    <w:p>
      <w:pPr>
        <w:spacing w:after="0" w:line="98" w:lineRule="exact"/>
        <w:rPr>
          <w:sz w:val="20"/>
          <w:szCs w:val="20"/>
          <w:color w:val="auto"/>
        </w:rPr>
      </w:pPr>
    </w:p>
    <w:p>
      <w:pPr>
        <w:ind w:left="640" w:right="679" w:firstLine="516"/>
        <w:spacing w:after="0" w:line="255" w:lineRule="auto"/>
        <w:rPr>
          <w:sz w:val="20"/>
          <w:szCs w:val="20"/>
          <w:color w:val="auto"/>
        </w:rPr>
      </w:pPr>
      <w:r>
        <w:rPr>
          <w:rFonts w:ascii="Arial" w:cs="Arial" w:eastAsia="Arial" w:hAnsi="Arial"/>
          <w:sz w:val="13"/>
          <w:szCs w:val="13"/>
          <w:color w:val="auto"/>
        </w:rPr>
        <w:t>The key assumptions behind the sources and uses of capital in the table above include a favorable real estate transaction and capital market environments, performance of our core operating properties, lease-up and delivery of current and future development and redevelopment projects, and leasing activity. Our expected sources and uses of capital are subject to a number of variables and uncertainties, including those discussed as “Forward-looking statements” under Part I; “Item 1A. Risk factors”; and “Item 7. Management’s discussion and analysis of financial condition and results of operations” of our annual report on Form 10-K for the year ended December 31, 2023; as well as in “Item 1A. Risk factors” within “Part II – Other information” of this quarterly report on Form 10-Q. We expect to update our forecast for key sources and uses of capital on a quarterly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188595</wp:posOffset>
            </wp:positionV>
            <wp:extent cx="5584190" cy="12376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584190" cy="1237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40"/>
        <w:spacing w:after="0"/>
        <w:rPr>
          <w:sz w:val="20"/>
          <w:szCs w:val="20"/>
          <w:color w:val="auto"/>
        </w:rPr>
      </w:pPr>
      <w:r>
        <w:rPr>
          <w:rFonts w:ascii="Arial" w:cs="Arial" w:eastAsia="Arial" w:hAnsi="Arial"/>
          <w:sz w:val="13"/>
          <w:szCs w:val="13"/>
          <w:u w:val="single" w:color="auto"/>
          <w:color w:val="auto"/>
        </w:rPr>
        <w:t>Sources of capital</w:t>
      </w:r>
    </w:p>
    <w:p>
      <w:pPr>
        <w:spacing w:after="0" w:line="164" w:lineRule="exact"/>
        <w:rPr>
          <w:sz w:val="20"/>
          <w:szCs w:val="20"/>
          <w:color w:val="auto"/>
        </w:rPr>
      </w:pPr>
    </w:p>
    <w:p>
      <w:pPr>
        <w:ind w:left="640"/>
        <w:spacing w:after="0"/>
        <w:rPr>
          <w:sz w:val="20"/>
          <w:szCs w:val="20"/>
          <w:color w:val="auto"/>
        </w:rPr>
      </w:pPr>
      <w:r>
        <w:rPr>
          <w:rFonts w:ascii="Arial" w:cs="Arial" w:eastAsia="Arial" w:hAnsi="Arial"/>
          <w:sz w:val="13"/>
          <w:szCs w:val="13"/>
          <w:i w:val="1"/>
          <w:iCs w:val="1"/>
          <w:u w:val="single" w:color="auto"/>
          <w:color w:val="auto"/>
        </w:rPr>
        <w:t>Net cash provided by operating activities after dividends</w:t>
      </w:r>
    </w:p>
    <w:p>
      <w:pPr>
        <w:spacing w:after="0" w:line="160" w:lineRule="exact"/>
        <w:rPr>
          <w:sz w:val="20"/>
          <w:szCs w:val="20"/>
          <w:color w:val="auto"/>
        </w:rPr>
      </w:pPr>
    </w:p>
    <w:p>
      <w:pPr>
        <w:ind w:left="640" w:right="779" w:firstLine="516"/>
        <w:spacing w:after="0" w:line="288" w:lineRule="auto"/>
        <w:rPr>
          <w:sz w:val="20"/>
          <w:szCs w:val="20"/>
          <w:color w:val="auto"/>
        </w:rPr>
      </w:pPr>
      <w:r>
        <w:rPr>
          <w:rFonts w:ascii="Arial" w:cs="Arial" w:eastAsia="Arial" w:hAnsi="Arial"/>
          <w:sz w:val="12"/>
          <w:szCs w:val="12"/>
          <w:color w:val="auto"/>
        </w:rPr>
        <w:t>We expect to retain $400 million to $500 million of net cash flows from operating activities after payment of common stock dividends, and distributions to noncontrolling interests for the year ending December 31, 2024. For purposes of this calculation, changes in operating assets and liabilities are excluded as they represent timing differences. For the year ending December 31, 2024,</w:t>
      </w:r>
    </w:p>
    <w:p>
      <w:pPr>
        <w:sectPr>
          <w:pgSz w:w="11900" w:h="16838" w:orient="portrait"/>
          <w:cols w:equalWidth="0" w:num="1">
            <w:col w:w="9019"/>
          </w:cols>
          <w:pgMar w:left="1440" w:top="140" w:right="1440" w:bottom="0" w:gutter="0" w:footer="0" w:header="0"/>
        </w:sectPr>
      </w:pPr>
    </w:p>
    <w:bookmarkStart w:id="60" w:name="page61"/>
    <w:bookmarkEnd w:id="60"/>
    <w:p>
      <w:pPr>
        <w:spacing w:after="0" w:line="7" w:lineRule="exact"/>
        <w:rPr>
          <w:sz w:val="20"/>
          <w:szCs w:val="20"/>
          <w:color w:val="auto"/>
        </w:rPr>
      </w:pPr>
    </w:p>
    <w:p>
      <w:pPr>
        <w:ind w:left="640" w:right="899"/>
        <w:spacing w:after="0" w:line="203" w:lineRule="auto"/>
        <w:rPr>
          <w:sz w:val="20"/>
          <w:szCs w:val="20"/>
          <w:color w:val="auto"/>
        </w:rPr>
      </w:pPr>
      <w:r>
        <w:rPr>
          <w:rFonts w:ascii="Arial" w:cs="Arial" w:eastAsia="Arial" w:hAnsi="Arial"/>
          <w:sz w:val="12"/>
          <w:szCs w:val="12"/>
          <w:color w:val="auto"/>
        </w:rPr>
        <w:t>we expect our recently delivered projects, our highly pre-leased value-creation projects expected to be delivered, contributions from Same Properties, and recently acquired income-producing properties to contribute increases in income from rentals, net operating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-133350</wp:posOffset>
            </wp:positionV>
            <wp:extent cx="5584190" cy="597662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584190" cy="5976620"/>
                    </a:xfrm>
                    <a:prstGeom prst="rect">
                      <a:avLst/>
                    </a:prstGeom>
                    <a:noFill/>
                  </pic:spPr>
                </pic:pic>
              </a:graphicData>
            </a:graphic>
          </wp:anchor>
        </w:drawing>
      </w:r>
    </w:p>
    <w:p>
      <w:pPr>
        <w:ind w:left="640" w:right="759"/>
        <w:spacing w:after="0" w:line="267" w:lineRule="auto"/>
        <w:rPr>
          <w:sz w:val="20"/>
          <w:szCs w:val="20"/>
          <w:color w:val="auto"/>
        </w:rPr>
      </w:pPr>
      <w:r>
        <w:rPr>
          <w:rFonts w:ascii="Arial" w:cs="Arial" w:eastAsia="Arial" w:hAnsi="Arial"/>
          <w:sz w:val="12"/>
          <w:szCs w:val="12"/>
          <w:color w:val="auto"/>
        </w:rPr>
        <w:t>income, and cash flows. We anticipate contractual near-term growth in annual net operating income (cash basis) of $80 million related to the commencement of contractual rents on the projects recently placed into service that are near the end of their initial free rent period. Refer to “Cash flows” in Item 2 for a discussion of cash flows provided by operating activities for the six months ended</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13"/>
          <w:szCs w:val="13"/>
          <w:color w:val="auto"/>
        </w:rPr>
        <w:t>June 30, 2024.</w:t>
      </w:r>
    </w:p>
    <w:p>
      <w:pPr>
        <w:spacing w:after="0" w:line="156" w:lineRule="exact"/>
        <w:rPr>
          <w:sz w:val="20"/>
          <w:szCs w:val="20"/>
          <w:color w:val="auto"/>
        </w:rPr>
      </w:pPr>
    </w:p>
    <w:p>
      <w:pPr>
        <w:ind w:left="640"/>
        <w:spacing w:after="0"/>
        <w:rPr>
          <w:sz w:val="20"/>
          <w:szCs w:val="20"/>
          <w:color w:val="auto"/>
        </w:rPr>
      </w:pPr>
      <w:r>
        <w:rPr>
          <w:rFonts w:ascii="Arial" w:cs="Arial" w:eastAsia="Arial" w:hAnsi="Arial"/>
          <w:sz w:val="13"/>
          <w:szCs w:val="13"/>
          <w:i w:val="1"/>
          <w:iCs w:val="1"/>
          <w:u w:val="single" w:color="auto"/>
          <w:color w:val="auto"/>
        </w:rPr>
        <w:t>Debt</w:t>
      </w:r>
    </w:p>
    <w:p>
      <w:pPr>
        <w:spacing w:after="0" w:line="149" w:lineRule="exact"/>
        <w:rPr>
          <w:sz w:val="20"/>
          <w:szCs w:val="20"/>
          <w:color w:val="auto"/>
        </w:rPr>
      </w:pPr>
    </w:p>
    <w:p>
      <w:pPr>
        <w:jc w:val="both"/>
        <w:ind w:left="640" w:right="739" w:firstLine="516"/>
        <w:spacing w:after="0" w:line="265" w:lineRule="auto"/>
        <w:rPr>
          <w:sz w:val="20"/>
          <w:szCs w:val="20"/>
          <w:color w:val="auto"/>
        </w:rPr>
      </w:pPr>
      <w:r>
        <w:rPr>
          <w:rFonts w:ascii="Arial" w:cs="Arial" w:eastAsia="Arial" w:hAnsi="Arial"/>
          <w:sz w:val="13"/>
          <w:szCs w:val="13"/>
          <w:color w:val="auto"/>
        </w:rPr>
        <w:t>We expect to fund a portion of our capital needs for 2024 from issuances under our commercial paper program, issuances of unsecured senior notes payable, borrowings under our unsecured senior line of credit, and borrowings under our secured construction loan.</w:t>
      </w:r>
    </w:p>
    <w:p>
      <w:pPr>
        <w:spacing w:after="0" w:line="128" w:lineRule="exact"/>
        <w:rPr>
          <w:sz w:val="20"/>
          <w:szCs w:val="20"/>
          <w:color w:val="auto"/>
        </w:rPr>
      </w:pPr>
    </w:p>
    <w:p>
      <w:pPr>
        <w:ind w:left="640" w:right="659" w:firstLine="516"/>
        <w:spacing w:after="0" w:line="257" w:lineRule="auto"/>
        <w:rPr>
          <w:sz w:val="20"/>
          <w:szCs w:val="20"/>
          <w:color w:val="auto"/>
        </w:rPr>
      </w:pPr>
      <w:r>
        <w:rPr>
          <w:rFonts w:ascii="Arial" w:cs="Arial" w:eastAsia="Arial" w:hAnsi="Arial"/>
          <w:sz w:val="13"/>
          <w:szCs w:val="13"/>
          <w:color w:val="auto"/>
        </w:rPr>
        <w:t>As of June 30, 2024, our unsecured senior line of credit had aggregate commitments of $5.0 billion and bore an interest rate of SOFR plus 0.855%. In addition to the cost of borrowing, the unsecured senior line of credit is subject to an annual facility fee of 0.145% based on the aggregate commitments outstanding. Based upon our ability to achieve certain annual sustainability targets, the interest rate and facility fee rate are also subject to upward or downward adjustments of up to four basis points with respect to the interest rate and up to one basis point with respect to the facility fee rate.</w:t>
      </w:r>
    </w:p>
    <w:p>
      <w:pPr>
        <w:spacing w:after="0" w:line="123" w:lineRule="exact"/>
        <w:rPr>
          <w:sz w:val="20"/>
          <w:szCs w:val="20"/>
          <w:color w:val="auto"/>
        </w:rPr>
      </w:pPr>
    </w:p>
    <w:p>
      <w:pPr>
        <w:ind w:left="640" w:right="759" w:firstLine="516"/>
        <w:spacing w:after="0" w:line="263" w:lineRule="auto"/>
        <w:rPr>
          <w:sz w:val="20"/>
          <w:szCs w:val="20"/>
          <w:color w:val="auto"/>
        </w:rPr>
      </w:pPr>
      <w:r>
        <w:rPr>
          <w:rFonts w:ascii="Arial" w:cs="Arial" w:eastAsia="Arial" w:hAnsi="Arial"/>
          <w:sz w:val="13"/>
          <w:szCs w:val="13"/>
          <w:color w:val="auto"/>
        </w:rPr>
        <w:t>Based on certain sustainability metrics achieved in accordance with the terms of our unsecured senior line of credit agreement, the borrowing rate was reduced for a one-year period by two basis points to SOFR plus 0.855%, from SOFR plus 0.875%, and the facility fee was reduced by 0.5 basis point to 0.145% from 0.15%. As of June 30, 2024, we had no outstanding balance on our unsecured line of credit.</w:t>
      </w:r>
    </w:p>
    <w:p>
      <w:pPr>
        <w:spacing w:after="0" w:line="118" w:lineRule="exact"/>
        <w:rPr>
          <w:sz w:val="20"/>
          <w:szCs w:val="20"/>
          <w:color w:val="auto"/>
        </w:rPr>
      </w:pPr>
    </w:p>
    <w:p>
      <w:pPr>
        <w:ind w:left="640" w:right="659" w:firstLine="516"/>
        <w:spacing w:after="0" w:line="297" w:lineRule="auto"/>
        <w:rPr>
          <w:sz w:val="20"/>
          <w:szCs w:val="20"/>
          <w:color w:val="auto"/>
        </w:rPr>
      </w:pPr>
      <w:r>
        <w:rPr>
          <w:rFonts w:ascii="Arial" w:cs="Arial" w:eastAsia="Arial" w:hAnsi="Arial"/>
          <w:sz w:val="12"/>
          <w:szCs w:val="12"/>
          <w:color w:val="auto"/>
        </w:rPr>
        <w:t>In July 2024, we executed an agreement with the lender group to amend and restate our unsecured senior line of credit to, among other changes, extend the maturity date from January 22, 2028 to January 22, 2030, including extension options that we control. We expect that the amendment and restatement will become effective in September 2024 upon the satisfaction of certain conditions.</w:t>
      </w:r>
    </w:p>
    <w:p>
      <w:pPr>
        <w:spacing w:after="0" w:line="111" w:lineRule="exact"/>
        <w:rPr>
          <w:sz w:val="20"/>
          <w:szCs w:val="20"/>
          <w:color w:val="auto"/>
        </w:rPr>
      </w:pPr>
    </w:p>
    <w:p>
      <w:pPr>
        <w:ind w:left="640" w:right="659" w:firstLine="516"/>
        <w:spacing w:after="0" w:line="251" w:lineRule="auto"/>
        <w:rPr>
          <w:sz w:val="20"/>
          <w:szCs w:val="20"/>
          <w:color w:val="auto"/>
        </w:rPr>
      </w:pPr>
      <w:r>
        <w:rPr>
          <w:rFonts w:ascii="Arial" w:cs="Arial" w:eastAsia="Arial" w:hAnsi="Arial"/>
          <w:sz w:val="13"/>
          <w:szCs w:val="13"/>
          <w:color w:val="auto"/>
        </w:rPr>
        <w:t>Our commercial paper program provides us with the ability to issue up to $2.5 billion of commercial paper notes with a maturity of generally 30 days or less and with a maximum maturity of 397 days from the date of issuance. Our commercial paper program is backed by our unsecured senior line of credit, and at all times we expect to retain a minimum undrawn amount of borrowing capacity under our unsecured senior line of credit equal to any outstanding balance under our commercial paper program. We use borrowings under the program to fund short-term capital needs. The notes issued under our commercial paper program are sold under customary terms in the commercial paper market. They are typically issued at a discount to par, representing a yield to maturity dictated by market conditions at the time of issuance. In the event we are unable to issue commercial paper notes or refinance outstanding commercial paper notes under terms equal to or more favorable than those under the unsecured senior line of credit, we expect to borrow under the unsecured senior line of credit. The commercial paper notes sold during the six months ended June 30, 2024 were issued at a weighted-average yield to maturity of 5.59%. As of June 30, 2024, we had an outstanding balance of $199.6 million under our commercial paper program with a weighted-average interest rate of 5.57%.</w:t>
      </w:r>
    </w:p>
    <w:p>
      <w:pPr>
        <w:spacing w:after="0" w:line="138" w:lineRule="exact"/>
        <w:rPr>
          <w:sz w:val="20"/>
          <w:szCs w:val="20"/>
          <w:color w:val="auto"/>
        </w:rPr>
      </w:pPr>
    </w:p>
    <w:p>
      <w:pPr>
        <w:jc w:val="both"/>
        <w:ind w:left="640" w:right="899" w:firstLine="516"/>
        <w:spacing w:after="0" w:line="265" w:lineRule="auto"/>
        <w:rPr>
          <w:sz w:val="20"/>
          <w:szCs w:val="20"/>
          <w:color w:val="auto"/>
        </w:rPr>
      </w:pPr>
      <w:r>
        <w:rPr>
          <w:rFonts w:ascii="Arial" w:cs="Arial" w:eastAsia="Arial" w:hAnsi="Arial"/>
          <w:sz w:val="13"/>
          <w:szCs w:val="13"/>
          <w:color w:val="auto"/>
        </w:rPr>
        <w:t>In February 2024, we issued $1.0 billion of unsecured senior notes payable with a weighted-average interest rate of 5.48% and a weighted-average maturity of 23.1 years. The unsecured senior notes consisted of $400.0 million of 5.25% unsecured senior notes due 2036 and $600.0 million of 5.625% unsecured senior notes due 2054.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188595</wp:posOffset>
            </wp:positionV>
            <wp:extent cx="5584190" cy="44767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584190" cy="4476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40" w:right="1079" w:firstLine="516"/>
        <w:spacing w:after="0" w:line="272" w:lineRule="auto"/>
        <w:rPr>
          <w:sz w:val="20"/>
          <w:szCs w:val="20"/>
          <w:color w:val="auto"/>
        </w:rPr>
      </w:pPr>
      <w:r>
        <w:rPr>
          <w:rFonts w:ascii="Arial" w:cs="Arial" w:eastAsia="Arial" w:hAnsi="Arial"/>
          <w:sz w:val="13"/>
          <w:szCs w:val="13"/>
          <w:color w:val="auto"/>
        </w:rPr>
        <w:t>The following table presents our average debt outstanding and weighted-average interest rates during the three and six months ended June 30, 2024 (dollars in thousands):</w:t>
      </w:r>
    </w:p>
    <w:p>
      <w:pPr>
        <w:spacing w:after="0" w:line="37"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20" w:type="dxa"/>
            <w:vAlign w:val="bottom"/>
            <w:gridSpan w:val="5"/>
          </w:tcPr>
          <w:p>
            <w:pPr>
              <w:ind w:left="300"/>
              <w:spacing w:after="0"/>
              <w:rPr>
                <w:sz w:val="20"/>
                <w:szCs w:val="20"/>
                <w:color w:val="auto"/>
              </w:rPr>
            </w:pPr>
            <w:r>
              <w:rPr>
                <w:rFonts w:ascii="Arial" w:cs="Arial" w:eastAsia="Arial" w:hAnsi="Arial"/>
                <w:sz w:val="13"/>
                <w:szCs w:val="13"/>
                <w:color w:val="auto"/>
              </w:rPr>
              <w:t>Average Debt Outstanding</w:t>
            </w:r>
          </w:p>
        </w:tc>
        <w:tc>
          <w:tcPr>
            <w:tcW w:w="2440" w:type="dxa"/>
            <w:vAlign w:val="bottom"/>
            <w:gridSpan w:val="3"/>
          </w:tcPr>
          <w:p>
            <w:pPr>
              <w:ind w:left="300"/>
              <w:spacing w:after="0"/>
              <w:rPr>
                <w:sz w:val="20"/>
                <w:szCs w:val="20"/>
                <w:color w:val="auto"/>
              </w:rPr>
            </w:pPr>
            <w:r>
              <w:rPr>
                <w:rFonts w:ascii="Arial" w:cs="Arial" w:eastAsia="Arial" w:hAnsi="Arial"/>
                <w:sz w:val="13"/>
                <w:szCs w:val="13"/>
                <w:color w:val="auto"/>
              </w:rPr>
              <w:t>Weighted-Average Interest Rate</w:t>
            </w:r>
          </w:p>
        </w:tc>
        <w:tc>
          <w:tcPr>
            <w:tcW w:w="0" w:type="dxa"/>
            <w:vAlign w:val="bottom"/>
          </w:tcPr>
          <w:p>
            <w:pPr>
              <w:spacing w:after="0"/>
              <w:rPr>
                <w:sz w:val="1"/>
                <w:szCs w:val="1"/>
                <w:color w:val="auto"/>
              </w:rPr>
            </w:pPr>
          </w:p>
        </w:tc>
      </w:tr>
      <w:tr>
        <w:trPr>
          <w:trHeight w:val="184"/>
        </w:trPr>
        <w:tc>
          <w:tcPr>
            <w:tcW w:w="2660" w:type="dxa"/>
            <w:vAlign w:val="bottom"/>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5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3"/>
                <w:szCs w:val="13"/>
                <w:color w:val="auto"/>
              </w:rPr>
              <w:t>June 30, 2024</w:t>
            </w:r>
          </w:p>
        </w:tc>
        <w:tc>
          <w:tcPr>
            <w:tcW w:w="760" w:type="dxa"/>
            <w:vAlign w:val="bottom"/>
            <w:tcBorders>
              <w:top w:val="single" w:sz="8" w:color="auto"/>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440" w:type="dxa"/>
            <w:vAlign w:val="bottom"/>
            <w:tcBorders>
              <w:top w:val="single" w:sz="8" w:color="auto"/>
              <w:bottom w:val="single" w:sz="8" w:color="auto"/>
            </w:tcBorders>
            <w:gridSpan w:val="3"/>
          </w:tcPr>
          <w:p>
            <w:pPr>
              <w:ind w:left="820"/>
              <w:spacing w:after="0"/>
              <w:rPr>
                <w:sz w:val="20"/>
                <w:szCs w:val="20"/>
                <w:color w:val="auto"/>
              </w:rPr>
            </w:pPr>
            <w:r>
              <w:rPr>
                <w:rFonts w:ascii="Arial" w:cs="Arial" w:eastAsia="Arial" w:hAnsi="Arial"/>
                <w:sz w:val="13"/>
                <w:szCs w:val="13"/>
                <w:color w:val="auto"/>
              </w:rPr>
              <w:t>June 30, 2024</w:t>
            </w:r>
          </w:p>
        </w:tc>
        <w:tc>
          <w:tcPr>
            <w:tcW w:w="0" w:type="dxa"/>
            <w:vAlign w:val="bottom"/>
          </w:tcPr>
          <w:p>
            <w:pPr>
              <w:spacing w:after="0"/>
              <w:rPr>
                <w:sz w:val="1"/>
                <w:szCs w:val="1"/>
                <w:color w:val="auto"/>
              </w:rPr>
            </w:pPr>
          </w:p>
        </w:tc>
      </w:tr>
      <w:tr>
        <w:trPr>
          <w:trHeight w:val="141"/>
        </w:trPr>
        <w:tc>
          <w:tcPr>
            <w:tcW w:w="2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200"/>
              <w:spacing w:after="0" w:line="141" w:lineRule="exact"/>
              <w:rPr>
                <w:sz w:val="20"/>
                <w:szCs w:val="20"/>
                <w:color w:val="auto"/>
              </w:rPr>
            </w:pPr>
            <w:r>
              <w:rPr>
                <w:rFonts w:ascii="Arial" w:cs="Arial" w:eastAsia="Arial" w:hAnsi="Arial"/>
                <w:sz w:val="13"/>
                <w:szCs w:val="13"/>
                <w:color w:val="auto"/>
                <w:w w:val="99"/>
              </w:rPr>
              <w:t>Three Months</w:t>
            </w:r>
          </w:p>
        </w:tc>
        <w:tc>
          <w:tcPr>
            <w:tcW w:w="1300" w:type="dxa"/>
            <w:vAlign w:val="bottom"/>
            <w:gridSpan w:val="3"/>
            <w:vMerge w:val="restart"/>
          </w:tcPr>
          <w:p>
            <w:pPr>
              <w:jc w:val="right"/>
              <w:ind w:right="200"/>
              <w:spacing w:after="0"/>
              <w:rPr>
                <w:sz w:val="20"/>
                <w:szCs w:val="20"/>
                <w:color w:val="auto"/>
              </w:rPr>
            </w:pPr>
            <w:r>
              <w:rPr>
                <w:rFonts w:ascii="Arial" w:cs="Arial" w:eastAsia="Arial" w:hAnsi="Arial"/>
                <w:sz w:val="13"/>
                <w:szCs w:val="13"/>
                <w:color w:val="auto"/>
              </w:rPr>
              <w:t>Six Months Ended</w:t>
            </w:r>
          </w:p>
        </w:tc>
        <w:tc>
          <w:tcPr>
            <w:tcW w:w="1280" w:type="dxa"/>
            <w:vAlign w:val="bottom"/>
            <w:gridSpan w:val="2"/>
          </w:tcPr>
          <w:p>
            <w:pPr>
              <w:ind w:left="220"/>
              <w:spacing w:after="0" w:line="141" w:lineRule="exact"/>
              <w:rPr>
                <w:sz w:val="20"/>
                <w:szCs w:val="20"/>
                <w:color w:val="auto"/>
              </w:rPr>
            </w:pPr>
            <w:r>
              <w:rPr>
                <w:rFonts w:ascii="Arial" w:cs="Arial" w:eastAsia="Arial" w:hAnsi="Arial"/>
                <w:sz w:val="13"/>
                <w:szCs w:val="13"/>
                <w:color w:val="auto"/>
              </w:rPr>
              <w:t>Three Months</w:t>
            </w:r>
          </w:p>
        </w:tc>
        <w:tc>
          <w:tcPr>
            <w:tcW w:w="1160" w:type="dxa"/>
            <w:vAlign w:val="bottom"/>
            <w:vMerge w:val="restart"/>
          </w:tcPr>
          <w:p>
            <w:pPr>
              <w:ind w:left="60"/>
              <w:spacing w:after="0"/>
              <w:rPr>
                <w:sz w:val="20"/>
                <w:szCs w:val="20"/>
                <w:color w:val="auto"/>
              </w:rPr>
            </w:pPr>
            <w:r>
              <w:rPr>
                <w:rFonts w:ascii="Arial" w:cs="Arial" w:eastAsia="Arial" w:hAnsi="Arial"/>
                <w:sz w:val="13"/>
                <w:szCs w:val="13"/>
                <w:color w:val="auto"/>
              </w:rPr>
              <w:t>Six Months Ended</w:t>
            </w:r>
          </w:p>
        </w:tc>
        <w:tc>
          <w:tcPr>
            <w:tcW w:w="0" w:type="dxa"/>
            <w:vAlign w:val="bottom"/>
          </w:tcPr>
          <w:p>
            <w:pPr>
              <w:spacing w:after="0"/>
              <w:rPr>
                <w:sz w:val="1"/>
                <w:szCs w:val="1"/>
                <w:color w:val="auto"/>
              </w:rPr>
            </w:pPr>
          </w:p>
        </w:tc>
      </w:tr>
      <w:tr>
        <w:trPr>
          <w:trHeight w:val="150"/>
        </w:trPr>
        <w:tc>
          <w:tcPr>
            <w:tcW w:w="2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3"/>
                <w:szCs w:val="13"/>
                <w:color w:val="auto"/>
              </w:rPr>
              <w:t>Ended</w:t>
            </w:r>
          </w:p>
        </w:tc>
        <w:tc>
          <w:tcPr>
            <w:tcW w:w="1300" w:type="dxa"/>
            <w:vAlign w:val="bottom"/>
            <w:gridSpan w:val="3"/>
            <w:vMerge w:val="continue"/>
          </w:tcPr>
          <w:p>
            <w:pPr>
              <w:spacing w:after="0"/>
              <w:rPr>
                <w:sz w:val="13"/>
                <w:szCs w:val="13"/>
                <w:color w:val="auto"/>
              </w:rPr>
            </w:pPr>
          </w:p>
        </w:tc>
        <w:tc>
          <w:tcPr>
            <w:tcW w:w="1280" w:type="dxa"/>
            <w:vAlign w:val="bottom"/>
            <w:gridSpan w:val="2"/>
          </w:tcPr>
          <w:p>
            <w:pPr>
              <w:ind w:left="440"/>
              <w:spacing w:after="0"/>
              <w:rPr>
                <w:sz w:val="20"/>
                <w:szCs w:val="20"/>
                <w:color w:val="auto"/>
              </w:rPr>
            </w:pPr>
            <w:r>
              <w:rPr>
                <w:rFonts w:ascii="Arial" w:cs="Arial" w:eastAsia="Arial" w:hAnsi="Arial"/>
                <w:sz w:val="13"/>
                <w:szCs w:val="13"/>
                <w:color w:val="auto"/>
              </w:rPr>
              <w:t>Ended</w:t>
            </w:r>
          </w:p>
        </w:tc>
        <w:tc>
          <w:tcPr>
            <w:tcW w:w="11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6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Long-term fixed-rate debt</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12,171,633</w:t>
            </w:r>
          </w:p>
        </w:tc>
        <w:tc>
          <w:tcPr>
            <w:tcW w:w="4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jc w:val="right"/>
              <w:ind w:right="236"/>
              <w:spacing w:after="0"/>
              <w:rPr>
                <w:sz w:val="20"/>
                <w:szCs w:val="20"/>
                <w:color w:val="auto"/>
              </w:rPr>
            </w:pPr>
            <w:r>
              <w:rPr>
                <w:rFonts w:ascii="Arial" w:cs="Arial" w:eastAsia="Arial" w:hAnsi="Arial"/>
                <w:sz w:val="13"/>
                <w:szCs w:val="13"/>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11,927,318</w:t>
            </w:r>
          </w:p>
        </w:tc>
        <w:tc>
          <w:tcPr>
            <w:tcW w:w="14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ind w:left="820"/>
              <w:spacing w:after="0"/>
              <w:rPr>
                <w:sz w:val="20"/>
                <w:szCs w:val="20"/>
                <w:color w:val="auto"/>
              </w:rPr>
            </w:pPr>
            <w:r>
              <w:rPr>
                <w:rFonts w:ascii="Arial" w:cs="Arial" w:eastAsia="Arial" w:hAnsi="Arial"/>
                <w:sz w:val="13"/>
                <w:szCs w:val="13"/>
                <w:color w:val="auto"/>
              </w:rPr>
              <w:t>3.79%</w:t>
            </w:r>
          </w:p>
        </w:tc>
        <w:tc>
          <w:tcPr>
            <w:tcW w:w="40" w:type="dxa"/>
            <w:vAlign w:val="bottom"/>
            <w:tcBorders>
              <w:top w:val="single" w:sz="8" w:color="CCEEFF"/>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ind w:left="740"/>
              <w:spacing w:after="0"/>
              <w:rPr>
                <w:sz w:val="20"/>
                <w:szCs w:val="20"/>
                <w:color w:val="auto"/>
              </w:rPr>
            </w:pPr>
            <w:r>
              <w:rPr>
                <w:rFonts w:ascii="Arial" w:cs="Arial" w:eastAsia="Arial" w:hAnsi="Arial"/>
                <w:sz w:val="13"/>
                <w:szCs w:val="13"/>
                <w:color w:val="auto"/>
              </w:rPr>
              <w:t>3.75%</w:t>
            </w:r>
          </w:p>
        </w:tc>
        <w:tc>
          <w:tcPr>
            <w:tcW w:w="0" w:type="dxa"/>
            <w:vAlign w:val="bottom"/>
          </w:tcPr>
          <w:p>
            <w:pPr>
              <w:spacing w:after="0"/>
              <w:rPr>
                <w:sz w:val="1"/>
                <w:szCs w:val="1"/>
                <w:color w:val="auto"/>
              </w:rPr>
            </w:pPr>
          </w:p>
        </w:tc>
      </w:tr>
      <w:tr>
        <w:trPr>
          <w:trHeight w:val="172"/>
        </w:trPr>
        <w:tc>
          <w:tcPr>
            <w:tcW w:w="2660" w:type="dxa"/>
            <w:vAlign w:val="bottom"/>
          </w:tcPr>
          <w:p>
            <w:pPr>
              <w:ind w:left="40"/>
              <w:spacing w:after="0"/>
              <w:rPr>
                <w:sz w:val="20"/>
                <w:szCs w:val="20"/>
                <w:color w:val="auto"/>
              </w:rPr>
            </w:pPr>
            <w:r>
              <w:rPr>
                <w:rFonts w:ascii="Arial" w:cs="Arial" w:eastAsia="Arial" w:hAnsi="Arial"/>
                <w:sz w:val="13"/>
                <w:szCs w:val="13"/>
                <w:color w:val="auto"/>
              </w:rPr>
              <w:t>Short-term variable-rate unsecured senior</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660" w:type="dxa"/>
            <w:vAlign w:val="bottom"/>
          </w:tcPr>
          <w:p>
            <w:pPr>
              <w:ind w:left="160"/>
              <w:spacing w:after="0" w:line="129" w:lineRule="exact"/>
              <w:rPr>
                <w:sz w:val="20"/>
                <w:szCs w:val="20"/>
                <w:color w:val="auto"/>
              </w:rPr>
            </w:pPr>
            <w:r>
              <w:rPr>
                <w:rFonts w:ascii="Arial" w:cs="Arial" w:eastAsia="Arial" w:hAnsi="Arial"/>
                <w:sz w:val="13"/>
                <w:szCs w:val="13"/>
                <w:color w:val="auto"/>
              </w:rPr>
              <w:t>line of credit and commercial paper</w:t>
            </w:r>
          </w:p>
        </w:tc>
        <w:tc>
          <w:tcPr>
            <w:tcW w:w="160" w:type="dxa"/>
            <w:vAlign w:val="bottom"/>
          </w:tcPr>
          <w:p>
            <w:pPr>
              <w:spacing w:after="0"/>
              <w:rPr>
                <w:sz w:val="11"/>
                <w:szCs w:val="11"/>
                <w:color w:val="auto"/>
              </w:rPr>
            </w:pPr>
          </w:p>
        </w:tc>
        <w:tc>
          <w:tcPr>
            <w:tcW w:w="1080" w:type="dxa"/>
            <w:vAlign w:val="bottom"/>
            <w:vMerge w:val="restart"/>
          </w:tcPr>
          <w:p>
            <w:pPr>
              <w:jc w:val="right"/>
              <w:spacing w:after="0"/>
              <w:rPr>
                <w:sz w:val="20"/>
                <w:szCs w:val="20"/>
                <w:color w:val="auto"/>
              </w:rPr>
            </w:pPr>
            <w:r>
              <w:rPr>
                <w:rFonts w:ascii="Arial" w:cs="Arial" w:eastAsia="Arial" w:hAnsi="Arial"/>
                <w:sz w:val="13"/>
                <w:szCs w:val="13"/>
                <w:color w:val="auto"/>
              </w:rPr>
              <w:t>335,917</w:t>
            </w: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433,681</w:t>
            </w:r>
          </w:p>
        </w:tc>
        <w:tc>
          <w:tcPr>
            <w:tcW w:w="140" w:type="dxa"/>
            <w:vAlign w:val="bottom"/>
          </w:tcPr>
          <w:p>
            <w:pPr>
              <w:spacing w:after="0"/>
              <w:rPr>
                <w:sz w:val="11"/>
                <w:szCs w:val="11"/>
                <w:color w:val="auto"/>
              </w:rPr>
            </w:pPr>
          </w:p>
        </w:tc>
        <w:tc>
          <w:tcPr>
            <w:tcW w:w="1240" w:type="dxa"/>
            <w:vAlign w:val="bottom"/>
            <w:vMerge w:val="restart"/>
          </w:tcPr>
          <w:p>
            <w:pPr>
              <w:ind w:left="820"/>
              <w:spacing w:after="0"/>
              <w:rPr>
                <w:sz w:val="20"/>
                <w:szCs w:val="20"/>
                <w:color w:val="auto"/>
              </w:rPr>
            </w:pPr>
            <w:r>
              <w:rPr>
                <w:rFonts w:ascii="Arial" w:cs="Arial" w:eastAsia="Arial" w:hAnsi="Arial"/>
                <w:sz w:val="13"/>
                <w:szCs w:val="13"/>
                <w:color w:val="auto"/>
              </w:rPr>
              <w:t>5.56</w:t>
            </w:r>
          </w:p>
        </w:tc>
        <w:tc>
          <w:tcPr>
            <w:tcW w:w="40" w:type="dxa"/>
            <w:vAlign w:val="bottom"/>
          </w:tcPr>
          <w:p>
            <w:pPr>
              <w:spacing w:after="0"/>
              <w:rPr>
                <w:sz w:val="11"/>
                <w:szCs w:val="11"/>
                <w:color w:val="auto"/>
              </w:rPr>
            </w:pPr>
          </w:p>
        </w:tc>
        <w:tc>
          <w:tcPr>
            <w:tcW w:w="1160" w:type="dxa"/>
            <w:vAlign w:val="bottom"/>
            <w:vMerge w:val="restart"/>
          </w:tcPr>
          <w:p>
            <w:pPr>
              <w:ind w:left="740"/>
              <w:spacing w:after="0"/>
              <w:rPr>
                <w:sz w:val="20"/>
                <w:szCs w:val="20"/>
                <w:color w:val="auto"/>
              </w:rPr>
            </w:pPr>
            <w:r>
              <w:rPr>
                <w:rFonts w:ascii="Arial" w:cs="Arial" w:eastAsia="Arial" w:hAnsi="Arial"/>
                <w:sz w:val="13"/>
                <w:szCs w:val="13"/>
                <w:color w:val="auto"/>
              </w:rPr>
              <w:t>5.61</w:t>
            </w:r>
          </w:p>
        </w:tc>
        <w:tc>
          <w:tcPr>
            <w:tcW w:w="0" w:type="dxa"/>
            <w:vAlign w:val="bottom"/>
          </w:tcPr>
          <w:p>
            <w:pPr>
              <w:spacing w:after="0"/>
              <w:rPr>
                <w:sz w:val="1"/>
                <w:szCs w:val="1"/>
                <w:color w:val="auto"/>
              </w:rPr>
            </w:pPr>
          </w:p>
        </w:tc>
      </w:tr>
      <w:tr>
        <w:trPr>
          <w:trHeight w:val="161"/>
        </w:trPr>
        <w:tc>
          <w:tcPr>
            <w:tcW w:w="2660" w:type="dxa"/>
            <w:vAlign w:val="bottom"/>
            <w:tcBorders>
              <w:bottom w:val="single" w:sz="8" w:color="CCEEFF"/>
            </w:tcBorders>
          </w:tcPr>
          <w:p>
            <w:pPr>
              <w:ind w:left="160"/>
              <w:spacing w:after="0"/>
              <w:rPr>
                <w:sz w:val="20"/>
                <w:szCs w:val="20"/>
                <w:color w:val="auto"/>
              </w:rPr>
            </w:pPr>
            <w:r>
              <w:rPr>
                <w:rFonts w:ascii="Arial" w:cs="Arial" w:eastAsia="Arial" w:hAnsi="Arial"/>
                <w:sz w:val="13"/>
                <w:szCs w:val="13"/>
                <w:color w:val="auto"/>
              </w:rPr>
              <w:t>program debt</w:t>
            </w:r>
          </w:p>
        </w:tc>
        <w:tc>
          <w:tcPr>
            <w:tcW w:w="1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vMerge w:val="continue"/>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vMerge w:val="continue"/>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1240" w:type="dxa"/>
            <w:vAlign w:val="bottom"/>
            <w:tcBorders>
              <w:bottom w:val="single" w:sz="8" w:color="auto"/>
            </w:tcBorders>
            <w:vMerge w:val="continue"/>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11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660" w:type="dxa"/>
            <w:vAlign w:val="bottom"/>
            <w:shd w:val="clear" w:color="auto" w:fill="CCEEFF"/>
          </w:tcPr>
          <w:p>
            <w:pPr>
              <w:ind w:left="200"/>
              <w:spacing w:after="0"/>
              <w:rPr>
                <w:sz w:val="20"/>
                <w:szCs w:val="20"/>
                <w:color w:val="auto"/>
              </w:rPr>
            </w:pPr>
            <w:r>
              <w:rPr>
                <w:rFonts w:ascii="Arial" w:cs="Arial" w:eastAsia="Arial" w:hAnsi="Arial"/>
                <w:sz w:val="13"/>
                <w:szCs w:val="13"/>
                <w:color w:val="auto"/>
              </w:rPr>
              <w:t>Blended average interest rate</w:t>
            </w: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12,507,550</w:t>
            </w:r>
          </w:p>
        </w:tc>
        <w:tc>
          <w:tcPr>
            <w:tcW w:w="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12,360,999</w:t>
            </w: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ind w:left="820"/>
              <w:spacing w:after="0"/>
              <w:rPr>
                <w:sz w:val="20"/>
                <w:szCs w:val="20"/>
                <w:color w:val="auto"/>
              </w:rPr>
            </w:pPr>
            <w:r>
              <w:rPr>
                <w:rFonts w:ascii="Arial" w:cs="Arial" w:eastAsia="Arial" w:hAnsi="Arial"/>
                <w:sz w:val="13"/>
                <w:szCs w:val="13"/>
                <w:color w:val="auto"/>
              </w:rPr>
              <w:t>3.84</w:t>
            </w:r>
          </w:p>
        </w:tc>
        <w:tc>
          <w:tcPr>
            <w:tcW w:w="40" w:type="dxa"/>
            <w:vAlign w:val="bottom"/>
            <w:shd w:val="clear" w:color="auto" w:fill="CCEEFF"/>
          </w:tcPr>
          <w:p>
            <w:pPr>
              <w:spacing w:after="0"/>
              <w:rPr>
                <w:sz w:val="16"/>
                <w:szCs w:val="16"/>
                <w:color w:val="auto"/>
              </w:rPr>
            </w:pPr>
          </w:p>
        </w:tc>
        <w:tc>
          <w:tcPr>
            <w:tcW w:w="1160" w:type="dxa"/>
            <w:vAlign w:val="bottom"/>
            <w:shd w:val="clear" w:color="auto" w:fill="CCEEFF"/>
          </w:tcPr>
          <w:p>
            <w:pPr>
              <w:ind w:left="740"/>
              <w:spacing w:after="0"/>
              <w:rPr>
                <w:sz w:val="20"/>
                <w:szCs w:val="20"/>
                <w:color w:val="auto"/>
              </w:rPr>
            </w:pPr>
            <w:r>
              <w:rPr>
                <w:rFonts w:ascii="Arial" w:cs="Arial" w:eastAsia="Arial" w:hAnsi="Arial"/>
                <w:sz w:val="13"/>
                <w:szCs w:val="13"/>
                <w:color w:val="auto"/>
              </w:rPr>
              <w:t>3.82</w:t>
            </w:r>
          </w:p>
        </w:tc>
        <w:tc>
          <w:tcPr>
            <w:tcW w:w="0" w:type="dxa"/>
            <w:vAlign w:val="bottom"/>
          </w:tcPr>
          <w:p>
            <w:pPr>
              <w:spacing w:after="0"/>
              <w:rPr>
                <w:sz w:val="1"/>
                <w:szCs w:val="1"/>
                <w:color w:val="auto"/>
              </w:rPr>
            </w:pPr>
          </w:p>
        </w:tc>
      </w:tr>
      <w:tr>
        <w:trPr>
          <w:trHeight w:val="172"/>
        </w:trPr>
        <w:tc>
          <w:tcPr>
            <w:tcW w:w="2660" w:type="dxa"/>
            <w:vAlign w:val="bottom"/>
          </w:tcPr>
          <w:p>
            <w:pPr>
              <w:ind w:left="40"/>
              <w:spacing w:after="0"/>
              <w:rPr>
                <w:sz w:val="20"/>
                <w:szCs w:val="20"/>
                <w:color w:val="auto"/>
              </w:rPr>
            </w:pPr>
            <w:r>
              <w:rPr>
                <w:rFonts w:ascii="Arial" w:cs="Arial" w:eastAsia="Arial" w:hAnsi="Arial"/>
                <w:sz w:val="13"/>
                <w:szCs w:val="13"/>
                <w:color w:val="auto"/>
              </w:rPr>
              <w:t>Loan fee amortization and annual facility fee</w:t>
            </w:r>
          </w:p>
        </w:tc>
        <w:tc>
          <w:tcPr>
            <w:tcW w:w="160" w:type="dxa"/>
            <w:vAlign w:val="bottom"/>
          </w:tcPr>
          <w:p>
            <w:pPr>
              <w:spacing w:after="0"/>
              <w:rPr>
                <w:sz w:val="14"/>
                <w:szCs w:val="14"/>
                <w:color w:val="auto"/>
              </w:rPr>
            </w:pPr>
          </w:p>
        </w:tc>
        <w:tc>
          <w:tcPr>
            <w:tcW w:w="1120" w:type="dxa"/>
            <w:vAlign w:val="bottom"/>
            <w:gridSpan w:val="2"/>
            <w:vMerge w:val="restart"/>
          </w:tcPr>
          <w:p>
            <w:pPr>
              <w:ind w:left="860"/>
              <w:spacing w:after="0"/>
              <w:rPr>
                <w:sz w:val="20"/>
                <w:szCs w:val="20"/>
                <w:color w:val="auto"/>
              </w:rPr>
            </w:pPr>
            <w:r>
              <w:rPr>
                <w:rFonts w:ascii="Arial" w:cs="Arial" w:eastAsia="Arial" w:hAnsi="Arial"/>
                <w:sz w:val="13"/>
                <w:szCs w:val="13"/>
                <w:color w:val="auto"/>
              </w:rPr>
              <w:t>N/A</w:t>
            </w:r>
          </w:p>
        </w:tc>
        <w:tc>
          <w:tcPr>
            <w:tcW w:w="400" w:type="dxa"/>
            <w:vAlign w:val="bottom"/>
          </w:tcPr>
          <w:p>
            <w:pPr>
              <w:spacing w:after="0"/>
              <w:rPr>
                <w:sz w:val="14"/>
                <w:szCs w:val="14"/>
                <w:color w:val="auto"/>
              </w:rPr>
            </w:pPr>
          </w:p>
        </w:tc>
        <w:tc>
          <w:tcPr>
            <w:tcW w:w="900" w:type="dxa"/>
            <w:vAlign w:val="bottom"/>
            <w:gridSpan w:val="2"/>
            <w:vMerge w:val="restart"/>
          </w:tcPr>
          <w:p>
            <w:pPr>
              <w:ind w:left="540"/>
              <w:spacing w:after="0"/>
              <w:rPr>
                <w:sz w:val="20"/>
                <w:szCs w:val="20"/>
                <w:color w:val="auto"/>
              </w:rPr>
            </w:pPr>
            <w:r>
              <w:rPr>
                <w:rFonts w:ascii="Arial" w:cs="Arial" w:eastAsia="Arial" w:hAnsi="Arial"/>
                <w:sz w:val="13"/>
                <w:szCs w:val="13"/>
                <w:color w:val="auto"/>
              </w:rPr>
              <w:t>N/A</w:t>
            </w:r>
          </w:p>
        </w:tc>
        <w:tc>
          <w:tcPr>
            <w:tcW w:w="1240" w:type="dxa"/>
            <w:vAlign w:val="bottom"/>
            <w:vMerge w:val="restart"/>
          </w:tcPr>
          <w:p>
            <w:pPr>
              <w:ind w:left="820"/>
              <w:spacing w:after="0"/>
              <w:rPr>
                <w:sz w:val="20"/>
                <w:szCs w:val="20"/>
                <w:color w:val="auto"/>
              </w:rPr>
            </w:pPr>
            <w:r>
              <w:rPr>
                <w:rFonts w:ascii="Arial" w:cs="Arial" w:eastAsia="Arial" w:hAnsi="Arial"/>
                <w:sz w:val="13"/>
                <w:szCs w:val="13"/>
                <w:color w:val="auto"/>
              </w:rPr>
              <w:t>0.12</w:t>
            </w:r>
          </w:p>
        </w:tc>
        <w:tc>
          <w:tcPr>
            <w:tcW w:w="40" w:type="dxa"/>
            <w:vAlign w:val="bottom"/>
          </w:tcPr>
          <w:p>
            <w:pPr>
              <w:spacing w:after="0"/>
              <w:rPr>
                <w:sz w:val="14"/>
                <w:szCs w:val="14"/>
                <w:color w:val="auto"/>
              </w:rPr>
            </w:pPr>
          </w:p>
        </w:tc>
        <w:tc>
          <w:tcPr>
            <w:tcW w:w="1160" w:type="dxa"/>
            <w:vAlign w:val="bottom"/>
            <w:vMerge w:val="restart"/>
          </w:tcPr>
          <w:p>
            <w:pPr>
              <w:ind w:left="740"/>
              <w:spacing w:after="0"/>
              <w:rPr>
                <w:sz w:val="20"/>
                <w:szCs w:val="20"/>
                <w:color w:val="auto"/>
              </w:rPr>
            </w:pPr>
            <w:r>
              <w:rPr>
                <w:rFonts w:ascii="Arial" w:cs="Arial" w:eastAsia="Arial" w:hAnsi="Arial"/>
                <w:sz w:val="13"/>
                <w:szCs w:val="13"/>
                <w:color w:val="auto"/>
              </w:rPr>
              <w:t>0.12</w:t>
            </w:r>
          </w:p>
        </w:tc>
        <w:tc>
          <w:tcPr>
            <w:tcW w:w="0" w:type="dxa"/>
            <w:vAlign w:val="bottom"/>
          </w:tcPr>
          <w:p>
            <w:pPr>
              <w:spacing w:after="0"/>
              <w:rPr>
                <w:sz w:val="1"/>
                <w:szCs w:val="1"/>
                <w:color w:val="auto"/>
              </w:rPr>
            </w:pPr>
          </w:p>
        </w:tc>
      </w:tr>
      <w:tr>
        <w:trPr>
          <w:trHeight w:val="161"/>
        </w:trPr>
        <w:tc>
          <w:tcPr>
            <w:tcW w:w="2660" w:type="dxa"/>
            <w:vAlign w:val="bottom"/>
          </w:tcPr>
          <w:p>
            <w:pPr>
              <w:ind w:left="160"/>
              <w:spacing w:after="0"/>
              <w:rPr>
                <w:sz w:val="20"/>
                <w:szCs w:val="20"/>
                <w:color w:val="auto"/>
              </w:rPr>
            </w:pPr>
            <w:r>
              <w:rPr>
                <w:rFonts w:ascii="Arial" w:cs="Arial" w:eastAsia="Arial" w:hAnsi="Arial"/>
                <w:sz w:val="13"/>
                <w:szCs w:val="13"/>
                <w:color w:val="auto"/>
              </w:rPr>
              <w:t>related to unsecured senior line of credit</w:t>
            </w:r>
          </w:p>
        </w:tc>
        <w:tc>
          <w:tcPr>
            <w:tcW w:w="16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40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12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1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66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Arial" w:cs="Arial" w:eastAsia="Arial" w:hAnsi="Arial"/>
                <w:sz w:val="13"/>
                <w:szCs w:val="13"/>
                <w:color w:val="auto"/>
              </w:rPr>
              <w:t>Total/weighted average</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12,507,550</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400" w:type="dxa"/>
            <w:vAlign w:val="bottom"/>
            <w:tcBorders>
              <w:top w:val="single" w:sz="8" w:color="auto"/>
              <w:bottom w:val="single" w:sz="8" w:color="auto"/>
            </w:tcBorders>
            <w:shd w:val="clear" w:color="auto" w:fill="CCEEFF"/>
          </w:tcPr>
          <w:p>
            <w:pPr>
              <w:jc w:val="right"/>
              <w:ind w:right="236"/>
              <w:spacing w:after="0"/>
              <w:rPr>
                <w:sz w:val="20"/>
                <w:szCs w:val="20"/>
                <w:color w:val="auto"/>
              </w:rPr>
            </w:pPr>
            <w:r>
              <w:rPr>
                <w:rFonts w:ascii="Arial" w:cs="Arial" w:eastAsia="Arial" w:hAnsi="Arial"/>
                <w:sz w:val="13"/>
                <w:szCs w:val="13"/>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12,360,999</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1240" w:type="dxa"/>
            <w:vAlign w:val="bottom"/>
            <w:tcBorders>
              <w:top w:val="single" w:sz="8" w:color="auto"/>
              <w:bottom w:val="single" w:sz="8" w:color="auto"/>
            </w:tcBorders>
            <w:shd w:val="clear" w:color="auto" w:fill="CCEEFF"/>
          </w:tcPr>
          <w:p>
            <w:pPr>
              <w:ind w:left="820"/>
              <w:spacing w:after="0"/>
              <w:rPr>
                <w:sz w:val="20"/>
                <w:szCs w:val="20"/>
                <w:color w:val="auto"/>
              </w:rPr>
            </w:pPr>
            <w:r>
              <w:rPr>
                <w:rFonts w:ascii="Arial" w:cs="Arial" w:eastAsia="Arial" w:hAnsi="Arial"/>
                <w:sz w:val="13"/>
                <w:szCs w:val="13"/>
                <w:color w:val="auto"/>
              </w:rPr>
              <w:t>3.96%</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160" w:type="dxa"/>
            <w:vAlign w:val="bottom"/>
            <w:tcBorders>
              <w:top w:val="single" w:sz="8" w:color="auto"/>
              <w:bottom w:val="single" w:sz="8" w:color="auto"/>
            </w:tcBorders>
            <w:shd w:val="clear" w:color="auto" w:fill="CCEEFF"/>
          </w:tcPr>
          <w:p>
            <w:pPr>
              <w:ind w:left="740"/>
              <w:spacing w:after="0"/>
              <w:rPr>
                <w:sz w:val="20"/>
                <w:szCs w:val="20"/>
                <w:color w:val="auto"/>
              </w:rPr>
            </w:pPr>
            <w:r>
              <w:rPr>
                <w:rFonts w:ascii="Arial" w:cs="Arial" w:eastAsia="Arial" w:hAnsi="Arial"/>
                <w:sz w:val="13"/>
                <w:szCs w:val="13"/>
                <w:color w:val="auto"/>
              </w:rPr>
              <w:t>3.94%</w:t>
            </w: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ind w:left="640"/>
        <w:spacing w:after="0"/>
        <w:rPr>
          <w:sz w:val="20"/>
          <w:szCs w:val="20"/>
          <w:color w:val="auto"/>
        </w:rPr>
      </w:pPr>
      <w:r>
        <w:rPr>
          <w:rFonts w:ascii="Arial" w:cs="Arial" w:eastAsia="Arial" w:hAnsi="Arial"/>
          <w:sz w:val="13"/>
          <w:szCs w:val="13"/>
          <w:i w:val="1"/>
          <w:iCs w:val="1"/>
          <w:u w:val="single" w:color="auto"/>
          <w:color w:val="auto"/>
        </w:rPr>
        <w:t>Real estate dispositions, sales of partial interests, and issuances of common equity</w:t>
      </w:r>
    </w:p>
    <w:p>
      <w:pPr>
        <w:spacing w:after="0" w:line="160" w:lineRule="exact"/>
        <w:rPr>
          <w:sz w:val="20"/>
          <w:szCs w:val="20"/>
          <w:color w:val="auto"/>
        </w:rPr>
      </w:pPr>
    </w:p>
    <w:p>
      <w:pPr>
        <w:ind w:left="640" w:right="639" w:firstLine="516"/>
        <w:spacing w:after="0" w:line="252" w:lineRule="auto"/>
        <w:rPr>
          <w:sz w:val="20"/>
          <w:szCs w:val="20"/>
          <w:color w:val="auto"/>
        </w:rPr>
      </w:pPr>
      <w:r>
        <w:rPr>
          <w:rFonts w:ascii="Arial" w:cs="Arial" w:eastAsia="Arial" w:hAnsi="Arial"/>
          <w:sz w:val="13"/>
          <w:szCs w:val="13"/>
          <w:color w:val="auto"/>
        </w:rPr>
        <w:t>We expect to continue to focus on the disciplined execution of select sales of real estate. Future sales will provide an important source of capital to fund a portion of pending and recently completed acquisitions and our highly leased value-creation development and redevelopment projects, and also provide significant capital for growth. In addition, we may also consider additional sales of partial interests in core Class A/A+ properties and/or development projects. For the year ending December 31, 2024, we expect real estate dispositions, sales of partial interests, and issuances of common equity to range from $1.1 billion to $2.1 billion. The amount of asset sales necessary to meet our forecasted sources of capital will vary depending upon the amount of EBITDA associated with the assets sold.</w:t>
      </w:r>
    </w:p>
    <w:p>
      <w:pPr>
        <w:spacing w:after="0" w:line="136" w:lineRule="exact"/>
        <w:rPr>
          <w:sz w:val="20"/>
          <w:szCs w:val="20"/>
          <w:color w:val="auto"/>
        </w:rPr>
      </w:pPr>
    </w:p>
    <w:p>
      <w:pPr>
        <w:ind w:left="640" w:right="839" w:firstLine="516"/>
        <w:spacing w:after="0" w:line="265" w:lineRule="auto"/>
        <w:rPr>
          <w:sz w:val="20"/>
          <w:szCs w:val="20"/>
          <w:color w:val="auto"/>
        </w:rPr>
      </w:pPr>
      <w:r>
        <w:rPr>
          <w:rFonts w:ascii="Arial" w:cs="Arial" w:eastAsia="Arial" w:hAnsi="Arial"/>
          <w:sz w:val="13"/>
          <w:szCs w:val="13"/>
          <w:color w:val="auto"/>
        </w:rPr>
        <w:t>Refer to Note 3 – “Investments in real estate,” Note 4 – “Consolidated and unconsolidated real estate joint ventures,” and Note 13 – “Stockholders’ equity” to our unaudited consolidated financial statements in Item 1 and to “Dispositions and sales of partial interests” in Item 2 for additional information on our real estate dispositions and sales of partial interests.</w:t>
      </w:r>
    </w:p>
    <w:p>
      <w:pPr>
        <w:spacing w:after="0" w:line="117" w:lineRule="exact"/>
        <w:rPr>
          <w:sz w:val="20"/>
          <w:szCs w:val="20"/>
          <w:color w:val="auto"/>
        </w:rPr>
      </w:pPr>
    </w:p>
    <w:p>
      <w:pPr>
        <w:ind w:left="640" w:right="639" w:firstLine="516"/>
        <w:spacing w:after="0" w:line="284" w:lineRule="auto"/>
        <w:rPr>
          <w:sz w:val="20"/>
          <w:szCs w:val="20"/>
          <w:color w:val="auto"/>
        </w:rPr>
      </w:pPr>
      <w:r>
        <w:rPr>
          <w:rFonts w:ascii="Arial" w:cs="Arial" w:eastAsia="Arial" w:hAnsi="Arial"/>
          <w:sz w:val="12"/>
          <w:szCs w:val="12"/>
          <w:color w:val="auto"/>
        </w:rPr>
        <w:t>As a REIT, we are generally subject to a 100% tax on the net income from real estate asset sales that the IRS characterizes as “prohibited transactions.” We do not expect our sales will be categorized as prohibited transactions. However, unless we meet certain “safe harbor” requirements, whether a real estate asset sale is a “prohibited transaction” will be based on the facts and circumstances of the sale. Our real estate asset sales may not always meet such “safe harbor” requirements. Refer to “Item 1A. Risk factors” of our annual report on Form 10-K for the year ended December 31, 2023 for additional information about the “prohibited transaction” tax.</w:t>
      </w:r>
    </w:p>
    <w:p>
      <w:pPr>
        <w:spacing w:after="0" w:line="120" w:lineRule="exact"/>
        <w:rPr>
          <w:sz w:val="20"/>
          <w:szCs w:val="20"/>
          <w:color w:val="auto"/>
        </w:rPr>
      </w:pPr>
    </w:p>
    <w:p>
      <w:pPr>
        <w:ind w:left="640"/>
        <w:spacing w:after="0"/>
        <w:rPr>
          <w:sz w:val="20"/>
          <w:szCs w:val="20"/>
          <w:color w:val="auto"/>
        </w:rPr>
      </w:pPr>
      <w:r>
        <w:rPr>
          <w:rFonts w:ascii="Arial" w:cs="Arial" w:eastAsia="Arial" w:hAnsi="Arial"/>
          <w:sz w:val="13"/>
          <w:szCs w:val="13"/>
          <w:i w:val="1"/>
          <w:iCs w:val="1"/>
          <w:u w:val="single" w:color="auto"/>
          <w:color w:val="auto"/>
        </w:rPr>
        <w:t>Common equity transactions</w:t>
      </w:r>
    </w:p>
    <w:p>
      <w:pPr>
        <w:spacing w:after="0" w:line="171" w:lineRule="exact"/>
        <w:rPr>
          <w:sz w:val="20"/>
          <w:szCs w:val="20"/>
          <w:color w:val="auto"/>
        </w:rPr>
      </w:pPr>
    </w:p>
    <w:p>
      <w:pPr>
        <w:ind w:left="1160"/>
        <w:spacing w:after="0"/>
        <w:rPr>
          <w:sz w:val="20"/>
          <w:szCs w:val="20"/>
          <w:color w:val="auto"/>
        </w:rPr>
      </w:pPr>
      <w:r>
        <w:rPr>
          <w:rFonts w:ascii="Arial" w:cs="Arial" w:eastAsia="Arial" w:hAnsi="Arial"/>
          <w:sz w:val="13"/>
          <w:szCs w:val="13"/>
          <w:color w:val="auto"/>
        </w:rPr>
        <w:t>During the three months ended June 30, 2024, we entered into new forward equity sales agreements aggregating</w:t>
      </w:r>
    </w:p>
    <w:p>
      <w:pPr>
        <w:sectPr>
          <w:pgSz w:w="11900" w:h="16846" w:orient="portrait"/>
          <w:cols w:equalWidth="0" w:num="1">
            <w:col w:w="9019"/>
          </w:cols>
          <w:pgMar w:left="1440" w:top="118" w:right="1440" w:bottom="0" w:gutter="0" w:footer="0" w:header="0"/>
        </w:sectPr>
      </w:pPr>
    </w:p>
    <w:bookmarkStart w:id="61" w:name="page62"/>
    <w:bookmarkEnd w:id="61"/>
    <w:p>
      <w:pPr>
        <w:ind w:left="640" w:right="679"/>
        <w:spacing w:after="0" w:line="244" w:lineRule="auto"/>
        <w:rPr>
          <w:sz w:val="20"/>
          <w:szCs w:val="20"/>
          <w:color w:val="auto"/>
        </w:rPr>
      </w:pPr>
      <w:r>
        <w:rPr>
          <w:rFonts w:ascii="Arial" w:cs="Arial" w:eastAsia="Arial" w:hAnsi="Arial"/>
          <w:sz w:val="12"/>
          <w:szCs w:val="12"/>
          <w:color w:val="auto"/>
        </w:rPr>
        <w:t>$27.8 million to sell 230 thousand shares of common stock under our ATM program at an average price of $122.32 (before underwriting discounts). We expect to settle these forward equity sales agreements in 2024. As of June 30, 2024, the remaining aggregate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-163830</wp:posOffset>
            </wp:positionV>
            <wp:extent cx="5584190" cy="273748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584190" cy="2737485"/>
                    </a:xfrm>
                    <a:prstGeom prst="rect">
                      <a:avLst/>
                    </a:prstGeom>
                    <a:noFill/>
                  </pic:spPr>
                </pic:pic>
              </a:graphicData>
            </a:graphic>
          </wp:anchor>
        </w:drawing>
      </w:r>
    </w:p>
    <w:p>
      <w:pPr>
        <w:ind w:left="640"/>
        <w:spacing w:after="0"/>
        <w:rPr>
          <w:sz w:val="20"/>
          <w:szCs w:val="20"/>
          <w:color w:val="auto"/>
        </w:rPr>
      </w:pPr>
      <w:r>
        <w:rPr>
          <w:rFonts w:ascii="Arial" w:cs="Arial" w:eastAsia="Arial" w:hAnsi="Arial"/>
          <w:sz w:val="13"/>
          <w:szCs w:val="13"/>
          <w:color w:val="auto"/>
        </w:rPr>
        <w:t>available under our ATM program for future sales of common stock was $1.47 billion.</w:t>
      </w:r>
    </w:p>
    <w:p>
      <w:pPr>
        <w:spacing w:after="0" w:line="163" w:lineRule="exact"/>
        <w:rPr>
          <w:sz w:val="20"/>
          <w:szCs w:val="20"/>
          <w:color w:val="auto"/>
        </w:rPr>
      </w:pPr>
    </w:p>
    <w:p>
      <w:pPr>
        <w:ind w:left="640"/>
        <w:spacing w:after="0"/>
        <w:rPr>
          <w:sz w:val="20"/>
          <w:szCs w:val="20"/>
          <w:color w:val="auto"/>
        </w:rPr>
      </w:pPr>
      <w:r>
        <w:rPr>
          <w:rFonts w:ascii="Arial" w:cs="Arial" w:eastAsia="Arial" w:hAnsi="Arial"/>
          <w:sz w:val="13"/>
          <w:szCs w:val="13"/>
          <w:i w:val="1"/>
          <w:iCs w:val="1"/>
          <w:u w:val="single" w:color="auto"/>
          <w:color w:val="auto"/>
        </w:rPr>
        <w:t>Other sources</w:t>
      </w:r>
    </w:p>
    <w:p>
      <w:pPr>
        <w:spacing w:after="0" w:line="160" w:lineRule="exact"/>
        <w:rPr>
          <w:sz w:val="20"/>
          <w:szCs w:val="20"/>
          <w:color w:val="auto"/>
        </w:rPr>
      </w:pPr>
    </w:p>
    <w:p>
      <w:pPr>
        <w:ind w:left="640" w:right="679" w:firstLine="516"/>
        <w:spacing w:after="0" w:line="289" w:lineRule="auto"/>
        <w:rPr>
          <w:sz w:val="20"/>
          <w:szCs w:val="20"/>
          <w:color w:val="auto"/>
        </w:rPr>
      </w:pPr>
      <w:r>
        <w:rPr>
          <w:rFonts w:ascii="Arial" w:cs="Arial" w:eastAsia="Arial" w:hAnsi="Arial"/>
          <w:sz w:val="13"/>
          <w:szCs w:val="13"/>
          <w:color w:val="auto"/>
        </w:rPr>
        <w:t>As a well-known seasoned issuer, we may, from time to time, issue securities at our discretion based on our needs and market conditions, including, as necessary, to balance our use of incremental debt capital.</w:t>
      </w:r>
    </w:p>
    <w:p>
      <w:pPr>
        <w:spacing w:after="0" w:line="102" w:lineRule="exact"/>
        <w:rPr>
          <w:sz w:val="20"/>
          <w:szCs w:val="20"/>
          <w:color w:val="auto"/>
        </w:rPr>
      </w:pPr>
    </w:p>
    <w:p>
      <w:pPr>
        <w:ind w:left="640" w:right="839" w:firstLine="516"/>
        <w:spacing w:after="0" w:line="254" w:lineRule="auto"/>
        <w:rPr>
          <w:sz w:val="20"/>
          <w:szCs w:val="20"/>
          <w:color w:val="auto"/>
        </w:rPr>
      </w:pPr>
      <w:r>
        <w:rPr>
          <w:rFonts w:ascii="Arial" w:cs="Arial" w:eastAsia="Arial" w:hAnsi="Arial"/>
          <w:sz w:val="13"/>
          <w:szCs w:val="13"/>
          <w:color w:val="auto"/>
        </w:rPr>
        <w:t>Additionally, we, together with joint venture partners, hold interests in real estate joint ventures that we consolidate in our financial statements. These existing joint ventures provide significant equity capital to fund a portion of our future construction spend, and our joint venture partners may also contribute equity into these entities for financing-related activities. From July 1, 2024 through December 31, 2027, we expect to receive capital contributions aggregating $1.1 billion from existing consolidated real estate joint venture partners to fund construction. During the year ending December 31, 2024, contributions from noncontrolling interests from existing joint venture partners are expected to aggregate $430.0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188595</wp:posOffset>
            </wp:positionV>
            <wp:extent cx="5584190" cy="722058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40"/>
        <w:spacing w:after="0"/>
        <w:rPr>
          <w:sz w:val="20"/>
          <w:szCs w:val="20"/>
          <w:color w:val="auto"/>
        </w:rPr>
      </w:pPr>
      <w:r>
        <w:rPr>
          <w:rFonts w:ascii="Arial" w:cs="Arial" w:eastAsia="Arial" w:hAnsi="Arial"/>
          <w:sz w:val="13"/>
          <w:szCs w:val="13"/>
          <w:u w:val="single" w:color="auto"/>
          <w:color w:val="auto"/>
        </w:rPr>
        <w:t>Uses of capital</w:t>
      </w:r>
    </w:p>
    <w:p>
      <w:pPr>
        <w:spacing w:after="0" w:line="164" w:lineRule="exact"/>
        <w:rPr>
          <w:sz w:val="20"/>
          <w:szCs w:val="20"/>
          <w:color w:val="auto"/>
        </w:rPr>
      </w:pPr>
    </w:p>
    <w:p>
      <w:pPr>
        <w:ind w:left="640"/>
        <w:spacing w:after="0"/>
        <w:rPr>
          <w:sz w:val="20"/>
          <w:szCs w:val="20"/>
          <w:color w:val="auto"/>
        </w:rPr>
      </w:pPr>
      <w:r>
        <w:rPr>
          <w:rFonts w:ascii="Arial" w:cs="Arial" w:eastAsia="Arial" w:hAnsi="Arial"/>
          <w:sz w:val="13"/>
          <w:szCs w:val="13"/>
          <w:i w:val="1"/>
          <w:iCs w:val="1"/>
          <w:u w:val="single" w:color="auto"/>
          <w:color w:val="auto"/>
        </w:rPr>
        <w:t>Summary of capital expenditures</w:t>
      </w:r>
    </w:p>
    <w:p>
      <w:pPr>
        <w:spacing w:after="0" w:line="160" w:lineRule="exact"/>
        <w:rPr>
          <w:sz w:val="20"/>
          <w:szCs w:val="20"/>
          <w:color w:val="auto"/>
        </w:rPr>
      </w:pPr>
    </w:p>
    <w:p>
      <w:pPr>
        <w:ind w:left="640" w:right="659" w:firstLine="516"/>
        <w:spacing w:after="0" w:line="251" w:lineRule="auto"/>
        <w:rPr>
          <w:sz w:val="20"/>
          <w:szCs w:val="20"/>
          <w:color w:val="auto"/>
        </w:rPr>
      </w:pPr>
      <w:r>
        <w:rPr>
          <w:rFonts w:ascii="Arial" w:cs="Arial" w:eastAsia="Arial" w:hAnsi="Arial"/>
          <w:sz w:val="13"/>
          <w:szCs w:val="13"/>
          <w:color w:val="auto"/>
        </w:rPr>
        <w:t>One of our primary uses of capital relates to the development, redevelopment, pre-construction, and construction of properties. We currently have projects in our value-creation pipeline aggregating 5.3 million RSF of Class A/A+ properties undergoing construction and one committed near-term project expected to commence construction in the next two years, and 2.4 million RSF of priority anticipated development and redevelopment projects. We incur capitalized construction costs related to development, redevelopment, pre-construction, and other construction activities. We also incur additional capitalized project costs, including interest, property taxes, insurance, and other costs directly related and essential to the development, redevelopment, pre-construction, or construction of a project, during periods when activities necessary to prepare an asset for its intended use are in progress. Refer to “New Class A/A+ development and redevelopment properties: current projects” and “Summary of capital expenditures” in Item 2 for more information on our capital expenditures.</w:t>
      </w:r>
    </w:p>
    <w:p>
      <w:pPr>
        <w:spacing w:after="0" w:line="139" w:lineRule="exact"/>
        <w:rPr>
          <w:sz w:val="20"/>
          <w:szCs w:val="20"/>
          <w:color w:val="auto"/>
        </w:rPr>
      </w:pPr>
    </w:p>
    <w:p>
      <w:pPr>
        <w:ind w:left="640" w:right="679" w:firstLine="516"/>
        <w:spacing w:after="0" w:line="252" w:lineRule="auto"/>
        <w:rPr>
          <w:sz w:val="20"/>
          <w:szCs w:val="20"/>
          <w:color w:val="auto"/>
        </w:rPr>
      </w:pPr>
      <w:r>
        <w:rPr>
          <w:rFonts w:ascii="Arial" w:cs="Arial" w:eastAsia="Arial" w:hAnsi="Arial"/>
          <w:sz w:val="13"/>
          <w:szCs w:val="13"/>
          <w:color w:val="auto"/>
        </w:rPr>
        <w:t>We capitalize interest cost as a cost of the project only during the period in which activities necessary to prepare an asset for its intended use are ongoing, provided that expenditures for the asset have been made and interest cost has been incurred. Capitalized interest for the six months ended June 30, 2024 and 2023 of $162.9 million and $178.7 million, respectively, was classified in investments in real estate in our consolidated balance sheets. The decrease in capitalized interest was related to a lower weighted-average capitalized cost basis of $8.0 billion for the six months ended June 30, 2024, as compared to $9.4 billion for the six months ended June 30, 2023, partially offset by an increase in weighted-average interest rate used to capitalize interest to 3.94% for the six months ended June 30, 2024 from 3.73% for the six months ended June 30, 2023.</w:t>
      </w:r>
    </w:p>
    <w:p>
      <w:pPr>
        <w:spacing w:after="0" w:line="136" w:lineRule="exact"/>
        <w:rPr>
          <w:sz w:val="20"/>
          <w:szCs w:val="20"/>
          <w:color w:val="auto"/>
        </w:rPr>
      </w:pPr>
    </w:p>
    <w:p>
      <w:pPr>
        <w:ind w:left="640" w:right="719" w:firstLine="516"/>
        <w:spacing w:after="0" w:line="254" w:lineRule="auto"/>
        <w:rPr>
          <w:sz w:val="20"/>
          <w:szCs w:val="20"/>
          <w:color w:val="auto"/>
        </w:rPr>
      </w:pPr>
      <w:r>
        <w:rPr>
          <w:rFonts w:ascii="Arial" w:cs="Arial" w:eastAsia="Arial" w:hAnsi="Arial"/>
          <w:sz w:val="13"/>
          <w:szCs w:val="13"/>
          <w:color w:val="auto"/>
        </w:rPr>
        <w:t>Property taxes, insurance on real estate, and indirect project costs, such as construction, administration, legal fees, and office costs that clearly relate to projects under development or construction, are capitalized as incurred during the period an asset is undergoing activities to prepare it for its intended use. We capitalized payroll and other indirect costs related to development, redevelopment, pre-construction, and construction projects, aggregating $52.1 million and $50.3 million, and property taxes, insurance on real estate, and indirect project costs aggregating $63.0 million and $63.0 million during the six months ended June 30, 2024 and 2023, respectively.</w:t>
      </w:r>
    </w:p>
    <w:p>
      <w:pPr>
        <w:spacing w:after="0" w:line="135" w:lineRule="exact"/>
        <w:rPr>
          <w:sz w:val="20"/>
          <w:szCs w:val="20"/>
          <w:color w:val="auto"/>
        </w:rPr>
      </w:pPr>
    </w:p>
    <w:p>
      <w:pPr>
        <w:ind w:left="640" w:right="679" w:firstLine="516"/>
        <w:spacing w:after="0" w:line="250" w:lineRule="auto"/>
        <w:rPr>
          <w:sz w:val="20"/>
          <w:szCs w:val="20"/>
          <w:color w:val="auto"/>
        </w:rPr>
      </w:pPr>
      <w:r>
        <w:rPr>
          <w:rFonts w:ascii="Arial" w:cs="Arial" w:eastAsia="Arial" w:hAnsi="Arial"/>
          <w:sz w:val="13"/>
          <w:szCs w:val="13"/>
          <w:color w:val="auto"/>
        </w:rPr>
        <w:t>Our capitalized costs for the six months ended June 30, 2024, compared to the same period in 2023, were consistent primarily due to relative consistency in the size of our value-creation pipeline during these periods. Pre-construction activities include entitlements, permitting, design, site work, and other activities preceding commencement of construction of aboveground building improvements. The advancement of pre-construction efforts is focused on reducing the time required to deliver projects to prospective tenants. These critical activities add significant value for future ground-up development and are required for the vertical construction of buildings. Should we cease activities necessary to prepare an asset for its intended use, the interest, taxes, insurance, and certain other direct and indirect project costs related to the asset would be expensed as incurred. Expenditures for repairs and maintenance are expensed as incurred.</w:t>
      </w:r>
    </w:p>
    <w:p>
      <w:pPr>
        <w:spacing w:after="0" w:line="140" w:lineRule="exact"/>
        <w:rPr>
          <w:sz w:val="20"/>
          <w:szCs w:val="20"/>
          <w:color w:val="auto"/>
        </w:rPr>
      </w:pPr>
    </w:p>
    <w:p>
      <w:pPr>
        <w:ind w:left="640" w:right="679" w:firstLine="516"/>
        <w:spacing w:after="0" w:line="257" w:lineRule="auto"/>
        <w:rPr>
          <w:sz w:val="20"/>
          <w:szCs w:val="20"/>
          <w:color w:val="auto"/>
        </w:rPr>
      </w:pPr>
      <w:r>
        <w:rPr>
          <w:rFonts w:ascii="Arial" w:cs="Arial" w:eastAsia="Arial" w:hAnsi="Arial"/>
          <w:sz w:val="13"/>
          <w:szCs w:val="13"/>
          <w:color w:val="auto"/>
        </w:rPr>
        <w:t>Fluctuations in our development, redevelopment, and construction activities could result in significant changes to total expenses and net income. For example, had we experienced a 10% reduction in development, redevelopment, and construction activities without a corresponding decrease in indirect project costs, including interest and payroll, total expenses would have increased by approximately $27.8 million for the six months ended June 30, 2024.</w:t>
      </w:r>
    </w:p>
    <w:p>
      <w:pPr>
        <w:spacing w:after="0" w:line="133" w:lineRule="exact"/>
        <w:rPr>
          <w:sz w:val="20"/>
          <w:szCs w:val="20"/>
          <w:color w:val="auto"/>
        </w:rPr>
      </w:pPr>
    </w:p>
    <w:p>
      <w:pPr>
        <w:ind w:left="640" w:right="659" w:firstLine="516"/>
        <w:spacing w:after="0" w:line="254" w:lineRule="auto"/>
        <w:rPr>
          <w:sz w:val="20"/>
          <w:szCs w:val="20"/>
          <w:color w:val="auto"/>
        </w:rPr>
      </w:pPr>
      <w:r>
        <w:rPr>
          <w:rFonts w:ascii="Arial" w:cs="Arial" w:eastAsia="Arial" w:hAnsi="Arial"/>
          <w:sz w:val="13"/>
          <w:szCs w:val="13"/>
          <w:color w:val="auto"/>
        </w:rPr>
        <w:t>We use third-party brokers to assist in our leasing activity, who are paid on a contingent basis upon successful leasing. We are required to capitalize initial direct costs related to successful leasing transactions that result directly from and are essential to the lease transaction and would not have been incurred had that lease transaction not been successfully executed. During the six months ended June 30, 2024, we capitalized total initial direct leasing costs of $47.0 million. Costs that we incur to negotiate or arrange a lease regardless of its outcome, such as fixed employee compensation, tax, or legal advice to negotiate lease terms, and other costs, are expensed as incurred.</w:t>
      </w:r>
    </w:p>
    <w:p>
      <w:pPr>
        <w:spacing w:after="0" w:line="137" w:lineRule="exact"/>
        <w:rPr>
          <w:sz w:val="20"/>
          <w:szCs w:val="20"/>
          <w:color w:val="auto"/>
        </w:rPr>
      </w:pPr>
    </w:p>
    <w:p>
      <w:pPr>
        <w:ind w:left="640"/>
        <w:spacing w:after="0"/>
        <w:rPr>
          <w:sz w:val="20"/>
          <w:szCs w:val="20"/>
          <w:color w:val="auto"/>
        </w:rPr>
      </w:pPr>
      <w:r>
        <w:rPr>
          <w:rFonts w:ascii="Arial" w:cs="Arial" w:eastAsia="Arial" w:hAnsi="Arial"/>
          <w:sz w:val="13"/>
          <w:szCs w:val="13"/>
          <w:i w:val="1"/>
          <w:iCs w:val="1"/>
          <w:u w:val="single" w:color="auto"/>
          <w:color w:val="auto"/>
        </w:rPr>
        <w:t>Acquisitions</w:t>
      </w:r>
    </w:p>
    <w:p>
      <w:pPr>
        <w:spacing w:after="0" w:line="160" w:lineRule="exact"/>
        <w:rPr>
          <w:sz w:val="20"/>
          <w:szCs w:val="20"/>
          <w:color w:val="auto"/>
        </w:rPr>
      </w:pPr>
    </w:p>
    <w:p>
      <w:pPr>
        <w:ind w:left="640" w:right="659" w:firstLine="516"/>
        <w:spacing w:after="0" w:line="245" w:lineRule="auto"/>
        <w:rPr>
          <w:sz w:val="20"/>
          <w:szCs w:val="20"/>
          <w:color w:val="auto"/>
        </w:rPr>
      </w:pPr>
      <w:r>
        <w:rPr>
          <w:rFonts w:ascii="Arial" w:cs="Arial" w:eastAsia="Arial" w:hAnsi="Arial"/>
          <w:sz w:val="13"/>
          <w:szCs w:val="13"/>
          <w:color w:val="auto"/>
        </w:rPr>
        <w:t>During the six months ended June 30, 2024, the purchase price of our completed acquisitions aggregated $201.8 million. As of June 30, 2024, the total purchase price of our pending acquisitions under executed letters of intent or purchase and sale agreements that are expected to be completed in 2024 aggregated $47.6 million. For the year ending December 31, 2024, we expect real estate acquisitions to range from $250 million to $750 million.</w:t>
      </w:r>
    </w:p>
    <w:p>
      <w:pPr>
        <w:spacing w:after="0" w:line="131" w:lineRule="exact"/>
        <w:rPr>
          <w:sz w:val="20"/>
          <w:szCs w:val="20"/>
          <w:color w:val="auto"/>
        </w:rPr>
      </w:pPr>
    </w:p>
    <w:p>
      <w:pPr>
        <w:ind w:left="640" w:right="819" w:firstLine="516"/>
        <w:spacing w:after="0" w:line="265" w:lineRule="auto"/>
        <w:rPr>
          <w:sz w:val="20"/>
          <w:szCs w:val="20"/>
          <w:color w:val="auto"/>
        </w:rPr>
      </w:pPr>
      <w:r>
        <w:rPr>
          <w:rFonts w:ascii="Arial" w:cs="Arial" w:eastAsia="Arial" w:hAnsi="Arial"/>
          <w:sz w:val="13"/>
          <w:szCs w:val="13"/>
          <w:color w:val="auto"/>
        </w:rPr>
        <w:t>Refer to “Acquisitions” in Note 3 – “Investments in real estate” and to Note 4 – “Consolidated and unconsolidated real estate joint ventures” to our unaudited consolidated financial statements in Item 1, and “Acquisitions” in Item 2 for information on our acquisitions.</w:t>
      </w:r>
    </w:p>
    <w:p>
      <w:pPr>
        <w:sectPr>
          <w:pgSz w:w="11900" w:h="16838" w:orient="portrait"/>
          <w:cols w:equalWidth="0" w:num="1">
            <w:col w:w="9019"/>
          </w:cols>
          <w:pgMar w:left="1440" w:top="118" w:right="1440" w:bottom="56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195580</wp:posOffset>
            </wp:positionV>
            <wp:extent cx="5584190" cy="4324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584190" cy="432435"/>
                    </a:xfrm>
                    <a:prstGeom prst="rect">
                      <a:avLst/>
                    </a:prstGeom>
                    <a:noFill/>
                  </pic:spPr>
                </pic:pic>
              </a:graphicData>
            </a:graphic>
          </wp:anchor>
        </w:drawing>
      </w:r>
    </w:p>
    <w:p>
      <w:pPr>
        <w:sectPr>
          <w:pgSz w:w="11900" w:h="16838" w:orient="portrait"/>
          <w:cols w:equalWidth="0" w:num="1">
            <w:col w:w="9019"/>
          </w:cols>
          <w:pgMar w:left="1440" w:top="118" w:right="1440" w:bottom="563" w:gutter="0" w:footer="0" w:header="0"/>
          <w:type w:val="continuous"/>
        </w:sectPr>
      </w:pPr>
    </w:p>
    <w:bookmarkStart w:id="62" w:name="page63"/>
    <w:bookmarkEnd w:id="62"/>
    <w:p>
      <w:pPr>
        <w:spacing w:after="0" w:line="2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982345</wp:posOffset>
            </wp:positionH>
            <wp:positionV relativeFrom="page">
              <wp:posOffset>88900</wp:posOffset>
            </wp:positionV>
            <wp:extent cx="5584190" cy="678116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584190" cy="6781165"/>
                    </a:xfrm>
                    <a:prstGeom prst="rect">
                      <a:avLst/>
                    </a:prstGeom>
                    <a:noFill/>
                  </pic:spPr>
                </pic:pic>
              </a:graphicData>
            </a:graphic>
          </wp:anchor>
        </w:drawing>
      </w:r>
    </w:p>
    <w:p>
      <w:pPr>
        <w:ind w:left="640"/>
        <w:spacing w:after="0"/>
        <w:rPr>
          <w:sz w:val="20"/>
          <w:szCs w:val="20"/>
          <w:color w:val="auto"/>
        </w:rPr>
      </w:pPr>
      <w:r>
        <w:rPr>
          <w:rFonts w:ascii="Arial" w:cs="Arial" w:eastAsia="Arial" w:hAnsi="Arial"/>
          <w:sz w:val="13"/>
          <w:szCs w:val="13"/>
          <w:i w:val="1"/>
          <w:iCs w:val="1"/>
          <w:u w:val="single" w:color="auto"/>
          <w:color w:val="auto"/>
        </w:rPr>
        <w:t>Dividends</w:t>
      </w:r>
    </w:p>
    <w:p>
      <w:pPr>
        <w:spacing w:after="0" w:line="160" w:lineRule="exact"/>
        <w:rPr>
          <w:sz w:val="20"/>
          <w:szCs w:val="20"/>
          <w:color w:val="auto"/>
        </w:rPr>
      </w:pPr>
    </w:p>
    <w:p>
      <w:pPr>
        <w:ind w:left="640" w:right="719" w:firstLine="516"/>
        <w:spacing w:after="0" w:line="254" w:lineRule="auto"/>
        <w:rPr>
          <w:sz w:val="20"/>
          <w:szCs w:val="20"/>
          <w:color w:val="auto"/>
        </w:rPr>
      </w:pPr>
      <w:r>
        <w:rPr>
          <w:rFonts w:ascii="Arial" w:cs="Arial" w:eastAsia="Arial" w:hAnsi="Arial"/>
          <w:sz w:val="13"/>
          <w:szCs w:val="13"/>
          <w:color w:val="auto"/>
        </w:rPr>
        <w:t>During the six months ended June 30, 2024 and 2023, we paid common stock dividends of $444.0 million and $418.5 million, respectively. The increase of $25.5 million in dividends paid on our common stock during the six months ended June 30, 2024, compared to the six months ended June 30, 2023, was primarily due to an increase in the number of common shares outstanding subsequent to January 1, 2023 as a result of settled forward equity sales agreements, and an increase in the related dividends paid to $2.54 per common share during the six months ended June 30, 2024 from $2.42 per common share during the six months ended June 30, 2023.</w:t>
      </w:r>
    </w:p>
    <w:p>
      <w:pPr>
        <w:spacing w:after="0" w:line="137" w:lineRule="exact"/>
        <w:rPr>
          <w:sz w:val="20"/>
          <w:szCs w:val="20"/>
          <w:color w:val="auto"/>
        </w:rPr>
      </w:pPr>
    </w:p>
    <w:p>
      <w:pPr>
        <w:ind w:left="640"/>
        <w:spacing w:after="0"/>
        <w:rPr>
          <w:sz w:val="20"/>
          <w:szCs w:val="20"/>
          <w:color w:val="auto"/>
        </w:rPr>
      </w:pPr>
      <w:r>
        <w:rPr>
          <w:rFonts w:ascii="Arial" w:cs="Arial" w:eastAsia="Arial" w:hAnsi="Arial"/>
          <w:sz w:val="13"/>
          <w:szCs w:val="13"/>
          <w:i w:val="1"/>
          <w:iCs w:val="1"/>
          <w:u w:val="single" w:color="auto"/>
          <w:color w:val="auto"/>
        </w:rPr>
        <w:t>Secured notes payable</w:t>
      </w:r>
    </w:p>
    <w:p>
      <w:pPr>
        <w:spacing w:after="0" w:line="149" w:lineRule="exact"/>
        <w:rPr>
          <w:sz w:val="20"/>
          <w:szCs w:val="20"/>
          <w:color w:val="auto"/>
        </w:rPr>
      </w:pPr>
    </w:p>
    <w:p>
      <w:pPr>
        <w:jc w:val="both"/>
        <w:ind w:left="640" w:right="859" w:firstLine="516"/>
        <w:spacing w:after="0" w:line="276" w:lineRule="auto"/>
        <w:rPr>
          <w:sz w:val="20"/>
          <w:szCs w:val="20"/>
          <w:color w:val="auto"/>
        </w:rPr>
      </w:pPr>
      <w:r>
        <w:rPr>
          <w:rFonts w:ascii="Arial" w:cs="Arial" w:eastAsia="Arial" w:hAnsi="Arial"/>
          <w:sz w:val="12"/>
          <w:szCs w:val="12"/>
          <w:color w:val="auto"/>
        </w:rPr>
        <w:t>Secured notes payable as of June 30, 2024 consisted of three notes secured by two properties. Our secured notes payable typically require monthly payments of principal and interest and had a weighted-average interest rate of approximately 8.13%. As of June 30, 2024, the total book value of our investments in real estate securing debt was approximately $356.9 million. As of June 30, 2024, our secured notes payable, including unamortized discounts and deferred financing costs, comprised approximately</w:t>
      </w:r>
    </w:p>
    <w:p>
      <w:pPr>
        <w:ind w:left="640"/>
        <w:spacing w:after="0"/>
        <w:rPr>
          <w:sz w:val="20"/>
          <w:szCs w:val="20"/>
          <w:color w:val="auto"/>
        </w:rPr>
      </w:pPr>
      <w:r>
        <w:rPr>
          <w:rFonts w:ascii="Arial" w:cs="Arial" w:eastAsia="Arial" w:hAnsi="Arial"/>
          <w:sz w:val="13"/>
          <w:szCs w:val="13"/>
          <w:color w:val="auto"/>
        </w:rPr>
        <w:t>$619 thousand and $134.3 million of fixed-rate debt and unhedged variable-rate debt, respectively.</w:t>
      </w:r>
    </w:p>
    <w:p>
      <w:pPr>
        <w:spacing w:after="0" w:line="150" w:lineRule="exact"/>
        <w:rPr>
          <w:sz w:val="20"/>
          <w:szCs w:val="20"/>
          <w:color w:val="auto"/>
        </w:rPr>
      </w:pPr>
    </w:p>
    <w:p>
      <w:pPr>
        <w:ind w:left="640" w:right="699" w:firstLine="516"/>
        <w:spacing w:after="0" w:line="253" w:lineRule="auto"/>
        <w:rPr>
          <w:sz w:val="20"/>
          <w:szCs w:val="20"/>
          <w:color w:val="auto"/>
        </w:rPr>
      </w:pPr>
      <w:r>
        <w:rPr>
          <w:rFonts w:ascii="Arial" w:cs="Arial" w:eastAsia="Arial" w:hAnsi="Arial"/>
          <w:sz w:val="13"/>
          <w:szCs w:val="13"/>
          <w:color w:val="auto"/>
        </w:rPr>
        <w:t>As of June 30, 2024, our unconsolidated real estate joint venture, in which we hold a 10% ownership interest, located at 1655 and 1725 Third Street in our Mission Bay submarket, has a $600.0 million secured loan outstanding maturing on March 10, 2025. The unconsolidated real estate joint venture is early in the process of working with prospective lenders to refinance this debt. In the event that all or a portion of the debt cannot be refinanced, we may consider contributing additional equity into this unconsolidated real estate joint venture.</w:t>
      </w:r>
    </w:p>
    <w:p>
      <w:pPr>
        <w:spacing w:after="0" w:line="138" w:lineRule="exact"/>
        <w:rPr>
          <w:sz w:val="20"/>
          <w:szCs w:val="20"/>
          <w:color w:val="auto"/>
        </w:rPr>
      </w:pPr>
    </w:p>
    <w:p>
      <w:pPr>
        <w:ind w:left="640"/>
        <w:spacing w:after="0"/>
        <w:rPr>
          <w:sz w:val="20"/>
          <w:szCs w:val="20"/>
          <w:color w:val="auto"/>
        </w:rPr>
      </w:pPr>
      <w:r>
        <w:rPr>
          <w:rFonts w:ascii="Arial" w:cs="Arial" w:eastAsia="Arial" w:hAnsi="Arial"/>
          <w:sz w:val="13"/>
          <w:szCs w:val="13"/>
          <w:i w:val="1"/>
          <w:iCs w:val="1"/>
          <w:u w:val="single" w:color="auto"/>
          <w:color w:val="auto"/>
        </w:rPr>
        <w:t>Unsecured senior notes payable and unsecured senior line of credit</w:t>
      </w:r>
    </w:p>
    <w:p>
      <w:pPr>
        <w:spacing w:after="0" w:line="171" w:lineRule="exact"/>
        <w:rPr>
          <w:sz w:val="20"/>
          <w:szCs w:val="20"/>
          <w:color w:val="auto"/>
        </w:rPr>
      </w:pPr>
    </w:p>
    <w:p>
      <w:pPr>
        <w:ind w:left="640" w:right="959" w:firstLine="516"/>
        <w:spacing w:after="0" w:line="289" w:lineRule="auto"/>
        <w:rPr>
          <w:sz w:val="20"/>
          <w:szCs w:val="20"/>
          <w:color w:val="auto"/>
        </w:rPr>
      </w:pPr>
      <w:r>
        <w:rPr>
          <w:rFonts w:ascii="Arial" w:cs="Arial" w:eastAsia="Arial" w:hAnsi="Arial"/>
          <w:sz w:val="13"/>
          <w:szCs w:val="13"/>
          <w:color w:val="auto"/>
        </w:rPr>
        <w:t>The requirements of, and our actual performance with respect to, the key financial covenants under our unsecured senior notes payable as of June 30, 2024 were as follows:</w:t>
      </w:r>
    </w:p>
    <w:p>
      <w:pPr>
        <w:spacing w:after="0" w:line="154" w:lineRule="exact"/>
        <w:rPr>
          <w:sz w:val="20"/>
          <w:szCs w:val="20"/>
          <w:color w:val="auto"/>
        </w:rPr>
      </w:pPr>
    </w:p>
    <w:tbl>
      <w:tblPr>
        <w:tblLayout w:type="fixed"/>
        <w:tblInd w:w="640" w:type="dxa"/>
        <w:tblCellMar>
          <w:top w:w="0" w:type="dxa"/>
          <w:left w:w="0" w:type="dxa"/>
          <w:bottom w:w="0" w:type="dxa"/>
          <w:right w:w="0" w:type="dxa"/>
        </w:tblCellMar>
      </w:tblPr>
      <w:tr>
        <w:trPr>
          <w:trHeight w:val="184"/>
        </w:trPr>
        <w:tc>
          <w:tcPr>
            <w:tcW w:w="3860" w:type="dxa"/>
            <w:vAlign w:val="bottom"/>
            <w:tcBorders>
              <w:bottom w:val="single" w:sz="8" w:color="auto"/>
            </w:tcBorders>
          </w:tcPr>
          <w:p>
            <w:pPr>
              <w:ind w:left="1400"/>
              <w:spacing w:after="0"/>
              <w:rPr>
                <w:sz w:val="20"/>
                <w:szCs w:val="20"/>
                <w:color w:val="auto"/>
              </w:rPr>
            </w:pPr>
            <w:r>
              <w:rPr>
                <w:rFonts w:ascii="Arial" w:cs="Arial" w:eastAsia="Arial" w:hAnsi="Arial"/>
                <w:sz w:val="13"/>
                <w:szCs w:val="13"/>
                <w:color w:val="auto"/>
              </w:rPr>
              <w:t>Covenant Ratios</w:t>
            </w:r>
            <w:r>
              <w:rPr>
                <w:rFonts w:ascii="Arial" w:cs="Arial" w:eastAsia="Arial" w:hAnsi="Arial"/>
                <w:sz w:val="16"/>
                <w:szCs w:val="16"/>
                <w:color w:val="auto"/>
                <w:vertAlign w:val="superscript"/>
              </w:rPr>
              <w:t>(1)</w:t>
            </w:r>
          </w:p>
        </w:tc>
        <w:tc>
          <w:tcPr>
            <w:tcW w:w="60" w:type="dxa"/>
            <w:vAlign w:val="bottom"/>
            <w:tcBorders>
              <w:bottom w:val="single" w:sz="8" w:color="CCEEFF"/>
            </w:tcBorders>
          </w:tcPr>
          <w:p>
            <w:pPr>
              <w:spacing w:after="0"/>
              <w:rPr>
                <w:sz w:val="16"/>
                <w:szCs w:val="16"/>
                <w:color w:val="auto"/>
              </w:rPr>
            </w:pPr>
          </w:p>
        </w:tc>
        <w:tc>
          <w:tcPr>
            <w:tcW w:w="2180" w:type="dxa"/>
            <w:vAlign w:val="bottom"/>
            <w:tcBorders>
              <w:bottom w:val="single" w:sz="8" w:color="auto"/>
            </w:tcBorders>
          </w:tcPr>
          <w:p>
            <w:pPr>
              <w:ind w:left="720"/>
              <w:spacing w:after="0"/>
              <w:rPr>
                <w:sz w:val="20"/>
                <w:szCs w:val="20"/>
                <w:color w:val="auto"/>
              </w:rPr>
            </w:pPr>
            <w:r>
              <w:rPr>
                <w:rFonts w:ascii="Arial" w:cs="Arial" w:eastAsia="Arial" w:hAnsi="Arial"/>
                <w:sz w:val="13"/>
                <w:szCs w:val="13"/>
                <w:color w:val="auto"/>
              </w:rPr>
              <w:t>Requirement</w:t>
            </w:r>
          </w:p>
        </w:tc>
        <w:tc>
          <w:tcPr>
            <w:tcW w:w="6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9"/>
              </w:rPr>
              <w:t>June 30, 2024</w:t>
            </w:r>
          </w:p>
        </w:tc>
      </w:tr>
      <w:tr>
        <w:trPr>
          <w:trHeight w:val="195"/>
        </w:trPr>
        <w:tc>
          <w:tcPr>
            <w:tcW w:w="39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Total Debt to Total Assets</w:t>
            </w:r>
          </w:p>
        </w:tc>
        <w:tc>
          <w:tcPr>
            <w:tcW w:w="22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Less than or equal to 60%</w:t>
            </w:r>
          </w:p>
        </w:tc>
        <w:tc>
          <w:tcPr>
            <w:tcW w:w="15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30%</w:t>
            </w:r>
          </w:p>
        </w:tc>
      </w:tr>
      <w:tr>
        <w:trPr>
          <w:trHeight w:val="213"/>
        </w:trPr>
        <w:tc>
          <w:tcPr>
            <w:tcW w:w="3920" w:type="dxa"/>
            <w:vAlign w:val="bottom"/>
            <w:gridSpan w:val="2"/>
          </w:tcPr>
          <w:p>
            <w:pPr>
              <w:ind w:left="40"/>
              <w:spacing w:after="0"/>
              <w:rPr>
                <w:sz w:val="20"/>
                <w:szCs w:val="20"/>
                <w:color w:val="auto"/>
              </w:rPr>
            </w:pPr>
            <w:r>
              <w:rPr>
                <w:rFonts w:ascii="Arial" w:cs="Arial" w:eastAsia="Arial" w:hAnsi="Arial"/>
                <w:sz w:val="13"/>
                <w:szCs w:val="13"/>
                <w:color w:val="auto"/>
              </w:rPr>
              <w:t>Secured Debt to Total Assets</w:t>
            </w:r>
          </w:p>
        </w:tc>
        <w:tc>
          <w:tcPr>
            <w:tcW w:w="2240" w:type="dxa"/>
            <w:vAlign w:val="bottom"/>
            <w:gridSpan w:val="2"/>
          </w:tcPr>
          <w:p>
            <w:pPr>
              <w:ind w:left="40"/>
              <w:spacing w:after="0"/>
              <w:rPr>
                <w:sz w:val="20"/>
                <w:szCs w:val="20"/>
                <w:color w:val="auto"/>
              </w:rPr>
            </w:pPr>
            <w:r>
              <w:rPr>
                <w:rFonts w:ascii="Arial" w:cs="Arial" w:eastAsia="Arial" w:hAnsi="Arial"/>
                <w:sz w:val="13"/>
                <w:szCs w:val="13"/>
                <w:color w:val="auto"/>
              </w:rPr>
              <w:t>Less than or equal to 40%</w:t>
            </w:r>
          </w:p>
        </w:tc>
        <w:tc>
          <w:tcPr>
            <w:tcW w:w="1580" w:type="dxa"/>
            <w:vAlign w:val="bottom"/>
          </w:tcPr>
          <w:p>
            <w:pPr>
              <w:jc w:val="center"/>
              <w:spacing w:after="0"/>
              <w:rPr>
                <w:sz w:val="20"/>
                <w:szCs w:val="20"/>
                <w:color w:val="auto"/>
              </w:rPr>
            </w:pPr>
            <w:r>
              <w:rPr>
                <w:rFonts w:ascii="Arial" w:cs="Arial" w:eastAsia="Arial" w:hAnsi="Arial"/>
                <w:sz w:val="13"/>
                <w:szCs w:val="13"/>
                <w:color w:val="auto"/>
                <w:w w:val="94"/>
              </w:rPr>
              <w:t>0.3%</w:t>
            </w:r>
          </w:p>
        </w:tc>
      </w:tr>
      <w:tr>
        <w:trPr>
          <w:trHeight w:val="216"/>
        </w:trPr>
        <w:tc>
          <w:tcPr>
            <w:tcW w:w="39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Consolidated EBITDA</w:t>
            </w:r>
            <w:r>
              <w:rPr>
                <w:rFonts w:ascii="Arial" w:cs="Arial" w:eastAsia="Arial" w:hAnsi="Arial"/>
                <w:sz w:val="16"/>
                <w:szCs w:val="16"/>
                <w:color w:val="auto"/>
                <w:vertAlign w:val="superscript"/>
              </w:rPr>
              <w:t>(2)</w:t>
            </w:r>
            <w:r>
              <w:rPr>
                <w:rFonts w:ascii="Arial" w:cs="Arial" w:eastAsia="Arial" w:hAnsi="Arial"/>
                <w:sz w:val="13"/>
                <w:szCs w:val="13"/>
                <w:color w:val="auto"/>
              </w:rPr>
              <w:t xml:space="preserve"> to Interest Expense</w:t>
            </w:r>
          </w:p>
        </w:tc>
        <w:tc>
          <w:tcPr>
            <w:tcW w:w="22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Greater than or equal to 1.5x</w:t>
            </w:r>
          </w:p>
        </w:tc>
        <w:tc>
          <w:tcPr>
            <w:tcW w:w="158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13.2x</w:t>
            </w:r>
          </w:p>
        </w:tc>
      </w:tr>
      <w:tr>
        <w:trPr>
          <w:trHeight w:val="212"/>
        </w:trPr>
        <w:tc>
          <w:tcPr>
            <w:tcW w:w="3920" w:type="dxa"/>
            <w:vAlign w:val="bottom"/>
            <w:gridSpan w:val="2"/>
          </w:tcPr>
          <w:p>
            <w:pPr>
              <w:ind w:left="40"/>
              <w:spacing w:after="0"/>
              <w:rPr>
                <w:sz w:val="20"/>
                <w:szCs w:val="20"/>
                <w:color w:val="auto"/>
              </w:rPr>
            </w:pPr>
            <w:r>
              <w:rPr>
                <w:rFonts w:ascii="Arial" w:cs="Arial" w:eastAsia="Arial" w:hAnsi="Arial"/>
                <w:sz w:val="13"/>
                <w:szCs w:val="13"/>
                <w:color w:val="auto"/>
              </w:rPr>
              <w:t>Unencumbered Total Asset Value to Unsecured Debt</w:t>
            </w:r>
          </w:p>
        </w:tc>
        <w:tc>
          <w:tcPr>
            <w:tcW w:w="2240" w:type="dxa"/>
            <w:vAlign w:val="bottom"/>
            <w:gridSpan w:val="2"/>
          </w:tcPr>
          <w:p>
            <w:pPr>
              <w:ind w:left="40"/>
              <w:spacing w:after="0"/>
              <w:rPr>
                <w:sz w:val="20"/>
                <w:szCs w:val="20"/>
                <w:color w:val="auto"/>
              </w:rPr>
            </w:pPr>
            <w:r>
              <w:rPr>
                <w:rFonts w:ascii="Arial" w:cs="Arial" w:eastAsia="Arial" w:hAnsi="Arial"/>
                <w:sz w:val="13"/>
                <w:szCs w:val="13"/>
                <w:color w:val="auto"/>
              </w:rPr>
              <w:t>Greater than or equal to 150%</w:t>
            </w:r>
          </w:p>
        </w:tc>
        <w:tc>
          <w:tcPr>
            <w:tcW w:w="1580" w:type="dxa"/>
            <w:vAlign w:val="bottom"/>
          </w:tcPr>
          <w:p>
            <w:pPr>
              <w:jc w:val="center"/>
              <w:spacing w:after="0"/>
              <w:rPr>
                <w:sz w:val="20"/>
                <w:szCs w:val="20"/>
                <w:color w:val="auto"/>
              </w:rPr>
            </w:pPr>
            <w:r>
              <w:rPr>
                <w:rFonts w:ascii="Arial" w:cs="Arial" w:eastAsia="Arial" w:hAnsi="Arial"/>
                <w:sz w:val="13"/>
                <w:szCs w:val="13"/>
                <w:color w:val="auto"/>
                <w:w w:val="96"/>
              </w:rPr>
              <w:t>328%</w:t>
            </w:r>
          </w:p>
        </w:tc>
      </w:tr>
    </w:tbl>
    <w:p>
      <w:pPr>
        <w:spacing w:after="0" w:line="160" w:lineRule="exact"/>
        <w:rPr>
          <w:sz w:val="20"/>
          <w:szCs w:val="20"/>
          <w:color w:val="auto"/>
        </w:rPr>
      </w:pPr>
    </w:p>
    <w:p>
      <w:pPr>
        <w:ind w:left="900" w:hanging="262"/>
        <w:spacing w:after="0"/>
        <w:tabs>
          <w:tab w:leader="none" w:pos="900" w:val="left"/>
        </w:tabs>
        <w:numPr>
          <w:ilvl w:val="0"/>
          <w:numId w:val="114"/>
        </w:numPr>
        <w:rPr>
          <w:rFonts w:ascii="Arial" w:cs="Arial" w:eastAsia="Arial" w:hAnsi="Arial"/>
          <w:sz w:val="10"/>
          <w:szCs w:val="10"/>
          <w:color w:val="auto"/>
        </w:rPr>
      </w:pPr>
      <w:r>
        <w:rPr>
          <w:rFonts w:ascii="Arial" w:cs="Arial" w:eastAsia="Arial" w:hAnsi="Arial"/>
          <w:sz w:val="10"/>
          <w:szCs w:val="10"/>
          <w:color w:val="auto"/>
        </w:rPr>
        <w:t>All covenant ratio titles utilize terms as defined in the respective debt agreements.</w:t>
      </w:r>
    </w:p>
    <w:p>
      <w:pPr>
        <w:spacing w:after="0" w:line="17" w:lineRule="exact"/>
        <w:rPr>
          <w:rFonts w:ascii="Arial" w:cs="Arial" w:eastAsia="Arial" w:hAnsi="Arial"/>
          <w:sz w:val="10"/>
          <w:szCs w:val="10"/>
          <w:color w:val="auto"/>
        </w:rPr>
      </w:pPr>
    </w:p>
    <w:p>
      <w:pPr>
        <w:ind w:left="900" w:right="819" w:hanging="262"/>
        <w:spacing w:after="0" w:line="275" w:lineRule="auto"/>
        <w:tabs>
          <w:tab w:leader="none" w:pos="900" w:val="left"/>
        </w:tabs>
        <w:numPr>
          <w:ilvl w:val="0"/>
          <w:numId w:val="114"/>
        </w:numPr>
        <w:rPr>
          <w:rFonts w:ascii="Arial" w:cs="Arial" w:eastAsia="Arial" w:hAnsi="Arial"/>
          <w:sz w:val="10"/>
          <w:szCs w:val="10"/>
          <w:color w:val="auto"/>
        </w:rPr>
      </w:pPr>
      <w:r>
        <w:rPr>
          <w:rFonts w:ascii="Arial" w:cs="Arial" w:eastAsia="Arial" w:hAnsi="Arial"/>
          <w:sz w:val="10"/>
          <w:szCs w:val="10"/>
          <w:color w:val="auto"/>
        </w:rPr>
        <w:t>The calculation of consolidated EBITDA is based on the definitions contained in our loan agreements and is not directly comparable to the computation of EBITDA as described in Exchange Act Release No. 47226.</w:t>
      </w:r>
    </w:p>
    <w:p>
      <w:pPr>
        <w:spacing w:after="0" w:line="124" w:lineRule="exact"/>
        <w:rPr>
          <w:sz w:val="20"/>
          <w:szCs w:val="20"/>
          <w:color w:val="auto"/>
        </w:rPr>
      </w:pPr>
    </w:p>
    <w:p>
      <w:pPr>
        <w:jc w:val="both"/>
        <w:ind w:left="640" w:right="699" w:firstLine="516"/>
        <w:spacing w:after="0" w:line="265" w:lineRule="auto"/>
        <w:rPr>
          <w:sz w:val="20"/>
          <w:szCs w:val="20"/>
          <w:color w:val="auto"/>
        </w:rPr>
      </w:pPr>
      <w:r>
        <w:rPr>
          <w:rFonts w:ascii="Arial" w:cs="Arial" w:eastAsia="Arial" w:hAnsi="Arial"/>
          <w:sz w:val="13"/>
          <w:szCs w:val="13"/>
          <w:color w:val="auto"/>
        </w:rPr>
        <w:t>In addition, the terms of the indentures, among other things, limit the ability of the Company, Alexandria Real Estate Equities, L.P., and the Company’s subsidiaries to (i) consummate a merger, or consolidate or sell all or substantially all of the Company’s assets, and (ii) incur certain secured or unsecured indebtedness.</w:t>
      </w:r>
    </w:p>
    <w:p>
      <w:pPr>
        <w:spacing w:after="0" w:line="128" w:lineRule="exact"/>
        <w:rPr>
          <w:sz w:val="20"/>
          <w:szCs w:val="20"/>
          <w:color w:val="auto"/>
        </w:rPr>
      </w:pPr>
    </w:p>
    <w:p>
      <w:pPr>
        <w:ind w:left="640" w:right="739" w:firstLine="516"/>
        <w:spacing w:after="0" w:line="272" w:lineRule="auto"/>
        <w:rPr>
          <w:sz w:val="20"/>
          <w:szCs w:val="20"/>
          <w:color w:val="auto"/>
        </w:rPr>
      </w:pPr>
      <w:r>
        <w:rPr>
          <w:rFonts w:ascii="Arial" w:cs="Arial" w:eastAsia="Arial" w:hAnsi="Arial"/>
          <w:sz w:val="13"/>
          <w:szCs w:val="13"/>
          <w:color w:val="auto"/>
        </w:rPr>
        <w:t>The requirements of, and our actual performance with respect to, the key financial covenants under our unsecured senior line of credit as of June 30, 2024 were as follows:</w:t>
      </w:r>
    </w:p>
    <w:p>
      <w:pPr>
        <w:spacing w:after="0" w:line="100" w:lineRule="exact"/>
        <w:rPr>
          <w:sz w:val="20"/>
          <w:szCs w:val="20"/>
          <w:color w:val="auto"/>
        </w:rPr>
      </w:pPr>
    </w:p>
    <w:tbl>
      <w:tblPr>
        <w:tblLayout w:type="fixed"/>
        <w:tblInd w:w="640" w:type="dxa"/>
        <w:tblCellMar>
          <w:top w:w="0" w:type="dxa"/>
          <w:left w:w="0" w:type="dxa"/>
          <w:bottom w:w="0" w:type="dxa"/>
          <w:right w:w="0" w:type="dxa"/>
        </w:tblCellMar>
      </w:tblPr>
      <w:tr>
        <w:trPr>
          <w:trHeight w:val="184"/>
        </w:trPr>
        <w:tc>
          <w:tcPr>
            <w:tcW w:w="3860" w:type="dxa"/>
            <w:vAlign w:val="bottom"/>
            <w:tcBorders>
              <w:bottom w:val="single" w:sz="8" w:color="auto"/>
            </w:tcBorders>
          </w:tcPr>
          <w:p>
            <w:pPr>
              <w:ind w:left="1400"/>
              <w:spacing w:after="0"/>
              <w:rPr>
                <w:sz w:val="20"/>
                <w:szCs w:val="20"/>
                <w:color w:val="auto"/>
              </w:rPr>
            </w:pPr>
            <w:r>
              <w:rPr>
                <w:rFonts w:ascii="Arial" w:cs="Arial" w:eastAsia="Arial" w:hAnsi="Arial"/>
                <w:sz w:val="13"/>
                <w:szCs w:val="13"/>
                <w:color w:val="auto"/>
              </w:rPr>
              <w:t>Covenant Ratios</w:t>
            </w:r>
            <w:r>
              <w:rPr>
                <w:rFonts w:ascii="Arial" w:cs="Arial" w:eastAsia="Arial" w:hAnsi="Arial"/>
                <w:sz w:val="16"/>
                <w:szCs w:val="16"/>
                <w:color w:val="auto"/>
                <w:vertAlign w:val="superscript"/>
              </w:rPr>
              <w:t>(1)</w:t>
            </w:r>
          </w:p>
        </w:tc>
        <w:tc>
          <w:tcPr>
            <w:tcW w:w="60" w:type="dxa"/>
            <w:vAlign w:val="bottom"/>
            <w:tcBorders>
              <w:bottom w:val="single" w:sz="8" w:color="CCEEFF"/>
            </w:tcBorders>
          </w:tcPr>
          <w:p>
            <w:pPr>
              <w:spacing w:after="0"/>
              <w:rPr>
                <w:sz w:val="16"/>
                <w:szCs w:val="16"/>
                <w:color w:val="auto"/>
              </w:rPr>
            </w:pPr>
          </w:p>
        </w:tc>
        <w:tc>
          <w:tcPr>
            <w:tcW w:w="2180" w:type="dxa"/>
            <w:vAlign w:val="bottom"/>
            <w:tcBorders>
              <w:bottom w:val="single" w:sz="8" w:color="auto"/>
            </w:tcBorders>
          </w:tcPr>
          <w:p>
            <w:pPr>
              <w:ind w:left="720"/>
              <w:spacing w:after="0"/>
              <w:rPr>
                <w:sz w:val="20"/>
                <w:szCs w:val="20"/>
                <w:color w:val="auto"/>
              </w:rPr>
            </w:pPr>
            <w:r>
              <w:rPr>
                <w:rFonts w:ascii="Arial" w:cs="Arial" w:eastAsia="Arial" w:hAnsi="Arial"/>
                <w:sz w:val="13"/>
                <w:szCs w:val="13"/>
                <w:color w:val="auto"/>
              </w:rPr>
              <w:t>Requirement</w:t>
            </w:r>
          </w:p>
        </w:tc>
        <w:tc>
          <w:tcPr>
            <w:tcW w:w="6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color w:val="auto"/>
              </w:rPr>
              <w:t>June 30, 2024</w:t>
            </w:r>
          </w:p>
        </w:tc>
      </w:tr>
      <w:tr>
        <w:trPr>
          <w:trHeight w:val="195"/>
        </w:trPr>
        <w:tc>
          <w:tcPr>
            <w:tcW w:w="39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Leverage Ratio</w:t>
            </w:r>
          </w:p>
        </w:tc>
        <w:tc>
          <w:tcPr>
            <w:tcW w:w="22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Less than or equal to 60.0%</w:t>
            </w:r>
          </w:p>
        </w:tc>
        <w:tc>
          <w:tcPr>
            <w:tcW w:w="1580" w:type="dxa"/>
            <w:vAlign w:val="bottom"/>
            <w:shd w:val="clear" w:color="auto" w:fill="CCEEFF"/>
          </w:tcPr>
          <w:p>
            <w:pPr>
              <w:jc w:val="right"/>
              <w:ind w:right="536"/>
              <w:spacing w:after="0"/>
              <w:rPr>
                <w:sz w:val="20"/>
                <w:szCs w:val="20"/>
                <w:color w:val="auto"/>
              </w:rPr>
            </w:pPr>
            <w:r>
              <w:rPr>
                <w:rFonts w:ascii="Arial" w:cs="Arial" w:eastAsia="Arial" w:hAnsi="Arial"/>
                <w:sz w:val="13"/>
                <w:szCs w:val="13"/>
                <w:color w:val="auto"/>
              </w:rPr>
              <w:t>29.2%</w:t>
            </w:r>
          </w:p>
        </w:tc>
      </w:tr>
      <w:tr>
        <w:trPr>
          <w:trHeight w:val="215"/>
        </w:trPr>
        <w:tc>
          <w:tcPr>
            <w:tcW w:w="3920" w:type="dxa"/>
            <w:vAlign w:val="bottom"/>
            <w:gridSpan w:val="2"/>
          </w:tcPr>
          <w:p>
            <w:pPr>
              <w:ind w:left="40"/>
              <w:spacing w:after="0"/>
              <w:rPr>
                <w:sz w:val="20"/>
                <w:szCs w:val="20"/>
                <w:color w:val="auto"/>
              </w:rPr>
            </w:pPr>
            <w:r>
              <w:rPr>
                <w:rFonts w:ascii="Arial" w:cs="Arial" w:eastAsia="Arial" w:hAnsi="Arial"/>
                <w:sz w:val="13"/>
                <w:szCs w:val="13"/>
                <w:color w:val="auto"/>
              </w:rPr>
              <w:t>Secured Debt Ratio</w:t>
            </w:r>
          </w:p>
        </w:tc>
        <w:tc>
          <w:tcPr>
            <w:tcW w:w="2240" w:type="dxa"/>
            <w:vAlign w:val="bottom"/>
            <w:gridSpan w:val="2"/>
          </w:tcPr>
          <w:p>
            <w:pPr>
              <w:ind w:left="40"/>
              <w:spacing w:after="0"/>
              <w:rPr>
                <w:sz w:val="20"/>
                <w:szCs w:val="20"/>
                <w:color w:val="auto"/>
              </w:rPr>
            </w:pPr>
            <w:r>
              <w:rPr>
                <w:rFonts w:ascii="Arial" w:cs="Arial" w:eastAsia="Arial" w:hAnsi="Arial"/>
                <w:sz w:val="13"/>
                <w:szCs w:val="13"/>
                <w:color w:val="auto"/>
              </w:rPr>
              <w:t>Less than or equal to 45.0%</w:t>
            </w:r>
          </w:p>
        </w:tc>
        <w:tc>
          <w:tcPr>
            <w:tcW w:w="1580" w:type="dxa"/>
            <w:vAlign w:val="bottom"/>
          </w:tcPr>
          <w:p>
            <w:pPr>
              <w:jc w:val="right"/>
              <w:ind w:right="576"/>
              <w:spacing w:after="0"/>
              <w:rPr>
                <w:sz w:val="20"/>
                <w:szCs w:val="20"/>
                <w:color w:val="auto"/>
              </w:rPr>
            </w:pPr>
            <w:r>
              <w:rPr>
                <w:rFonts w:ascii="Arial" w:cs="Arial" w:eastAsia="Arial" w:hAnsi="Arial"/>
                <w:sz w:val="13"/>
                <w:szCs w:val="13"/>
                <w:color w:val="auto"/>
              </w:rPr>
              <w:t>0.2%</w:t>
            </w:r>
          </w:p>
        </w:tc>
      </w:tr>
      <w:tr>
        <w:trPr>
          <w:trHeight w:val="215"/>
        </w:trPr>
        <w:tc>
          <w:tcPr>
            <w:tcW w:w="39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Fixed-Charge Coverage Ratio</w:t>
            </w:r>
          </w:p>
        </w:tc>
        <w:tc>
          <w:tcPr>
            <w:tcW w:w="22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Greater than or equal to 1.50x</w:t>
            </w:r>
          </w:p>
        </w:tc>
        <w:tc>
          <w:tcPr>
            <w:tcW w:w="1580" w:type="dxa"/>
            <w:vAlign w:val="bottom"/>
            <w:shd w:val="clear" w:color="auto" w:fill="CCEEFF"/>
          </w:tcPr>
          <w:p>
            <w:pPr>
              <w:jc w:val="right"/>
              <w:ind w:right="576"/>
              <w:spacing w:after="0"/>
              <w:rPr>
                <w:sz w:val="20"/>
                <w:szCs w:val="20"/>
                <w:color w:val="auto"/>
              </w:rPr>
            </w:pPr>
            <w:r>
              <w:rPr>
                <w:rFonts w:ascii="Arial" w:cs="Arial" w:eastAsia="Arial" w:hAnsi="Arial"/>
                <w:sz w:val="13"/>
                <w:szCs w:val="13"/>
                <w:color w:val="auto"/>
              </w:rPr>
              <w:t>4.01x</w:t>
            </w:r>
          </w:p>
        </w:tc>
      </w:tr>
      <w:tr>
        <w:trPr>
          <w:trHeight w:val="223"/>
        </w:trPr>
        <w:tc>
          <w:tcPr>
            <w:tcW w:w="3920" w:type="dxa"/>
            <w:vAlign w:val="bottom"/>
            <w:gridSpan w:val="2"/>
          </w:tcPr>
          <w:p>
            <w:pPr>
              <w:ind w:left="40"/>
              <w:spacing w:after="0"/>
              <w:rPr>
                <w:sz w:val="20"/>
                <w:szCs w:val="20"/>
                <w:color w:val="auto"/>
              </w:rPr>
            </w:pPr>
            <w:r>
              <w:rPr>
                <w:rFonts w:ascii="Arial" w:cs="Arial" w:eastAsia="Arial" w:hAnsi="Arial"/>
                <w:sz w:val="13"/>
                <w:szCs w:val="13"/>
                <w:color w:val="auto"/>
              </w:rPr>
              <w:t>Unsecured Interest Coverage Ratio</w:t>
            </w:r>
          </w:p>
        </w:tc>
        <w:tc>
          <w:tcPr>
            <w:tcW w:w="2240" w:type="dxa"/>
            <w:vAlign w:val="bottom"/>
            <w:gridSpan w:val="2"/>
          </w:tcPr>
          <w:p>
            <w:pPr>
              <w:ind w:left="40"/>
              <w:spacing w:after="0"/>
              <w:rPr>
                <w:sz w:val="20"/>
                <w:szCs w:val="20"/>
                <w:color w:val="auto"/>
              </w:rPr>
            </w:pPr>
            <w:r>
              <w:rPr>
                <w:rFonts w:ascii="Arial" w:cs="Arial" w:eastAsia="Arial" w:hAnsi="Arial"/>
                <w:sz w:val="13"/>
                <w:szCs w:val="13"/>
                <w:color w:val="auto"/>
              </w:rPr>
              <w:t>Greater than or equal to 1.75x</w:t>
            </w:r>
          </w:p>
        </w:tc>
        <w:tc>
          <w:tcPr>
            <w:tcW w:w="1580" w:type="dxa"/>
            <w:vAlign w:val="bottom"/>
          </w:tcPr>
          <w:p>
            <w:pPr>
              <w:jc w:val="right"/>
              <w:ind w:right="536"/>
              <w:spacing w:after="0"/>
              <w:rPr>
                <w:sz w:val="20"/>
                <w:szCs w:val="20"/>
                <w:color w:val="auto"/>
              </w:rPr>
            </w:pPr>
            <w:r>
              <w:rPr>
                <w:rFonts w:ascii="Arial" w:cs="Arial" w:eastAsia="Arial" w:hAnsi="Arial"/>
                <w:sz w:val="13"/>
                <w:szCs w:val="13"/>
                <w:color w:val="auto"/>
              </w:rPr>
              <w:t>15.84x</w:t>
            </w:r>
          </w:p>
        </w:tc>
      </w:tr>
    </w:tbl>
    <w:p>
      <w:pPr>
        <w:spacing w:after="0" w:line="53" w:lineRule="exact"/>
        <w:rPr>
          <w:sz w:val="20"/>
          <w:szCs w:val="20"/>
          <w:color w:val="auto"/>
        </w:rPr>
      </w:pPr>
    </w:p>
    <w:p>
      <w:pPr>
        <w:ind w:left="900" w:hanging="262"/>
        <w:spacing w:after="0"/>
        <w:tabs>
          <w:tab w:leader="none" w:pos="900" w:val="left"/>
        </w:tabs>
        <w:numPr>
          <w:ilvl w:val="0"/>
          <w:numId w:val="115"/>
        </w:numPr>
        <w:rPr>
          <w:rFonts w:ascii="Arial" w:cs="Arial" w:eastAsia="Arial" w:hAnsi="Arial"/>
          <w:sz w:val="10"/>
          <w:szCs w:val="10"/>
          <w:color w:val="auto"/>
        </w:rPr>
      </w:pPr>
      <w:r>
        <w:rPr>
          <w:rFonts w:ascii="Arial" w:cs="Arial" w:eastAsia="Arial" w:hAnsi="Arial"/>
          <w:sz w:val="10"/>
          <w:szCs w:val="10"/>
          <w:color w:val="auto"/>
        </w:rPr>
        <w:t>All covenant ratio titles utilize terms as defined in the credit agreement.</w:t>
      </w:r>
    </w:p>
    <w:p>
      <w:pPr>
        <w:spacing w:after="0" w:line="267" w:lineRule="exact"/>
        <w:rPr>
          <w:sz w:val="20"/>
          <w:szCs w:val="20"/>
          <w:color w:val="auto"/>
        </w:rPr>
      </w:pPr>
    </w:p>
    <w:p>
      <w:pPr>
        <w:ind w:left="640"/>
        <w:spacing w:after="0"/>
        <w:rPr>
          <w:sz w:val="20"/>
          <w:szCs w:val="20"/>
          <w:color w:val="auto"/>
        </w:rPr>
      </w:pPr>
      <w:r>
        <w:rPr>
          <w:rFonts w:ascii="Arial" w:cs="Arial" w:eastAsia="Arial" w:hAnsi="Arial"/>
          <w:sz w:val="13"/>
          <w:szCs w:val="13"/>
          <w:i w:val="1"/>
          <w:iCs w:val="1"/>
          <w:u w:val="single" w:color="auto"/>
          <w:color w:val="auto"/>
        </w:rPr>
        <w:t>Estimated interest payments</w:t>
      </w:r>
    </w:p>
    <w:p>
      <w:pPr>
        <w:spacing w:after="0" w:line="160" w:lineRule="exact"/>
        <w:rPr>
          <w:sz w:val="20"/>
          <w:szCs w:val="20"/>
          <w:color w:val="auto"/>
        </w:rPr>
      </w:pPr>
    </w:p>
    <w:p>
      <w:pPr>
        <w:ind w:left="640" w:right="879" w:firstLine="516"/>
        <w:spacing w:after="0" w:line="257" w:lineRule="auto"/>
        <w:rPr>
          <w:sz w:val="20"/>
          <w:szCs w:val="20"/>
          <w:color w:val="auto"/>
        </w:rPr>
      </w:pPr>
      <w:r>
        <w:rPr>
          <w:rFonts w:ascii="Arial" w:cs="Arial" w:eastAsia="Arial" w:hAnsi="Arial"/>
          <w:sz w:val="13"/>
          <w:szCs w:val="13"/>
          <w:color w:val="auto"/>
        </w:rPr>
        <w:t>Estimated interest payments on our fixed-rate debt are calculated based upon contractual interest rates, including interest payment dates and scheduled maturity dates. As of June 30, 2024, 97.3% of our debt was fixed-rate debt. For additional information regarding our debt, refer to Note 10 – “Secured and unsecured senior debt” to our unaudited consolidated financial statements in Item 1.</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188595</wp:posOffset>
            </wp:positionV>
            <wp:extent cx="5584190" cy="367157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584190" cy="3671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40"/>
        <w:spacing w:after="0"/>
        <w:rPr>
          <w:sz w:val="20"/>
          <w:szCs w:val="20"/>
          <w:color w:val="auto"/>
        </w:rPr>
      </w:pPr>
      <w:r>
        <w:rPr>
          <w:rFonts w:ascii="Arial" w:cs="Arial" w:eastAsia="Arial" w:hAnsi="Arial"/>
          <w:sz w:val="13"/>
          <w:szCs w:val="13"/>
          <w:i w:val="1"/>
          <w:iCs w:val="1"/>
          <w:u w:val="single" w:color="auto"/>
          <w:color w:val="auto"/>
        </w:rPr>
        <w:t>Ground lease obligations</w:t>
      </w:r>
    </w:p>
    <w:p>
      <w:pPr>
        <w:spacing w:after="0" w:line="160" w:lineRule="exact"/>
        <w:rPr>
          <w:sz w:val="20"/>
          <w:szCs w:val="20"/>
          <w:color w:val="auto"/>
        </w:rPr>
      </w:pPr>
    </w:p>
    <w:p>
      <w:pPr>
        <w:ind w:left="640" w:right="739" w:firstLine="516"/>
        <w:spacing w:after="0" w:line="272" w:lineRule="auto"/>
        <w:rPr>
          <w:sz w:val="20"/>
          <w:szCs w:val="20"/>
          <w:color w:val="auto"/>
        </w:rPr>
      </w:pPr>
      <w:r>
        <w:rPr>
          <w:rFonts w:ascii="Arial" w:cs="Arial" w:eastAsia="Arial" w:hAnsi="Arial"/>
          <w:sz w:val="13"/>
          <w:szCs w:val="13"/>
          <w:color w:val="auto"/>
        </w:rPr>
        <w:t>Ground lease obligations as of June 30, 2024 included leases for 36 of our properties and accounted for approximately 9% of our total number of properties.</w:t>
      </w:r>
    </w:p>
    <w:p>
      <w:pPr>
        <w:spacing w:after="0" w:line="123" w:lineRule="exact"/>
        <w:rPr>
          <w:sz w:val="20"/>
          <w:szCs w:val="20"/>
          <w:color w:val="auto"/>
        </w:rPr>
      </w:pPr>
    </w:p>
    <w:p>
      <w:pPr>
        <w:ind w:left="640" w:right="839" w:firstLine="516"/>
        <w:spacing w:after="0" w:line="265" w:lineRule="auto"/>
        <w:rPr>
          <w:sz w:val="20"/>
          <w:szCs w:val="20"/>
          <w:color w:val="auto"/>
        </w:rPr>
      </w:pPr>
      <w:r>
        <w:rPr>
          <w:rFonts w:ascii="Arial" w:cs="Arial" w:eastAsia="Arial" w:hAnsi="Arial"/>
          <w:sz w:val="13"/>
          <w:szCs w:val="13"/>
          <w:color w:val="auto"/>
        </w:rPr>
        <w:t>Among these 36 properties, 17 properties are subject to ground leases with a weighted-average remaining lease term of 42 years, including extension options that we are reasonably certain to exercise. These leases are with a single lessor in our Greater Stanford submarket, with whom we have extended three ground leases over the past 10 years.</w:t>
      </w:r>
    </w:p>
    <w:p>
      <w:pPr>
        <w:spacing w:after="0" w:line="128" w:lineRule="exact"/>
        <w:rPr>
          <w:sz w:val="20"/>
          <w:szCs w:val="20"/>
          <w:color w:val="auto"/>
        </w:rPr>
      </w:pPr>
    </w:p>
    <w:p>
      <w:pPr>
        <w:ind w:left="640" w:right="699" w:firstLine="516"/>
        <w:spacing w:after="0" w:line="256" w:lineRule="auto"/>
        <w:rPr>
          <w:sz w:val="20"/>
          <w:szCs w:val="20"/>
          <w:color w:val="auto"/>
        </w:rPr>
      </w:pPr>
      <w:r>
        <w:rPr>
          <w:rFonts w:ascii="Arial" w:cs="Arial" w:eastAsia="Arial" w:hAnsi="Arial"/>
          <w:sz w:val="13"/>
          <w:szCs w:val="13"/>
          <w:color w:val="auto"/>
        </w:rPr>
        <w:t>Our remaining 19 properties subject to ground leases are located across multiple submarkets and have remaining lease terms ranging from approximately 41 to 98 years. The weighted-average remaining lease term of these ground leases is 69 years, including extension options that we are reasonably certain to exercise.</w:t>
      </w:r>
    </w:p>
    <w:p>
      <w:pPr>
        <w:spacing w:after="0" w:line="134" w:lineRule="exact"/>
        <w:rPr>
          <w:sz w:val="20"/>
          <w:szCs w:val="20"/>
          <w:color w:val="auto"/>
        </w:rPr>
      </w:pPr>
    </w:p>
    <w:p>
      <w:pPr>
        <w:ind w:left="640" w:right="859" w:firstLine="516"/>
        <w:spacing w:after="0" w:line="265" w:lineRule="auto"/>
        <w:rPr>
          <w:sz w:val="20"/>
          <w:szCs w:val="20"/>
          <w:color w:val="auto"/>
        </w:rPr>
      </w:pPr>
      <w:r>
        <w:rPr>
          <w:rFonts w:ascii="Arial" w:cs="Arial" w:eastAsia="Arial" w:hAnsi="Arial"/>
          <w:sz w:val="13"/>
          <w:szCs w:val="13"/>
          <w:color w:val="auto"/>
        </w:rPr>
        <w:t>In many cases, we seek to extend our ground leases well ahead of their scheduled contractual expirations. If we are successful in extending ground leases, we could see significant up-front or increased recurring future payments to the ground lessor and/or increased ground lease expense, which may require us to increase our capital funding needs.</w:t>
      </w:r>
    </w:p>
    <w:p>
      <w:pPr>
        <w:spacing w:after="0" w:line="130" w:lineRule="exact"/>
        <w:rPr>
          <w:sz w:val="20"/>
          <w:szCs w:val="20"/>
          <w:color w:val="auto"/>
        </w:rPr>
      </w:pPr>
    </w:p>
    <w:p>
      <w:pPr>
        <w:ind w:left="640"/>
        <w:spacing w:after="0"/>
        <w:rPr>
          <w:sz w:val="20"/>
          <w:szCs w:val="20"/>
          <w:color w:val="auto"/>
        </w:rPr>
      </w:pPr>
      <w:r>
        <w:rPr>
          <w:rFonts w:ascii="Arial" w:cs="Arial" w:eastAsia="Arial" w:hAnsi="Arial"/>
          <w:sz w:val="13"/>
          <w:szCs w:val="13"/>
          <w:i w:val="1"/>
          <w:iCs w:val="1"/>
          <w:u w:val="single" w:color="auto"/>
          <w:color w:val="auto"/>
        </w:rPr>
        <w:t>Operating lease agreements</w:t>
      </w:r>
    </w:p>
    <w:p>
      <w:pPr>
        <w:spacing w:after="0" w:line="160" w:lineRule="exact"/>
        <w:rPr>
          <w:sz w:val="20"/>
          <w:szCs w:val="20"/>
          <w:color w:val="auto"/>
        </w:rPr>
      </w:pPr>
    </w:p>
    <w:p>
      <w:pPr>
        <w:ind w:left="640" w:right="639" w:firstLine="516"/>
        <w:spacing w:after="0" w:line="272" w:lineRule="auto"/>
        <w:rPr>
          <w:sz w:val="20"/>
          <w:szCs w:val="20"/>
          <w:color w:val="auto"/>
        </w:rPr>
      </w:pPr>
      <w:r>
        <w:rPr>
          <w:rFonts w:ascii="Arial" w:cs="Arial" w:eastAsia="Arial" w:hAnsi="Arial"/>
          <w:sz w:val="12"/>
          <w:szCs w:val="12"/>
          <w:color w:val="auto"/>
        </w:rPr>
        <w:t>As of June 30, 2024, the remaining contractual payments under ground and office lease agreements in which we are the lessee aggregated $811.0 million and $26.1 million, respectively. We are required to recognize a right-of-use asset and a related liability to account for our future obligations under operating lease arrangements in which we are the lessee. The operating lease liability is measured based on the present value of the remaining lease payments, including payments during the term under our extension options that we are reasonably certain to exercise. The right-of-use asset is equal to the corresponding operating lease liability, adjusted for the initial direct leasing cost and any other consideration exchanged with the landlord prior to the commencement of the lease, as well as adjustments to reflect favorable or unfavorable terms of an acquired lease when compared with market terms at the time of acquisition. As of June 30, 2024, the present value of the remaining contractual payments aggregating $837.1 million under our operating lease agreements, including our extension options that we are reasonably certain to exercise, was $379.2 million, which was classified in accounts payable, accrued expenses, and other liabilities in our consolidated balance sheets. As of June 30, 2024, the weighted-average remaining lease term of operating leases in which we are the lessee was approximately 41 years, including extension options that we are reasonably certain to exercise, and the weighted-average discount rate was 4.6%. Our corresponding operating lease right-of-use assets, adjusted for initial direct leasing costs and other consideration exchanged with the landlord prior to the</w:t>
      </w:r>
    </w:p>
    <w:p>
      <w:pPr>
        <w:sectPr>
          <w:pgSz w:w="11900" w:h="16861" w:orient="portrait"/>
          <w:cols w:equalWidth="0" w:num="1">
            <w:col w:w="9019"/>
          </w:cols>
          <w:pgMar w:left="1440" w:top="217" w:right="1440" w:bottom="0" w:gutter="0" w:footer="0" w:header="0"/>
        </w:sectPr>
      </w:pPr>
    </w:p>
    <w:bookmarkStart w:id="63" w:name="page64"/>
    <w:bookmarkEnd w:id="63"/>
    <w:p>
      <w:pPr>
        <w:ind w:left="640" w:right="759"/>
        <w:spacing w:after="0" w:line="231" w:lineRule="auto"/>
        <w:rPr>
          <w:sz w:val="20"/>
          <w:szCs w:val="20"/>
          <w:color w:val="auto"/>
        </w:rPr>
      </w:pPr>
      <w:r>
        <w:rPr>
          <w:rFonts w:ascii="Arial" w:cs="Arial" w:eastAsia="Arial" w:hAnsi="Arial"/>
          <w:sz w:val="12"/>
          <w:szCs w:val="12"/>
          <w:color w:val="auto"/>
        </w:rPr>
        <w:t>commencement of the lease, aggregated $510.1 million. We classify the right-of-use asset in other assets in our consolidated balance sheets. Refer to “Lease accounting” in Note 2 – “Summary of significant accounting policies” to our unaudited consolidated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-154305</wp:posOffset>
            </wp:positionV>
            <wp:extent cx="5584190" cy="354203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584190" cy="3542030"/>
                    </a:xfrm>
                    <a:prstGeom prst="rect">
                      <a:avLst/>
                    </a:prstGeom>
                    <a:noFill/>
                  </pic:spPr>
                </pic:pic>
              </a:graphicData>
            </a:graphic>
          </wp:anchor>
        </w:drawing>
      </w:r>
    </w:p>
    <w:p>
      <w:pPr>
        <w:ind w:left="640"/>
        <w:spacing w:after="0"/>
        <w:rPr>
          <w:sz w:val="20"/>
          <w:szCs w:val="20"/>
          <w:color w:val="auto"/>
        </w:rPr>
      </w:pPr>
      <w:r>
        <w:rPr>
          <w:rFonts w:ascii="Arial" w:cs="Arial" w:eastAsia="Arial" w:hAnsi="Arial"/>
          <w:sz w:val="13"/>
          <w:szCs w:val="13"/>
          <w:color w:val="auto"/>
        </w:rPr>
        <w:t>statements in Item 1 for additional information.</w:t>
      </w:r>
    </w:p>
    <w:p>
      <w:pPr>
        <w:spacing w:after="0" w:line="135" w:lineRule="exact"/>
        <w:rPr>
          <w:sz w:val="20"/>
          <w:szCs w:val="20"/>
          <w:color w:val="auto"/>
        </w:rPr>
      </w:pPr>
    </w:p>
    <w:p>
      <w:pPr>
        <w:ind w:left="1160"/>
        <w:spacing w:after="0"/>
        <w:rPr>
          <w:sz w:val="20"/>
          <w:szCs w:val="20"/>
          <w:color w:val="auto"/>
        </w:rPr>
      </w:pPr>
      <w:r>
        <w:rPr>
          <w:rFonts w:ascii="Arial" w:cs="Arial" w:eastAsia="Arial" w:hAnsi="Arial"/>
          <w:sz w:val="12"/>
          <w:szCs w:val="12"/>
          <w:color w:val="auto"/>
        </w:rPr>
        <w:t>In July 2024, we executed an amendment to our existing ground lease agreement at the Alexandria Technology Square</w:t>
      </w:r>
      <w:r>
        <w:rPr>
          <w:rFonts w:ascii="Arial" w:cs="Arial" w:eastAsia="Arial" w:hAnsi="Arial"/>
          <w:sz w:val="15"/>
          <w:szCs w:val="15"/>
          <w:color w:val="auto"/>
          <w:vertAlign w:val="superscript"/>
        </w:rPr>
        <w:t>®</w:t>
      </w:r>
      <w:r>
        <w:rPr>
          <w:rFonts w:ascii="Arial" w:cs="Arial" w:eastAsia="Arial" w:hAnsi="Arial"/>
          <w:sz w:val="12"/>
          <w:szCs w:val="12"/>
          <w:color w:val="auto"/>
        </w:rPr>
        <w:t xml:space="preserve"> mega</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3"/>
          <w:szCs w:val="13"/>
          <w:color w:val="auto"/>
        </w:rPr>
        <w:t>campus aggregating 1.2 million RSF in our Cambridge submarket to extend the term by 24 years from January 1, 2065 to</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12"/>
          <w:szCs w:val="12"/>
          <w:color w:val="auto"/>
        </w:rPr>
        <w:t>December 31, 2088. The amendment requires that we prepay our entire rent obligation for the extended lease term aggregating $270.0</w:t>
      </w:r>
    </w:p>
    <w:p>
      <w:pPr>
        <w:spacing w:after="0" w:line="19" w:lineRule="exact"/>
        <w:rPr>
          <w:sz w:val="20"/>
          <w:szCs w:val="20"/>
          <w:color w:val="auto"/>
        </w:rPr>
      </w:pPr>
    </w:p>
    <w:p>
      <w:pPr>
        <w:ind w:left="640"/>
        <w:spacing w:after="0"/>
        <w:rPr>
          <w:sz w:val="20"/>
          <w:szCs w:val="20"/>
          <w:color w:val="auto"/>
        </w:rPr>
      </w:pPr>
      <w:r>
        <w:rPr>
          <w:rFonts w:ascii="Arial" w:cs="Arial" w:eastAsia="Arial" w:hAnsi="Arial"/>
          <w:sz w:val="13"/>
          <w:szCs w:val="13"/>
          <w:color w:val="auto"/>
        </w:rPr>
        <w:t>million in two equal installments during the fourth quarter of 2024 and the first quarter of 2025. This amount will be amortized on a</w:t>
      </w:r>
    </w:p>
    <w:p>
      <w:pPr>
        <w:spacing w:after="0" w:line="5" w:lineRule="exact"/>
        <w:rPr>
          <w:sz w:val="20"/>
          <w:szCs w:val="20"/>
          <w:color w:val="auto"/>
        </w:rPr>
      </w:pPr>
    </w:p>
    <w:p>
      <w:pPr>
        <w:ind w:left="640"/>
        <w:spacing w:after="0"/>
        <w:rPr>
          <w:sz w:val="20"/>
          <w:szCs w:val="20"/>
          <w:color w:val="auto"/>
        </w:rPr>
      </w:pPr>
      <w:r>
        <w:rPr>
          <w:rFonts w:ascii="Arial" w:cs="Arial" w:eastAsia="Arial" w:hAnsi="Arial"/>
          <w:sz w:val="13"/>
          <w:szCs w:val="13"/>
          <w:color w:val="auto"/>
        </w:rPr>
        <w:t>straight-line basis over the remaining lease term from July 2024 through December 2088, and the amended operating lease will result</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13"/>
          <w:szCs w:val="13"/>
          <w:color w:val="auto"/>
        </w:rPr>
        <w:t>in an incremental annual rent expense of approximately $3.6 million.</w:t>
      </w:r>
    </w:p>
    <w:p>
      <w:pPr>
        <w:spacing w:after="0" w:line="141" w:lineRule="exact"/>
        <w:rPr>
          <w:sz w:val="20"/>
          <w:szCs w:val="20"/>
          <w:color w:val="auto"/>
        </w:rPr>
      </w:pPr>
    </w:p>
    <w:p>
      <w:pPr>
        <w:ind w:left="640" w:right="699" w:firstLine="516"/>
        <w:spacing w:after="0" w:line="243" w:lineRule="auto"/>
        <w:rPr>
          <w:sz w:val="20"/>
          <w:szCs w:val="20"/>
          <w:color w:val="auto"/>
        </w:rPr>
      </w:pPr>
      <w:r>
        <w:rPr>
          <w:rFonts w:ascii="Arial" w:cs="Arial" w:eastAsia="Arial" w:hAnsi="Arial"/>
          <w:sz w:val="13"/>
          <w:szCs w:val="13"/>
          <w:color w:val="auto"/>
        </w:rPr>
        <w:t>Alexandria Technology Square</w:t>
      </w:r>
      <w:r>
        <w:rPr>
          <w:rFonts w:ascii="Arial" w:cs="Arial" w:eastAsia="Arial" w:hAnsi="Arial"/>
          <w:sz w:val="16"/>
          <w:szCs w:val="16"/>
          <w:color w:val="auto"/>
          <w:vertAlign w:val="superscript"/>
        </w:rPr>
        <w:t>®</w:t>
      </w:r>
      <w:r>
        <w:rPr>
          <w:rFonts w:ascii="Arial" w:cs="Arial" w:eastAsia="Arial" w:hAnsi="Arial"/>
          <w:sz w:val="13"/>
          <w:szCs w:val="13"/>
          <w:color w:val="auto"/>
        </w:rPr>
        <w:t xml:space="preserve"> is a foundational mega campus in the heart of the global life science ecosystem in Cambridge and is the Greater Boston base of operations of key strategic tenants such as Novartis AG, GlaxoSmithKline plc, Massachusetts Institute of Technology, and Mass General Brigham. Securing this ground lease through December 2088 significantly enhances the long-term value of our investment in this critical mega campus.</w:t>
      </w:r>
    </w:p>
    <w:p>
      <w:pPr>
        <w:spacing w:after="0" w:line="144" w:lineRule="exact"/>
        <w:rPr>
          <w:sz w:val="20"/>
          <w:szCs w:val="20"/>
          <w:color w:val="auto"/>
        </w:rPr>
      </w:pPr>
    </w:p>
    <w:p>
      <w:pPr>
        <w:ind w:left="640"/>
        <w:spacing w:after="0"/>
        <w:rPr>
          <w:sz w:val="20"/>
          <w:szCs w:val="20"/>
          <w:color w:val="auto"/>
        </w:rPr>
      </w:pPr>
      <w:r>
        <w:rPr>
          <w:rFonts w:ascii="Arial" w:cs="Arial" w:eastAsia="Arial" w:hAnsi="Arial"/>
          <w:sz w:val="13"/>
          <w:szCs w:val="13"/>
          <w:i w:val="1"/>
          <w:iCs w:val="1"/>
          <w:u w:val="single" w:color="auto"/>
          <w:color w:val="auto"/>
        </w:rPr>
        <w:t>Commitments</w:t>
      </w:r>
    </w:p>
    <w:p>
      <w:pPr>
        <w:spacing w:after="0" w:line="160" w:lineRule="exact"/>
        <w:rPr>
          <w:sz w:val="20"/>
          <w:szCs w:val="20"/>
          <w:color w:val="auto"/>
        </w:rPr>
      </w:pPr>
    </w:p>
    <w:p>
      <w:pPr>
        <w:ind w:left="640" w:right="759" w:firstLine="516"/>
        <w:spacing w:after="0" w:line="254" w:lineRule="auto"/>
        <w:rPr>
          <w:sz w:val="20"/>
          <w:szCs w:val="20"/>
          <w:color w:val="auto"/>
        </w:rPr>
      </w:pPr>
      <w:r>
        <w:rPr>
          <w:rFonts w:ascii="Arial" w:cs="Arial" w:eastAsia="Arial" w:hAnsi="Arial"/>
          <w:sz w:val="13"/>
          <w:szCs w:val="13"/>
          <w:color w:val="auto"/>
        </w:rPr>
        <w:t>As of June 30, 2024, remaining aggregate costs under contract for the construction of properties undergoing development, redevelopment, and improvements under the terms of leases approximated $1.5 billion. In addition, we may be required to incur construction costs associated with future development projects aggregating 643,331 RSF pursuant to an agreement whereby our counterparty may elect to execute future lease agreements on mutually agreeable terms. We expect payments for these obligations to occur over one to three years, subject to capital planning adjustments from time to time. We may have the ability to cease the construction of certain projects, which would result in the reduction of our commitments.</w:t>
      </w:r>
    </w:p>
    <w:p>
      <w:pPr>
        <w:spacing w:after="0" w:line="135" w:lineRule="exact"/>
        <w:rPr>
          <w:sz w:val="20"/>
          <w:szCs w:val="20"/>
          <w:color w:val="auto"/>
        </w:rPr>
      </w:pPr>
    </w:p>
    <w:p>
      <w:pPr>
        <w:ind w:left="640" w:right="719" w:firstLine="516"/>
        <w:spacing w:after="0" w:line="248" w:lineRule="auto"/>
        <w:rPr>
          <w:sz w:val="20"/>
          <w:szCs w:val="20"/>
          <w:color w:val="auto"/>
        </w:rPr>
      </w:pPr>
      <w:r>
        <w:rPr>
          <w:rFonts w:ascii="Arial" w:cs="Arial" w:eastAsia="Arial" w:hAnsi="Arial"/>
          <w:sz w:val="13"/>
          <w:szCs w:val="13"/>
          <w:color w:val="auto"/>
        </w:rPr>
        <w:t xml:space="preserve">As of June 30, 2024, the purchase price of pending acquisitions expected to be completed in 2024, which are under executed letters of intent or purchase and sale agreements, aggregated $47.6 million. In addition, we have letters of credit and performance obligations aggregating </w:t>
      </w:r>
      <w:r>
        <w:rPr>
          <w:rFonts w:ascii="Arial" w:cs="Arial" w:eastAsia="Arial" w:hAnsi="Arial"/>
          <w:sz w:val="13"/>
          <w:szCs w:val="13"/>
          <w:color w:val="auto"/>
          <w:highlight w:val="white"/>
        </w:rPr>
        <w:t>$29.5 million</w:t>
      </w:r>
      <w:r>
        <w:rPr>
          <w:sz w:val="1"/>
          <w:szCs w:val="1"/>
          <w:color w:val="auto"/>
        </w:rPr>
        <w:drawing>
          <wp:inline distT="0" distB="0" distL="0" distR="0">
            <wp:extent cx="20320" cy="76200"/>
            <wp:effectExtent l="0" t="0" r="0" b="0"/>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0320" cy="76200"/>
                    </a:xfrm>
                    <a:prstGeom prst="rect">
                      <a:avLst/>
                    </a:prstGeom>
                    <a:noFill/>
                    <a:ln>
                      <a:noFill/>
                    </a:ln>
                  </pic:spPr>
                </pic:pic>
              </a:graphicData>
            </a:graphic>
          </wp:inline>
        </w:drawing>
      </w:r>
      <w:r>
        <w:rPr>
          <w:rFonts w:ascii="Arial" w:cs="Arial" w:eastAsia="Arial" w:hAnsi="Arial"/>
          <w:sz w:val="13"/>
          <w:szCs w:val="13"/>
          <w:color w:val="auto"/>
        </w:rPr>
        <w:t>primarily related to our development and redevelopment projects.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188595</wp:posOffset>
            </wp:positionV>
            <wp:extent cx="5584190" cy="69113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584190" cy="6911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40" w:right="839" w:firstLine="516"/>
        <w:spacing w:after="0" w:line="265" w:lineRule="auto"/>
        <w:rPr>
          <w:sz w:val="20"/>
          <w:szCs w:val="20"/>
          <w:color w:val="auto"/>
        </w:rPr>
      </w:pPr>
      <w:r>
        <w:rPr>
          <w:rFonts w:ascii="Arial" w:cs="Arial" w:eastAsia="Arial" w:hAnsi="Arial"/>
          <w:sz w:val="13"/>
          <w:szCs w:val="13"/>
          <w:color w:val="auto"/>
        </w:rPr>
        <w:t>We are committed to funding approximately $432.3 million related to our non-real estate investments. These funding commitments are primarily associated with our investments in privately held entities that report NAV and expire at various dates over the next 12 years, with a weighted-average expiration of 8.3 years as of June 30, 2024.</w:t>
      </w:r>
    </w:p>
    <w:p>
      <w:pPr>
        <w:spacing w:after="0" w:line="130" w:lineRule="exact"/>
        <w:rPr>
          <w:sz w:val="20"/>
          <w:szCs w:val="20"/>
          <w:color w:val="auto"/>
        </w:rPr>
      </w:pPr>
    </w:p>
    <w:p>
      <w:pPr>
        <w:ind w:left="640"/>
        <w:spacing w:after="0"/>
        <w:rPr>
          <w:sz w:val="20"/>
          <w:szCs w:val="20"/>
          <w:color w:val="auto"/>
        </w:rPr>
      </w:pPr>
      <w:r>
        <w:rPr>
          <w:rFonts w:ascii="Arial" w:cs="Arial" w:eastAsia="Arial" w:hAnsi="Arial"/>
          <w:sz w:val="13"/>
          <w:szCs w:val="13"/>
          <w:i w:val="1"/>
          <w:iCs w:val="1"/>
          <w:u w:val="single" w:color="auto"/>
          <w:color w:val="auto"/>
        </w:rPr>
        <w:t>Exposure to environmental liabilities</w:t>
      </w:r>
    </w:p>
    <w:p>
      <w:pPr>
        <w:spacing w:after="0" w:line="149" w:lineRule="exact"/>
        <w:rPr>
          <w:sz w:val="20"/>
          <w:szCs w:val="20"/>
          <w:color w:val="auto"/>
        </w:rPr>
      </w:pPr>
    </w:p>
    <w:p>
      <w:pPr>
        <w:ind w:left="640" w:right="799" w:firstLine="516"/>
        <w:spacing w:after="0" w:line="254" w:lineRule="auto"/>
        <w:rPr>
          <w:sz w:val="20"/>
          <w:szCs w:val="20"/>
          <w:color w:val="auto"/>
        </w:rPr>
      </w:pPr>
      <w:r>
        <w:rPr>
          <w:rFonts w:ascii="Arial" w:cs="Arial" w:eastAsia="Arial" w:hAnsi="Arial"/>
          <w:sz w:val="13"/>
          <w:szCs w:val="13"/>
          <w:color w:val="auto"/>
        </w:rPr>
        <w:t>In connection with the acquisition of all of our properties, we have obtained Phase I environmental assessments to ascertain the existence of any environmental liabilities or other issues. The Phase I environmental assessments of our properties have not revealed any environmental liabilities that we believe would have a material adverse effect on our financial condition or results of operations taken as a whole, nor are we aware of any material environmental liabilities that have occurred since the Phase I environmental assessments were completed. In addition, we carry a policy of pollution legal liability insurance covering exposure to certain environmental losses at substantially all of our properties.</w:t>
      </w:r>
    </w:p>
    <w:p>
      <w:pPr>
        <w:spacing w:after="0" w:line="137" w:lineRule="exact"/>
        <w:rPr>
          <w:sz w:val="20"/>
          <w:szCs w:val="20"/>
          <w:color w:val="auto"/>
        </w:rPr>
      </w:pPr>
    </w:p>
    <w:p>
      <w:pPr>
        <w:ind w:left="640"/>
        <w:spacing w:after="0"/>
        <w:rPr>
          <w:sz w:val="20"/>
          <w:szCs w:val="20"/>
          <w:color w:val="auto"/>
        </w:rPr>
      </w:pPr>
      <w:r>
        <w:rPr>
          <w:rFonts w:ascii="Arial" w:cs="Arial" w:eastAsia="Arial" w:hAnsi="Arial"/>
          <w:sz w:val="13"/>
          <w:szCs w:val="13"/>
          <w:i w:val="1"/>
          <w:iCs w:val="1"/>
          <w:u w:val="single" w:color="auto"/>
          <w:color w:val="auto"/>
        </w:rPr>
        <w:t>Foreign currency translation gains and losses</w:t>
      </w:r>
    </w:p>
    <w:p>
      <w:pPr>
        <w:spacing w:after="0" w:line="160" w:lineRule="exact"/>
        <w:rPr>
          <w:sz w:val="20"/>
          <w:szCs w:val="20"/>
          <w:color w:val="auto"/>
        </w:rPr>
      </w:pPr>
    </w:p>
    <w:p>
      <w:pPr>
        <w:ind w:left="640" w:right="759" w:firstLine="516"/>
        <w:spacing w:after="0" w:line="257" w:lineRule="auto"/>
        <w:rPr>
          <w:sz w:val="20"/>
          <w:szCs w:val="20"/>
          <w:color w:val="auto"/>
        </w:rPr>
      </w:pPr>
      <w:r>
        <w:rPr>
          <w:rFonts w:ascii="Arial" w:cs="Arial" w:eastAsia="Arial" w:hAnsi="Arial"/>
          <w:sz w:val="13"/>
          <w:szCs w:val="13"/>
          <w:color w:val="auto"/>
        </w:rPr>
        <w:t>The following table presents the change in accumulated other comprehensive loss attributable to Alexandria Real Estate Equities, Inc.’s stockholders during the six months ended June 30, 2024 primarily due to the changes in the foreign exchange rates for our real estate investments in Canada (in thousands). We reclassify unrealized foreign currency translation gains and losses into net income as we dispose of these holdings.</w:t>
      </w:r>
    </w:p>
    <w:p>
      <w:pPr>
        <w:spacing w:after="0" w:line="122" w:lineRule="exact"/>
        <w:rPr>
          <w:sz w:val="20"/>
          <w:szCs w:val="20"/>
          <w:color w:val="auto"/>
        </w:rPr>
      </w:pPr>
    </w:p>
    <w:tbl>
      <w:tblPr>
        <w:tblLayout w:type="fixed"/>
        <w:tblInd w:w="640" w:type="dxa"/>
        <w:tblCellMar>
          <w:top w:w="0" w:type="dxa"/>
          <w:left w:w="0" w:type="dxa"/>
          <w:bottom w:w="0" w:type="dxa"/>
          <w:right w:w="0" w:type="dxa"/>
        </w:tblCellMar>
      </w:tblPr>
      <w:tr>
        <w:trPr>
          <w:trHeight w:val="170"/>
        </w:trPr>
        <w:tc>
          <w:tcPr>
            <w:tcW w:w="632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ind w:left="240"/>
              <w:spacing w:after="0"/>
              <w:rPr>
                <w:sz w:val="20"/>
                <w:szCs w:val="20"/>
                <w:color w:val="auto"/>
              </w:rPr>
            </w:pPr>
            <w:r>
              <w:rPr>
                <w:rFonts w:ascii="Arial" w:cs="Arial" w:eastAsia="Arial" w:hAnsi="Arial"/>
                <w:sz w:val="13"/>
                <w:szCs w:val="13"/>
                <w:color w:val="auto"/>
              </w:rPr>
              <w:t>Total</w:t>
            </w:r>
          </w:p>
        </w:tc>
      </w:tr>
      <w:tr>
        <w:trPr>
          <w:trHeight w:val="186"/>
        </w:trPr>
        <w:tc>
          <w:tcPr>
            <w:tcW w:w="6320" w:type="dxa"/>
            <w:vAlign w:val="bottom"/>
            <w:shd w:val="clear" w:color="auto" w:fill="CCEEFF"/>
          </w:tcPr>
          <w:p>
            <w:pPr>
              <w:ind w:left="40"/>
              <w:spacing w:after="0"/>
              <w:rPr>
                <w:sz w:val="20"/>
                <w:szCs w:val="20"/>
                <w:color w:val="auto"/>
              </w:rPr>
            </w:pPr>
            <w:r>
              <w:rPr>
                <w:rFonts w:ascii="Arial" w:cs="Arial" w:eastAsia="Arial" w:hAnsi="Arial"/>
                <w:sz w:val="13"/>
                <w:szCs w:val="13"/>
                <w:color w:val="auto"/>
              </w:rPr>
              <w:t>Balance as of December 31, 2023</w:t>
            </w:r>
          </w:p>
        </w:tc>
        <w:tc>
          <w:tcPr>
            <w:tcW w:w="34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ind w:left="580"/>
              <w:spacing w:after="0"/>
              <w:rPr>
                <w:sz w:val="20"/>
                <w:szCs w:val="20"/>
                <w:color w:val="auto"/>
              </w:rPr>
            </w:pPr>
            <w:r>
              <w:rPr>
                <w:rFonts w:ascii="Arial" w:cs="Arial" w:eastAsia="Arial" w:hAnsi="Arial"/>
                <w:sz w:val="13"/>
                <w:szCs w:val="13"/>
                <w:color w:val="auto"/>
                <w:w w:val="99"/>
              </w:rPr>
              <w:t>(15,896)</w:t>
            </w:r>
          </w:p>
        </w:tc>
      </w:tr>
      <w:tr>
        <w:trPr>
          <w:trHeight w:val="204"/>
        </w:trPr>
        <w:tc>
          <w:tcPr>
            <w:tcW w:w="6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3"/>
        </w:trPr>
        <w:tc>
          <w:tcPr>
            <w:tcW w:w="6320" w:type="dxa"/>
            <w:vAlign w:val="bottom"/>
            <w:shd w:val="clear" w:color="auto" w:fill="CCEEFF"/>
          </w:tcPr>
          <w:p>
            <w:pPr>
              <w:ind w:left="40"/>
              <w:spacing w:after="0"/>
              <w:rPr>
                <w:sz w:val="20"/>
                <w:szCs w:val="20"/>
                <w:color w:val="auto"/>
              </w:rPr>
            </w:pPr>
            <w:r>
              <w:rPr>
                <w:rFonts w:ascii="Arial" w:cs="Arial" w:eastAsia="Arial" w:hAnsi="Arial"/>
                <w:sz w:val="13"/>
                <w:szCs w:val="13"/>
                <w:color w:val="auto"/>
              </w:rPr>
              <w:t>Other comprehensive loss before reclassifications</w:t>
            </w:r>
          </w:p>
        </w:tc>
        <w:tc>
          <w:tcPr>
            <w:tcW w:w="3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3"/>
                <w:szCs w:val="13"/>
                <w:color w:val="auto"/>
                <w:w w:val="99"/>
              </w:rPr>
              <w:t>(11,814)</w:t>
            </w:r>
          </w:p>
        </w:tc>
      </w:tr>
      <w:tr>
        <w:trPr>
          <w:trHeight w:val="184"/>
        </w:trPr>
        <w:tc>
          <w:tcPr>
            <w:tcW w:w="6320" w:type="dxa"/>
            <w:vAlign w:val="bottom"/>
          </w:tcPr>
          <w:p>
            <w:pPr>
              <w:ind w:left="40"/>
              <w:spacing w:after="0"/>
              <w:rPr>
                <w:sz w:val="20"/>
                <w:szCs w:val="20"/>
                <w:color w:val="auto"/>
              </w:rPr>
            </w:pPr>
            <w:r>
              <w:rPr>
                <w:rFonts w:ascii="Arial" w:cs="Arial" w:eastAsia="Arial" w:hAnsi="Arial"/>
                <w:sz w:val="13"/>
                <w:szCs w:val="13"/>
                <w:color w:val="auto"/>
              </w:rPr>
              <w:t>Net other comprehensive loss</w:t>
            </w:r>
          </w:p>
        </w:tc>
        <w:tc>
          <w:tcPr>
            <w:tcW w:w="340" w:type="dxa"/>
            <w:vAlign w:val="bottom"/>
          </w:tcPr>
          <w:p>
            <w:pPr>
              <w:spacing w:after="0"/>
              <w:rPr>
                <w:sz w:val="16"/>
                <w:szCs w:val="16"/>
                <w:color w:val="auto"/>
              </w:rPr>
            </w:pPr>
          </w:p>
        </w:tc>
        <w:tc>
          <w:tcPr>
            <w:tcW w:w="1080" w:type="dxa"/>
            <w:vAlign w:val="bottom"/>
          </w:tcPr>
          <w:p>
            <w:pPr>
              <w:ind w:left="580"/>
              <w:spacing w:after="0"/>
              <w:rPr>
                <w:sz w:val="20"/>
                <w:szCs w:val="20"/>
                <w:color w:val="auto"/>
              </w:rPr>
            </w:pPr>
            <w:r>
              <w:rPr>
                <w:rFonts w:ascii="Arial" w:cs="Arial" w:eastAsia="Arial" w:hAnsi="Arial"/>
                <w:sz w:val="13"/>
                <w:szCs w:val="13"/>
                <w:color w:val="auto"/>
                <w:w w:val="99"/>
              </w:rPr>
              <w:t>(11,814)</w:t>
            </w:r>
          </w:p>
        </w:tc>
      </w:tr>
      <w:tr>
        <w:trPr>
          <w:trHeight w:val="206"/>
        </w:trPr>
        <w:tc>
          <w:tcPr>
            <w:tcW w:w="63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spacing w:after="0"/>
              <w:rPr>
                <w:sz w:val="17"/>
                <w:szCs w:val="17"/>
                <w:color w:val="auto"/>
              </w:rPr>
            </w:pPr>
          </w:p>
        </w:tc>
      </w:tr>
      <w:tr>
        <w:trPr>
          <w:trHeight w:val="163"/>
        </w:trPr>
        <w:tc>
          <w:tcPr>
            <w:tcW w:w="6320" w:type="dxa"/>
            <w:vAlign w:val="bottom"/>
          </w:tcPr>
          <w:p>
            <w:pPr>
              <w:ind w:left="40"/>
              <w:spacing w:after="0"/>
              <w:rPr>
                <w:sz w:val="20"/>
                <w:szCs w:val="20"/>
                <w:color w:val="auto"/>
              </w:rPr>
            </w:pPr>
            <w:r>
              <w:rPr>
                <w:rFonts w:ascii="Arial" w:cs="Arial" w:eastAsia="Arial" w:hAnsi="Arial"/>
                <w:sz w:val="13"/>
                <w:szCs w:val="13"/>
                <w:color w:val="auto"/>
              </w:rPr>
              <w:t>Balance as of June 30, 2024</w:t>
            </w:r>
          </w:p>
        </w:tc>
        <w:tc>
          <w:tcPr>
            <w:tcW w:w="34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auto"/>
            </w:tcBorders>
          </w:tcPr>
          <w:p>
            <w:pPr>
              <w:ind w:left="580"/>
              <w:spacing w:after="0"/>
              <w:rPr>
                <w:sz w:val="20"/>
                <w:szCs w:val="20"/>
                <w:color w:val="auto"/>
              </w:rPr>
            </w:pPr>
            <w:r>
              <w:rPr>
                <w:rFonts w:ascii="Arial" w:cs="Arial" w:eastAsia="Arial" w:hAnsi="Arial"/>
                <w:sz w:val="13"/>
                <w:szCs w:val="13"/>
                <w:color w:val="auto"/>
                <w:w w:val="99"/>
              </w:rPr>
              <w:t>(27,710)</w:t>
            </w:r>
          </w:p>
        </w:tc>
      </w:tr>
      <w:tr>
        <w:trPr>
          <w:trHeight w:val="20"/>
        </w:trPr>
        <w:tc>
          <w:tcPr>
            <w:tcW w:w="6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ind w:left="640"/>
        <w:spacing w:after="0"/>
        <w:rPr>
          <w:sz w:val="20"/>
          <w:szCs w:val="20"/>
          <w:color w:val="auto"/>
        </w:rPr>
      </w:pPr>
      <w:r>
        <w:rPr>
          <w:rFonts w:ascii="Arial" w:cs="Arial" w:eastAsia="Arial" w:hAnsi="Arial"/>
          <w:sz w:val="13"/>
          <w:szCs w:val="13"/>
          <w:i w:val="1"/>
          <w:iCs w:val="1"/>
          <w:u w:val="single" w:color="auto"/>
          <w:color w:val="auto"/>
        </w:rPr>
        <w:t>Inflation</w:t>
      </w:r>
    </w:p>
    <w:p>
      <w:pPr>
        <w:spacing w:after="0" w:line="171" w:lineRule="exact"/>
        <w:rPr>
          <w:sz w:val="20"/>
          <w:szCs w:val="20"/>
          <w:color w:val="auto"/>
        </w:rPr>
      </w:pPr>
    </w:p>
    <w:p>
      <w:pPr>
        <w:ind w:left="640" w:right="739" w:firstLine="516"/>
        <w:spacing w:after="0" w:line="253" w:lineRule="auto"/>
        <w:rPr>
          <w:sz w:val="20"/>
          <w:szCs w:val="20"/>
          <w:color w:val="auto"/>
        </w:rPr>
      </w:pPr>
      <w:r>
        <w:rPr>
          <w:rFonts w:ascii="Arial" w:cs="Arial" w:eastAsia="Arial" w:hAnsi="Arial"/>
          <w:sz w:val="13"/>
          <w:szCs w:val="13"/>
          <w:color w:val="auto"/>
        </w:rPr>
        <w:t>As of June 30, 2024, approximately 94% of our leases (on an annual rental revenue basis) were triple net leases, which require tenants to pay substantially all real estate taxes, insurance, utilities, repairs and maintenance, common area expenses, and other operating expenses (including increases thereto) in addition to base rent. Approximately 96% of our leases (on an annual rental revenue basis) contained effective annual rent escalations that were either fixed (generally ranging from 3.0% to 3.5%) or indexed based on a consumer price index or other indices. Accordingly, we do not believe that our cash flows or earnings from real estate operations are subject to significant risks from inflation. A period of inflation, however, could cause an increase in the cost of our variable-rate borrowings, including borrowings under our unsecured senior line of credit and commercial paper program, issuances of unsecured senior notes payable, and borrowings under our secured construction loans, and secured loans held by our unconsolidated real estate joint ventures.</w:t>
      </w:r>
    </w:p>
    <w:p>
      <w:pPr>
        <w:sectPr>
          <w:pgSz w:w="11900" w:h="16838" w:orient="portrait"/>
          <w:cols w:equalWidth="0" w:num="1">
            <w:col w:w="9019"/>
          </w:cols>
          <w:pgMar w:left="1440" w:top="118" w:right="1440" w:bottom="1440" w:gutter="0" w:footer="0" w:header="0"/>
        </w:sectPr>
      </w:pPr>
    </w:p>
    <w:bookmarkStart w:id="64" w:name="page65"/>
    <w:bookmarkEnd w:id="64"/>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982345</wp:posOffset>
            </wp:positionH>
            <wp:positionV relativeFrom="page">
              <wp:posOffset>88900</wp:posOffset>
            </wp:positionV>
            <wp:extent cx="5584190" cy="30289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584190" cy="30289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3"/>
          <w:szCs w:val="13"/>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188595</wp:posOffset>
            </wp:positionV>
            <wp:extent cx="5584190" cy="722058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Issuer and guarantor subsidiary summarized financial information</w:t>
      </w:r>
    </w:p>
    <w:p>
      <w:pPr>
        <w:spacing w:after="0" w:line="162" w:lineRule="exact"/>
        <w:rPr>
          <w:sz w:val="20"/>
          <w:szCs w:val="20"/>
          <w:color w:val="auto"/>
        </w:rPr>
      </w:pPr>
    </w:p>
    <w:p>
      <w:pPr>
        <w:ind w:left="640" w:right="679" w:firstLine="516"/>
        <w:spacing w:after="0" w:line="251" w:lineRule="auto"/>
        <w:rPr>
          <w:sz w:val="20"/>
          <w:szCs w:val="20"/>
          <w:color w:val="auto"/>
        </w:rPr>
      </w:pPr>
      <w:r>
        <w:rPr>
          <w:rFonts w:ascii="Arial" w:cs="Arial" w:eastAsia="Arial" w:hAnsi="Arial"/>
          <w:sz w:val="13"/>
          <w:szCs w:val="13"/>
          <w:color w:val="auto"/>
        </w:rPr>
        <w:t>Alexandria Real Estate Equities, Inc. (the “Issuer”) has sold certain debt securities registered under the Securities Act of 1933, as amended, that are fully and unconditionally guaranteed by Alexandria Real Estate Equities, L.P. (the “LP” or the “Guarantor Subsidiary”), an indirectly 100% owned subsidiary of the Issuer. The Issuer’s other subsidiaries, including, but not limited to, the subsidiaries that own substantially all of its real estate (collectively, the “Combined Non-Guarantor Subsidiaries”), will not provide a guarantee of such securities, including the subsidiaries that are partially or 100% owned by the LP. The following summarized financial information presents, on a combined basis, balance sheet information as of June 30, 2024 and December 31, 2023, and results of operations and comprehensive income for the six months ended June 30, 2024 and year ended December 31, 2023 for the Issuer and the Guarantor Subsidiary. The information presented below excludes eliminations necessary to arrive at the information on a consolidated basis. In presenting the summarized financial statements, the equity method of accounting has been applied to (i) the Issuer’s interests in the Guarantor Subsidiary, (ii) the Guarantor Subsidiary’s interests in the Combined Non-Guarantor Subsidiaries, and (iii) the Combined Non-Guarantor Subsidiaries’ interests in the Guarantor Subsidiary, where applicable, even though all such subsidiaries meet the requirements to be consolidated under GAAP. All assets and liabilities have been allocated to the Issuer and the Guarantor Subsidiary generally based on legal entity ownership.</w:t>
      </w:r>
    </w:p>
    <w:p>
      <w:pPr>
        <w:spacing w:after="0" w:line="126" w:lineRule="exact"/>
        <w:rPr>
          <w:sz w:val="20"/>
          <w:szCs w:val="20"/>
          <w:color w:val="auto"/>
        </w:rPr>
      </w:pPr>
    </w:p>
    <w:p>
      <w:pPr>
        <w:ind w:left="640" w:right="739" w:firstLine="516"/>
        <w:spacing w:after="0" w:line="265" w:lineRule="auto"/>
        <w:rPr>
          <w:sz w:val="20"/>
          <w:szCs w:val="20"/>
          <w:color w:val="auto"/>
        </w:rPr>
      </w:pPr>
      <w:r>
        <w:rPr>
          <w:rFonts w:ascii="Arial" w:cs="Arial" w:eastAsia="Arial" w:hAnsi="Arial"/>
          <w:sz w:val="13"/>
          <w:szCs w:val="13"/>
          <w:color w:val="auto"/>
        </w:rPr>
        <w:t>The following tables present combined summarized financial information as of June 30, 2024 and December 31, 2023 and for the six months ended June 30, 2024 and year ended December 31, 2023 for the Issuer and Guarantor Subsidiary. Amounts provided do not represent our total consolidated amounts (in thousands):</w:t>
      </w:r>
    </w:p>
    <w:p>
      <w:pPr>
        <w:spacing w:after="0" w:line="117" w:lineRule="exact"/>
        <w:rPr>
          <w:sz w:val="20"/>
          <w:szCs w:val="20"/>
          <w:color w:val="auto"/>
        </w:rPr>
      </w:pPr>
    </w:p>
    <w:tbl>
      <w:tblPr>
        <w:tblLayout w:type="fixed"/>
        <w:tblInd w:w="640" w:type="dxa"/>
        <w:tblCellMar>
          <w:top w:w="0" w:type="dxa"/>
          <w:left w:w="0" w:type="dxa"/>
          <w:bottom w:w="0" w:type="dxa"/>
          <w:right w:w="0" w:type="dxa"/>
        </w:tblCellMar>
      </w:tblPr>
      <w:tr>
        <w:trPr>
          <w:trHeight w:val="170"/>
        </w:trPr>
        <w:tc>
          <w:tcPr>
            <w:tcW w:w="5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3"/>
                <w:szCs w:val="13"/>
                <w:color w:val="auto"/>
                <w:w w:val="99"/>
              </w:rPr>
              <w:t>June 30, 2024</w:t>
            </w:r>
          </w:p>
        </w:tc>
        <w:tc>
          <w:tcPr>
            <w:tcW w:w="20" w:type="dxa"/>
            <w:vAlign w:val="bottom"/>
          </w:tcPr>
          <w:p>
            <w:pPr>
              <w:spacing w:after="0"/>
              <w:rPr>
                <w:sz w:val="14"/>
                <w:szCs w:val="14"/>
                <w:color w:val="auto"/>
              </w:rPr>
            </w:pPr>
          </w:p>
        </w:tc>
        <w:tc>
          <w:tcPr>
            <w:tcW w:w="1240" w:type="dxa"/>
            <w:vAlign w:val="bottom"/>
            <w:gridSpan w:val="2"/>
          </w:tcPr>
          <w:p>
            <w:pPr>
              <w:jc w:val="center"/>
              <w:spacing w:after="0"/>
              <w:rPr>
                <w:sz w:val="20"/>
                <w:szCs w:val="20"/>
                <w:color w:val="auto"/>
              </w:rPr>
            </w:pPr>
            <w:r>
              <w:rPr>
                <w:rFonts w:ascii="Arial" w:cs="Arial" w:eastAsia="Arial" w:hAnsi="Arial"/>
                <w:sz w:val="13"/>
                <w:szCs w:val="13"/>
                <w:color w:val="auto"/>
                <w:w w:val="99"/>
              </w:rPr>
              <w:t>December 31, 2023</w:t>
            </w:r>
          </w:p>
        </w:tc>
      </w:tr>
      <w:tr>
        <w:trPr>
          <w:trHeight w:val="186"/>
        </w:trPr>
        <w:tc>
          <w:tcPr>
            <w:tcW w:w="518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3"/>
                <w:szCs w:val="13"/>
                <w:color w:val="auto"/>
              </w:rPr>
              <w:t>Assets:</w:t>
            </w:r>
          </w:p>
        </w:tc>
        <w:tc>
          <w:tcPr>
            <w:tcW w:w="16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r>
      <w:tr>
        <w:trPr>
          <w:trHeight w:val="213"/>
        </w:trPr>
        <w:tc>
          <w:tcPr>
            <w:tcW w:w="5180" w:type="dxa"/>
            <w:vAlign w:val="bottom"/>
            <w:gridSpan w:val="2"/>
          </w:tcPr>
          <w:p>
            <w:pPr>
              <w:ind w:left="140"/>
              <w:spacing w:after="0"/>
              <w:rPr>
                <w:sz w:val="20"/>
                <w:szCs w:val="20"/>
                <w:color w:val="auto"/>
              </w:rPr>
            </w:pPr>
            <w:r>
              <w:rPr>
                <w:rFonts w:ascii="Arial" w:cs="Arial" w:eastAsia="Arial" w:hAnsi="Arial"/>
                <w:sz w:val="13"/>
                <w:szCs w:val="13"/>
                <w:color w:val="auto"/>
              </w:rPr>
              <w:t>Cash, cash equivalents, and restricted cash</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181,951</w:t>
            </w:r>
          </w:p>
        </w:tc>
        <w:tc>
          <w:tcPr>
            <w:tcW w:w="40" w:type="dxa"/>
            <w:vAlign w:val="bottom"/>
          </w:tcPr>
          <w:p>
            <w:pPr>
              <w:spacing w:after="0"/>
              <w:rPr>
                <w:sz w:val="18"/>
                <w:szCs w:val="18"/>
                <w:color w:val="auto"/>
              </w:rPr>
            </w:pPr>
          </w:p>
        </w:tc>
        <w:tc>
          <w:tcPr>
            <w:tcW w:w="220" w:type="dxa"/>
            <w:vAlign w:val="bottom"/>
            <w:gridSpan w:val="2"/>
          </w:tcPr>
          <w:p>
            <w:pPr>
              <w:jc w:val="right"/>
              <w:ind w:right="36"/>
              <w:spacing w:after="0"/>
              <w:rPr>
                <w:sz w:val="20"/>
                <w:szCs w:val="20"/>
                <w:color w:val="auto"/>
              </w:rPr>
            </w:pPr>
            <w:r>
              <w:rPr>
                <w:rFonts w:ascii="Arial" w:cs="Arial" w:eastAsia="Arial" w:hAnsi="Arial"/>
                <w:sz w:val="13"/>
                <w:szCs w:val="13"/>
                <w:color w:val="auto"/>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210,755</w:t>
            </w:r>
          </w:p>
        </w:tc>
      </w:tr>
      <w:tr>
        <w:trPr>
          <w:trHeight w:val="204"/>
        </w:trPr>
        <w:tc>
          <w:tcPr>
            <w:tcW w:w="518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Other assets</w:t>
            </w:r>
          </w:p>
        </w:tc>
        <w:tc>
          <w:tcPr>
            <w:tcW w:w="1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123,797</w:t>
            </w:r>
          </w:p>
        </w:tc>
        <w:tc>
          <w:tcPr>
            <w:tcW w:w="4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115,373</w:t>
            </w:r>
          </w:p>
        </w:tc>
      </w:tr>
      <w:tr>
        <w:trPr>
          <w:trHeight w:val="164"/>
        </w:trPr>
        <w:tc>
          <w:tcPr>
            <w:tcW w:w="5180" w:type="dxa"/>
            <w:vAlign w:val="bottom"/>
            <w:gridSpan w:val="2"/>
          </w:tcPr>
          <w:p>
            <w:pPr>
              <w:ind w:left="40"/>
              <w:spacing w:after="0"/>
              <w:rPr>
                <w:sz w:val="20"/>
                <w:szCs w:val="20"/>
                <w:color w:val="auto"/>
              </w:rPr>
            </w:pPr>
            <w:r>
              <w:rPr>
                <w:rFonts w:ascii="Arial" w:cs="Arial" w:eastAsia="Arial" w:hAnsi="Arial"/>
                <w:sz w:val="13"/>
                <w:szCs w:val="13"/>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305,748</w:t>
            </w:r>
          </w:p>
        </w:tc>
        <w:tc>
          <w:tcPr>
            <w:tcW w:w="40" w:type="dxa"/>
            <w:vAlign w:val="bottom"/>
          </w:tcPr>
          <w:p>
            <w:pPr>
              <w:spacing w:after="0"/>
              <w:rPr>
                <w:sz w:val="14"/>
                <w:szCs w:val="14"/>
                <w:color w:val="auto"/>
              </w:rPr>
            </w:pPr>
          </w:p>
        </w:tc>
        <w:tc>
          <w:tcPr>
            <w:tcW w:w="220" w:type="dxa"/>
            <w:vAlign w:val="bottom"/>
            <w:tcBorders>
              <w:bottom w:val="single" w:sz="8" w:color="auto"/>
            </w:tcBorders>
            <w:gridSpan w:val="2"/>
          </w:tcPr>
          <w:p>
            <w:pPr>
              <w:jc w:val="right"/>
              <w:ind w:right="36"/>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326,128</w:t>
            </w: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66"/>
        </w:trPr>
        <w:tc>
          <w:tcPr>
            <w:tcW w:w="5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r>
      <w:tr>
        <w:trPr>
          <w:trHeight w:val="203"/>
        </w:trPr>
        <w:tc>
          <w:tcPr>
            <w:tcW w:w="5180" w:type="dxa"/>
            <w:vAlign w:val="bottom"/>
            <w:gridSpan w:val="2"/>
          </w:tcPr>
          <w:p>
            <w:pPr>
              <w:ind w:left="40"/>
              <w:spacing w:after="0"/>
              <w:rPr>
                <w:sz w:val="20"/>
                <w:szCs w:val="20"/>
                <w:color w:val="auto"/>
              </w:rPr>
            </w:pPr>
            <w:r>
              <w:rPr>
                <w:rFonts w:ascii="Arial" w:cs="Arial" w:eastAsia="Arial" w:hAnsi="Arial"/>
                <w:sz w:val="13"/>
                <w:szCs w:val="13"/>
                <w:color w:val="auto"/>
              </w:rPr>
              <w:t>Liabilities:</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6"/>
        </w:trPr>
        <w:tc>
          <w:tcPr>
            <w:tcW w:w="518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Unsecured senior notes payable</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12,089,561</w:t>
            </w:r>
          </w:p>
        </w:tc>
        <w:tc>
          <w:tcPr>
            <w:tcW w:w="4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11,096,028</w:t>
            </w:r>
          </w:p>
        </w:tc>
      </w:tr>
      <w:tr>
        <w:trPr>
          <w:trHeight w:val="203"/>
        </w:trPr>
        <w:tc>
          <w:tcPr>
            <w:tcW w:w="5180" w:type="dxa"/>
            <w:vAlign w:val="bottom"/>
            <w:gridSpan w:val="2"/>
          </w:tcPr>
          <w:p>
            <w:pPr>
              <w:ind w:left="140"/>
              <w:spacing w:after="0"/>
              <w:rPr>
                <w:sz w:val="20"/>
                <w:szCs w:val="20"/>
                <w:color w:val="auto"/>
              </w:rPr>
            </w:pPr>
            <w:r>
              <w:rPr>
                <w:rFonts w:ascii="Arial" w:cs="Arial" w:eastAsia="Arial" w:hAnsi="Arial"/>
                <w:sz w:val="13"/>
                <w:szCs w:val="13"/>
                <w:color w:val="auto"/>
              </w:rPr>
              <w:t>Unsecured senior line of credit and commercial paper</w:t>
            </w: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199,552</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99,952</w:t>
            </w:r>
          </w:p>
        </w:tc>
      </w:tr>
      <w:tr>
        <w:trPr>
          <w:trHeight w:val="204"/>
        </w:trPr>
        <w:tc>
          <w:tcPr>
            <w:tcW w:w="518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Other liabilities</w:t>
            </w:r>
          </w:p>
        </w:tc>
        <w:tc>
          <w:tcPr>
            <w:tcW w:w="1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531,118</w:t>
            </w:r>
          </w:p>
        </w:tc>
        <w:tc>
          <w:tcPr>
            <w:tcW w:w="4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504,659</w:t>
            </w:r>
          </w:p>
        </w:tc>
      </w:tr>
      <w:tr>
        <w:trPr>
          <w:trHeight w:val="164"/>
        </w:trPr>
        <w:tc>
          <w:tcPr>
            <w:tcW w:w="5180" w:type="dxa"/>
            <w:vAlign w:val="bottom"/>
            <w:gridSpan w:val="2"/>
          </w:tcPr>
          <w:p>
            <w:pPr>
              <w:ind w:left="40"/>
              <w:spacing w:after="0"/>
              <w:rPr>
                <w:sz w:val="20"/>
                <w:szCs w:val="20"/>
                <w:color w:val="auto"/>
              </w:rPr>
            </w:pPr>
            <w:r>
              <w:rPr>
                <w:rFonts w:ascii="Arial" w:cs="Arial" w:eastAsia="Arial" w:hAnsi="Arial"/>
                <w:sz w:val="13"/>
                <w:szCs w:val="13"/>
                <w:color w:val="auto"/>
              </w:rPr>
              <w:t>Total liabilities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12,820,231</w:t>
            </w:r>
          </w:p>
        </w:tc>
        <w:tc>
          <w:tcPr>
            <w:tcW w:w="40" w:type="dxa"/>
            <w:vAlign w:val="bottom"/>
          </w:tcPr>
          <w:p>
            <w:pPr>
              <w:spacing w:after="0"/>
              <w:rPr>
                <w:sz w:val="14"/>
                <w:szCs w:val="14"/>
                <w:color w:val="auto"/>
              </w:rPr>
            </w:pPr>
          </w:p>
        </w:tc>
        <w:tc>
          <w:tcPr>
            <w:tcW w:w="220" w:type="dxa"/>
            <w:vAlign w:val="bottom"/>
            <w:tcBorders>
              <w:bottom w:val="single" w:sz="8" w:color="auto"/>
            </w:tcBorders>
            <w:gridSpan w:val="2"/>
          </w:tcPr>
          <w:p>
            <w:pPr>
              <w:jc w:val="right"/>
              <w:ind w:right="36"/>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11,700,639</w:t>
            </w:r>
          </w:p>
        </w:tc>
      </w:tr>
      <w:tr>
        <w:trPr>
          <w:trHeight w:val="20"/>
        </w:trPr>
        <w:tc>
          <w:tcPr>
            <w:tcW w:w="5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445"/>
        </w:trPr>
        <w:tc>
          <w:tcPr>
            <w:tcW w:w="5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gridSpan w:val="3"/>
          </w:tcPr>
          <w:p>
            <w:pPr>
              <w:jc w:val="center"/>
              <w:ind w:right="60"/>
              <w:spacing w:after="0"/>
              <w:rPr>
                <w:sz w:val="20"/>
                <w:szCs w:val="20"/>
                <w:color w:val="auto"/>
              </w:rPr>
            </w:pPr>
            <w:r>
              <w:rPr>
                <w:rFonts w:ascii="Arial" w:cs="Arial" w:eastAsia="Arial" w:hAnsi="Arial"/>
                <w:sz w:val="13"/>
                <w:szCs w:val="13"/>
                <w:color w:val="auto"/>
                <w:w w:val="98"/>
              </w:rPr>
              <w:t>Six Months Ended</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jc w:val="center"/>
              <w:ind w:right="156"/>
              <w:spacing w:after="0"/>
              <w:rPr>
                <w:sz w:val="20"/>
                <w:szCs w:val="20"/>
                <w:color w:val="auto"/>
              </w:rPr>
            </w:pPr>
            <w:r>
              <w:rPr>
                <w:rFonts w:ascii="Arial" w:cs="Arial" w:eastAsia="Arial" w:hAnsi="Arial"/>
                <w:sz w:val="13"/>
                <w:szCs w:val="13"/>
                <w:color w:val="auto"/>
                <w:w w:val="96"/>
              </w:rPr>
              <w:t>Year Ended</w:t>
            </w:r>
          </w:p>
        </w:tc>
      </w:tr>
      <w:tr>
        <w:trPr>
          <w:trHeight w:val="170"/>
        </w:trPr>
        <w:tc>
          <w:tcPr>
            <w:tcW w:w="516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136"/>
              <w:spacing w:after="0"/>
              <w:rPr>
                <w:sz w:val="20"/>
                <w:szCs w:val="20"/>
                <w:color w:val="auto"/>
              </w:rPr>
            </w:pPr>
            <w:r>
              <w:rPr>
                <w:rFonts w:ascii="Arial" w:cs="Arial" w:eastAsia="Arial" w:hAnsi="Arial"/>
                <w:sz w:val="13"/>
                <w:szCs w:val="13"/>
                <w:color w:val="auto"/>
                <w:w w:val="99"/>
              </w:rPr>
              <w:t>June 30, 2024</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color w:val="auto"/>
                <w:w w:val="99"/>
              </w:rPr>
              <w:t>December 31, 2023</w:t>
            </w:r>
          </w:p>
        </w:tc>
      </w:tr>
      <w:tr>
        <w:trPr>
          <w:trHeight w:val="186"/>
        </w:trPr>
        <w:tc>
          <w:tcPr>
            <w:tcW w:w="51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Total revenues</w:t>
            </w: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30,900</w:t>
            </w:r>
          </w:p>
        </w:tc>
        <w:tc>
          <w:tcPr>
            <w:tcW w:w="40" w:type="dxa"/>
            <w:vAlign w:val="bottom"/>
            <w:shd w:val="clear" w:color="auto" w:fill="CCEEFF"/>
          </w:tcPr>
          <w:p>
            <w:pPr>
              <w:spacing w:after="0"/>
              <w:rPr>
                <w:sz w:val="16"/>
                <w:szCs w:val="16"/>
                <w:color w:val="auto"/>
              </w:rPr>
            </w:pPr>
          </w:p>
        </w:tc>
        <w:tc>
          <w:tcPr>
            <w:tcW w:w="220" w:type="dxa"/>
            <w:vAlign w:val="bottom"/>
            <w:gridSpan w:val="2"/>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54,230</w:t>
            </w:r>
          </w:p>
        </w:tc>
      </w:tr>
      <w:tr>
        <w:trPr>
          <w:trHeight w:val="203"/>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Total expenses</w:t>
            </w: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(176,987)</w:t>
            </w:r>
          </w:p>
        </w:tc>
        <w:tc>
          <w:tcPr>
            <w:tcW w:w="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(273,990)</w:t>
            </w:r>
          </w:p>
        </w:tc>
      </w:tr>
      <w:tr>
        <w:trPr>
          <w:trHeight w:val="186"/>
        </w:trPr>
        <w:tc>
          <w:tcPr>
            <w:tcW w:w="51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Net loss</w:t>
            </w: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(146,087)</w:t>
            </w: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(219,760)</w:t>
            </w:r>
          </w:p>
        </w:tc>
      </w:tr>
      <w:tr>
        <w:trPr>
          <w:trHeight w:val="203"/>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Net income attributable to unvested restricted stock awards</w:t>
            </w: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(7,444)</w:t>
            </w:r>
          </w:p>
        </w:tc>
        <w:tc>
          <w:tcPr>
            <w:tcW w:w="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(11,195)</w:t>
            </w:r>
          </w:p>
        </w:tc>
      </w:tr>
      <w:tr>
        <w:trPr>
          <w:trHeight w:val="184"/>
        </w:trPr>
        <w:tc>
          <w:tcPr>
            <w:tcW w:w="51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Net loss attributable to Alexandria Real Estate Equities, Inc.’s common stockholders</w:t>
            </w: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(153,531)</w:t>
            </w:r>
          </w:p>
        </w:tc>
        <w:tc>
          <w:tcPr>
            <w:tcW w:w="40" w:type="dxa"/>
            <w:vAlign w:val="bottom"/>
            <w:shd w:val="clear" w:color="auto" w:fill="CCEEFF"/>
          </w:tcPr>
          <w:p>
            <w:pPr>
              <w:spacing w:after="0"/>
              <w:rPr>
                <w:sz w:val="16"/>
                <w:szCs w:val="16"/>
                <w:color w:val="auto"/>
              </w:rPr>
            </w:pPr>
          </w:p>
        </w:tc>
        <w:tc>
          <w:tcPr>
            <w:tcW w:w="220" w:type="dxa"/>
            <w:vAlign w:val="bottom"/>
            <w:gridSpan w:val="2"/>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(230,955)</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37" w:lineRule="exact"/>
        <w:rPr>
          <w:sz w:val="20"/>
          <w:szCs w:val="20"/>
          <w:color w:val="auto"/>
        </w:rPr>
      </w:pPr>
    </w:p>
    <w:p>
      <w:pPr>
        <w:ind w:left="640" w:right="1059" w:firstLine="516"/>
        <w:spacing w:after="0" w:line="272" w:lineRule="auto"/>
        <w:rPr>
          <w:sz w:val="20"/>
          <w:szCs w:val="20"/>
          <w:color w:val="auto"/>
        </w:rPr>
      </w:pPr>
      <w:r>
        <w:rPr>
          <w:rFonts w:ascii="Arial" w:cs="Arial" w:eastAsia="Arial" w:hAnsi="Arial"/>
          <w:sz w:val="13"/>
          <w:szCs w:val="13"/>
          <w:color w:val="auto"/>
        </w:rPr>
        <w:t>As of June 30, 2024, 393 of our 408 properties were held indirectly by the REIT’s wholly owned consolidated subsidiary, Alexandria Real Estate Equities, L.P.</w:t>
      </w:r>
    </w:p>
    <w:p>
      <w:pPr>
        <w:spacing w:after="0" w:line="123"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Critical accounting estimates</w:t>
      </w:r>
    </w:p>
    <w:p>
      <w:pPr>
        <w:spacing w:after="0" w:line="162" w:lineRule="exact"/>
        <w:rPr>
          <w:sz w:val="20"/>
          <w:szCs w:val="20"/>
          <w:color w:val="auto"/>
        </w:rPr>
      </w:pPr>
    </w:p>
    <w:p>
      <w:pPr>
        <w:ind w:left="640" w:right="679" w:firstLine="516"/>
        <w:spacing w:after="0" w:line="265" w:lineRule="auto"/>
        <w:rPr>
          <w:sz w:val="20"/>
          <w:szCs w:val="20"/>
          <w:color w:val="auto"/>
        </w:rPr>
      </w:pPr>
      <w:r>
        <w:rPr>
          <w:rFonts w:ascii="Arial" w:cs="Arial" w:eastAsia="Arial" w:hAnsi="Arial"/>
          <w:sz w:val="13"/>
          <w:szCs w:val="13"/>
          <w:color w:val="auto"/>
        </w:rPr>
        <w:t>Refer to our annual report on Form 10-K for the year ended December 31, 2023 for a discussion of our critical accounting estimates related to recognition of real estate acquired, impairment of long-lived assets, impairment of non-real estate investments, and monitoring of tenant credit quality.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188595</wp:posOffset>
            </wp:positionV>
            <wp:extent cx="5584190" cy="286702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584190" cy="2867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Definitions and reconciliations</w:t>
      </w:r>
    </w:p>
    <w:p>
      <w:pPr>
        <w:spacing w:after="0" w:line="162" w:lineRule="exact"/>
        <w:rPr>
          <w:sz w:val="20"/>
          <w:szCs w:val="20"/>
          <w:color w:val="auto"/>
        </w:rPr>
      </w:pPr>
    </w:p>
    <w:p>
      <w:pPr>
        <w:ind w:left="640" w:right="939" w:firstLine="516"/>
        <w:spacing w:after="0" w:line="257" w:lineRule="auto"/>
        <w:rPr>
          <w:sz w:val="20"/>
          <w:szCs w:val="20"/>
          <w:color w:val="auto"/>
        </w:rPr>
      </w:pPr>
      <w:r>
        <w:rPr>
          <w:rFonts w:ascii="Arial" w:cs="Arial" w:eastAsia="Arial" w:hAnsi="Arial"/>
          <w:sz w:val="13"/>
          <w:szCs w:val="13"/>
          <w:color w:val="auto"/>
        </w:rPr>
        <w:t>This section contains additional information on certain non-GAAP financial measures, including reconciliations to the most directly comparable financial measure calculated and presented in accordance with GAAP and the reasons why we use these supplemental measures of performance and believe they provide useful information to investors, as well as the definitions of other terms used in this report.</w:t>
      </w:r>
    </w:p>
    <w:p>
      <w:pPr>
        <w:spacing w:after="0" w:line="133" w:lineRule="exact"/>
        <w:rPr>
          <w:sz w:val="20"/>
          <w:szCs w:val="20"/>
          <w:color w:val="auto"/>
        </w:rPr>
      </w:pPr>
    </w:p>
    <w:p>
      <w:pPr>
        <w:ind w:left="640" w:right="1239"/>
        <w:spacing w:after="0" w:line="272" w:lineRule="auto"/>
        <w:rPr>
          <w:sz w:val="20"/>
          <w:szCs w:val="20"/>
          <w:color w:val="auto"/>
        </w:rPr>
      </w:pPr>
      <w:r>
        <w:rPr>
          <w:rFonts w:ascii="Arial" w:cs="Arial" w:eastAsia="Arial" w:hAnsi="Arial"/>
          <w:sz w:val="13"/>
          <w:szCs w:val="13"/>
          <w:u w:val="single" w:color="auto"/>
          <w:color w:val="auto"/>
        </w:rPr>
        <w:t>Funds from operations and funds from operations, as adjusted, attributable to Alexandria Real Estate Equities, Inc.’s common stockholders</w:t>
      </w:r>
    </w:p>
    <w:p>
      <w:pPr>
        <w:spacing w:after="0" w:line="123" w:lineRule="exact"/>
        <w:rPr>
          <w:sz w:val="20"/>
          <w:szCs w:val="20"/>
          <w:color w:val="auto"/>
        </w:rPr>
      </w:pPr>
    </w:p>
    <w:p>
      <w:pPr>
        <w:ind w:left="640" w:right="639" w:firstLine="516"/>
        <w:spacing w:after="0" w:line="251" w:lineRule="auto"/>
        <w:rPr>
          <w:sz w:val="20"/>
          <w:szCs w:val="20"/>
          <w:color w:val="auto"/>
        </w:rPr>
      </w:pPr>
      <w:r>
        <w:rPr>
          <w:rFonts w:ascii="Arial" w:cs="Arial" w:eastAsia="Arial" w:hAnsi="Arial"/>
          <w:sz w:val="13"/>
          <w:szCs w:val="13"/>
          <w:color w:val="auto"/>
        </w:rPr>
        <w:t>GAAP-basis accounting for real estate assets utilizes historical cost accounting and assumes that real estate values diminish over time. In an effort to overcome the difference between real estate values and historical cost accounting for real estate assets, the Nareit Board of Governors established funds from operations as an improved measurement tool. Since its introduction, funds from operations has become a widely used non-GAAP financial measure among equity REITs. We believe that funds from operations is helpful to investors as an additional measure of the performance of an equity REIT. Moreover, we believe that funds from operations, as adjusted, allows investors to compare our performance to the performance of other real estate companies on a consistent basis, without having to account for differences recognized because of real estate acquisition and disposition decisions, financing decisions, capital structure, capital market transactions, variances resulting from the volatility of market conditions outside of our control, or other corporate activities that may not be representative of the operating performance of our properties.</w:t>
      </w:r>
    </w:p>
    <w:p>
      <w:pPr>
        <w:spacing w:after="0" w:line="118" w:lineRule="exact"/>
        <w:rPr>
          <w:sz w:val="20"/>
          <w:szCs w:val="20"/>
          <w:color w:val="auto"/>
        </w:rPr>
      </w:pPr>
    </w:p>
    <w:p>
      <w:pPr>
        <w:ind w:left="640" w:right="639" w:firstLine="516"/>
        <w:spacing w:after="0" w:line="273" w:lineRule="auto"/>
        <w:rPr>
          <w:sz w:val="20"/>
          <w:szCs w:val="20"/>
          <w:color w:val="auto"/>
        </w:rPr>
      </w:pPr>
      <w:r>
        <w:rPr>
          <w:rFonts w:ascii="Arial" w:cs="Arial" w:eastAsia="Arial" w:hAnsi="Arial"/>
          <w:sz w:val="12"/>
          <w:szCs w:val="12"/>
          <w:color w:val="auto"/>
        </w:rPr>
        <w:t>The 2018 White Paper published by the Nareit Board of Governors (the “Nareit White Paper”) defines funds from operations as net income (computed in accordance with GAAP), excluding gains or losses on sales of real estate, and impairments of real estate, plus depreciation and amortization of operating real estate assets, and after adjustments for our share of consolidated and unconsolidated partnerships and real estate joint ventures. Impairments represent the write-down of assets when fair value over the recoverability</w:t>
      </w:r>
    </w:p>
    <w:p>
      <w:pPr>
        <w:sectPr>
          <w:pgSz w:w="11900" w:h="16851" w:orient="portrait"/>
          <w:cols w:equalWidth="0" w:num="1">
            <w:col w:w="9019"/>
          </w:cols>
          <w:pgMar w:left="1440" w:top="269" w:right="1440" w:bottom="0" w:gutter="0" w:footer="0" w:header="0"/>
        </w:sectPr>
      </w:pPr>
    </w:p>
    <w:bookmarkStart w:id="65" w:name="page66"/>
    <w:bookmarkEnd w:id="65"/>
    <w:p>
      <w:pPr>
        <w:spacing w:after="0" w:line="26" w:lineRule="exact"/>
        <w:rPr>
          <w:sz w:val="20"/>
          <w:szCs w:val="20"/>
          <w:color w:val="auto"/>
        </w:rPr>
      </w:pPr>
    </w:p>
    <w:p>
      <w:pPr>
        <w:ind w:left="640" w:right="1219"/>
        <w:spacing w:after="0" w:line="196" w:lineRule="auto"/>
        <w:rPr>
          <w:sz w:val="20"/>
          <w:szCs w:val="20"/>
          <w:color w:val="auto"/>
        </w:rPr>
      </w:pPr>
      <w:r>
        <w:rPr>
          <w:rFonts w:ascii="Arial" w:cs="Arial" w:eastAsia="Arial" w:hAnsi="Arial"/>
          <w:sz w:val="13"/>
          <w:szCs w:val="13"/>
          <w:color w:val="auto"/>
        </w:rPr>
        <w:t>period is less than the carrying value due to changes in general market conditions and do not necessarily reflect the operating performance of the properties during the corresponding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-140335</wp:posOffset>
            </wp:positionV>
            <wp:extent cx="5584190" cy="434657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584190" cy="4346575"/>
                    </a:xfrm>
                    <a:prstGeom prst="rect">
                      <a:avLst/>
                    </a:prstGeom>
                    <a:noFill/>
                  </pic:spPr>
                </pic:pic>
              </a:graphicData>
            </a:graphic>
          </wp:anchor>
        </w:drawing>
      </w:r>
    </w:p>
    <w:p>
      <w:pPr>
        <w:spacing w:after="0" w:line="91" w:lineRule="exact"/>
        <w:rPr>
          <w:sz w:val="20"/>
          <w:szCs w:val="20"/>
          <w:color w:val="auto"/>
        </w:rPr>
      </w:pPr>
    </w:p>
    <w:p>
      <w:pPr>
        <w:ind w:left="640" w:right="659" w:firstLine="516"/>
        <w:spacing w:after="0" w:line="251" w:lineRule="auto"/>
        <w:rPr>
          <w:sz w:val="20"/>
          <w:szCs w:val="20"/>
          <w:color w:val="auto"/>
        </w:rPr>
      </w:pPr>
      <w:r>
        <w:rPr>
          <w:rFonts w:ascii="Arial" w:cs="Arial" w:eastAsia="Arial" w:hAnsi="Arial"/>
          <w:sz w:val="13"/>
          <w:szCs w:val="13"/>
          <w:color w:val="auto"/>
        </w:rPr>
        <w:t>We compute funds from operations, as adjusted, as funds from operations calculated in accordance with the Nareit White Paper, excluding significant gains, losses, and impairments realized on non-real estate investments, unrealized gains or losses on non-real estate investments, impairment of real estate primarily consisting of pre-acquisition costs incurred in connection with acquisitions we decided to no longer pursue, gains or losses on early extinguishment of debt, significant termination fees, acceleration of stock compensation expense due to the resignations of executive officers, deal costs, the income tax effect related to such items, and the amount of such items that is allocable to our unvested restricted stock awards. We compute the amount that is allocable to our unvested restricted stock awards using the two-class method. Under the two-class method, we allocate net income (after amounts attributable to noncontrolling interests) to common stockholders and to unvested restricted stock awards by applying the respective weighted-average shares outstanding during each quarter-to-date and year-to-date period. This may result in a difference of the summation of the quarter-to-date and year-to-date amounts. Neither funds from operations nor funds from operations, as adjusted, should be considered as alternatives to net income (determined in accordance with GAAP) as indications of financial performance, or to cash flows from operating activities (determined in accordance with GAAP) as measures of liquidity, nor are they indicative of the availability of funds for our cash needs, including our ability to make distributions.</w:t>
      </w:r>
    </w:p>
    <w:p>
      <w:pPr>
        <w:spacing w:after="0" w:line="137" w:lineRule="exact"/>
        <w:rPr>
          <w:sz w:val="20"/>
          <w:szCs w:val="20"/>
          <w:color w:val="auto"/>
        </w:rPr>
      </w:pPr>
    </w:p>
    <w:p>
      <w:pPr>
        <w:ind w:left="640" w:right="899" w:firstLine="516"/>
        <w:spacing w:after="0" w:line="265" w:lineRule="auto"/>
        <w:rPr>
          <w:sz w:val="20"/>
          <w:szCs w:val="20"/>
          <w:color w:val="auto"/>
        </w:rPr>
      </w:pPr>
      <w:r>
        <w:rPr>
          <w:rFonts w:ascii="Arial" w:cs="Arial" w:eastAsia="Arial" w:hAnsi="Arial"/>
          <w:sz w:val="13"/>
          <w:szCs w:val="13"/>
          <w:color w:val="auto"/>
        </w:rPr>
        <w:t>The following table reconciles net income to funds from operations for the share of consolidated real estate joint ventures attributable to noncontrolling interests and our share of unconsolidated real estate joint ventures for the three and six months ended June 30, 2024 (in thousands):</w:t>
      </w:r>
    </w:p>
    <w:p>
      <w:pPr>
        <w:spacing w:after="0" w:line="343" w:lineRule="exact"/>
        <w:rPr>
          <w:sz w:val="20"/>
          <w:szCs w:val="20"/>
          <w:color w:val="auto"/>
        </w:rPr>
      </w:pPr>
    </w:p>
    <w:tbl>
      <w:tblPr>
        <w:tblLayout w:type="fixed"/>
        <w:tblInd w:w="760" w:type="dxa"/>
        <w:tblCellMar>
          <w:top w:w="0" w:type="dxa"/>
          <w:left w:w="0" w:type="dxa"/>
          <w:bottom w:w="0" w:type="dxa"/>
          <w:right w:w="0" w:type="dxa"/>
        </w:tblCellMar>
      </w:tblPr>
      <w:tr>
        <w:trPr>
          <w:trHeight w:val="149"/>
        </w:trPr>
        <w:tc>
          <w:tcPr>
            <w:tcW w:w="1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20" w:type="dxa"/>
            <w:vAlign w:val="bottom"/>
            <w:gridSpan w:val="5"/>
          </w:tcPr>
          <w:p>
            <w:pPr>
              <w:jc w:val="center"/>
              <w:ind w:right="200"/>
              <w:spacing w:after="0"/>
              <w:rPr>
                <w:sz w:val="20"/>
                <w:szCs w:val="20"/>
                <w:color w:val="auto"/>
              </w:rPr>
            </w:pPr>
            <w:r>
              <w:rPr>
                <w:rFonts w:ascii="Arial" w:cs="Arial" w:eastAsia="Arial" w:hAnsi="Arial"/>
                <w:sz w:val="13"/>
                <w:szCs w:val="13"/>
                <w:color w:val="auto"/>
                <w:w w:val="99"/>
              </w:rPr>
              <w:t>Noncontrolling Interest Share of</w:t>
            </w:r>
          </w:p>
        </w:tc>
        <w:tc>
          <w:tcPr>
            <w:tcW w:w="320" w:type="dxa"/>
            <w:vAlign w:val="bottom"/>
          </w:tcPr>
          <w:p>
            <w:pPr>
              <w:spacing w:after="0"/>
              <w:rPr>
                <w:sz w:val="13"/>
                <w:szCs w:val="13"/>
                <w:color w:val="auto"/>
              </w:rPr>
            </w:pPr>
          </w:p>
        </w:tc>
        <w:tc>
          <w:tcPr>
            <w:tcW w:w="2400" w:type="dxa"/>
            <w:vAlign w:val="bottom"/>
            <w:gridSpan w:val="4"/>
          </w:tcPr>
          <w:p>
            <w:pPr>
              <w:jc w:val="center"/>
              <w:ind w:right="276"/>
              <w:spacing w:after="0"/>
              <w:rPr>
                <w:sz w:val="20"/>
                <w:szCs w:val="20"/>
                <w:color w:val="auto"/>
              </w:rPr>
            </w:pPr>
            <w:r>
              <w:rPr>
                <w:rFonts w:ascii="Arial" w:cs="Arial" w:eastAsia="Arial" w:hAnsi="Arial"/>
                <w:sz w:val="13"/>
                <w:szCs w:val="13"/>
                <w:color w:val="auto"/>
                <w:w w:val="98"/>
              </w:rPr>
              <w:t>Our Share of Unconsolidated</w:t>
            </w:r>
          </w:p>
        </w:tc>
        <w:tc>
          <w:tcPr>
            <w:tcW w:w="0" w:type="dxa"/>
            <w:vAlign w:val="bottom"/>
          </w:tcPr>
          <w:p>
            <w:pPr>
              <w:spacing w:after="0"/>
              <w:rPr>
                <w:sz w:val="1"/>
                <w:szCs w:val="1"/>
                <w:color w:val="auto"/>
              </w:rPr>
            </w:pPr>
          </w:p>
        </w:tc>
      </w:tr>
      <w:tr>
        <w:trPr>
          <w:trHeight w:val="170"/>
        </w:trPr>
        <w:tc>
          <w:tcPr>
            <w:tcW w:w="19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4"/>
          </w:tcPr>
          <w:p>
            <w:pPr>
              <w:jc w:val="center"/>
              <w:ind w:right="76"/>
              <w:spacing w:after="0"/>
              <w:rPr>
                <w:sz w:val="20"/>
                <w:szCs w:val="20"/>
                <w:color w:val="auto"/>
              </w:rPr>
            </w:pPr>
            <w:r>
              <w:rPr>
                <w:rFonts w:ascii="Arial" w:cs="Arial" w:eastAsia="Arial" w:hAnsi="Arial"/>
                <w:sz w:val="13"/>
                <w:szCs w:val="13"/>
                <w:color w:val="auto"/>
                <w:w w:val="98"/>
              </w:rPr>
              <w:t>Consolidated Real Estate Joint Ventures</w:t>
            </w:r>
          </w:p>
        </w:tc>
        <w:tc>
          <w:tcPr>
            <w:tcW w:w="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4"/>
          </w:tcPr>
          <w:p>
            <w:pPr>
              <w:jc w:val="center"/>
              <w:ind w:right="256"/>
              <w:spacing w:after="0"/>
              <w:rPr>
                <w:sz w:val="20"/>
                <w:szCs w:val="20"/>
                <w:color w:val="auto"/>
              </w:rPr>
            </w:pPr>
            <w:r>
              <w:rPr>
                <w:rFonts w:ascii="Arial" w:cs="Arial" w:eastAsia="Arial" w:hAnsi="Arial"/>
                <w:sz w:val="13"/>
                <w:szCs w:val="13"/>
                <w:color w:val="auto"/>
                <w:w w:val="98"/>
              </w:rPr>
              <w:t>Real Estate Joint Ventures</w:t>
            </w:r>
          </w:p>
        </w:tc>
        <w:tc>
          <w:tcPr>
            <w:tcW w:w="0" w:type="dxa"/>
            <w:vAlign w:val="bottom"/>
          </w:tcPr>
          <w:p>
            <w:pPr>
              <w:spacing w:after="0"/>
              <w:rPr>
                <w:sz w:val="1"/>
                <w:szCs w:val="1"/>
                <w:color w:val="auto"/>
              </w:rPr>
            </w:pPr>
          </w:p>
        </w:tc>
      </w:tr>
      <w:tr>
        <w:trPr>
          <w:trHeight w:val="184"/>
        </w:trPr>
        <w:tc>
          <w:tcPr>
            <w:tcW w:w="19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center"/>
              <w:ind w:right="76"/>
              <w:spacing w:after="0"/>
              <w:rPr>
                <w:sz w:val="20"/>
                <w:szCs w:val="20"/>
                <w:color w:val="auto"/>
              </w:rPr>
            </w:pPr>
            <w:r>
              <w:rPr>
                <w:rFonts w:ascii="Arial" w:cs="Arial" w:eastAsia="Arial" w:hAnsi="Arial"/>
                <w:sz w:val="13"/>
                <w:szCs w:val="13"/>
                <w:color w:val="auto"/>
                <w:w w:val="99"/>
              </w:rPr>
              <w:t>June 30, 2024</w:t>
            </w:r>
          </w:p>
        </w:tc>
        <w:tc>
          <w:tcPr>
            <w:tcW w:w="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center"/>
              <w:ind w:right="276"/>
              <w:spacing w:after="0"/>
              <w:rPr>
                <w:sz w:val="20"/>
                <w:szCs w:val="20"/>
                <w:color w:val="auto"/>
              </w:rPr>
            </w:pPr>
            <w:r>
              <w:rPr>
                <w:rFonts w:ascii="Arial" w:cs="Arial" w:eastAsia="Arial" w:hAnsi="Arial"/>
                <w:sz w:val="13"/>
                <w:szCs w:val="13"/>
                <w:color w:val="auto"/>
                <w:w w:val="99"/>
              </w:rPr>
              <w:t>June 30, 2024</w:t>
            </w:r>
          </w:p>
        </w:tc>
        <w:tc>
          <w:tcPr>
            <w:tcW w:w="0" w:type="dxa"/>
            <w:vAlign w:val="bottom"/>
          </w:tcPr>
          <w:p>
            <w:pPr>
              <w:spacing w:after="0"/>
              <w:rPr>
                <w:sz w:val="1"/>
                <w:szCs w:val="1"/>
                <w:color w:val="auto"/>
              </w:rPr>
            </w:pPr>
          </w:p>
        </w:tc>
      </w:tr>
      <w:tr>
        <w:trPr>
          <w:trHeight w:val="184"/>
        </w:trPr>
        <w:tc>
          <w:tcPr>
            <w:tcW w:w="1980" w:type="dxa"/>
            <w:vAlign w:val="bottom"/>
          </w:tcPr>
          <w:p>
            <w:pPr>
              <w:spacing w:after="0"/>
              <w:rPr>
                <w:sz w:val="16"/>
                <w:szCs w:val="16"/>
                <w:color w:val="auto"/>
              </w:rPr>
            </w:pPr>
          </w:p>
        </w:tc>
        <w:tc>
          <w:tcPr>
            <w:tcW w:w="1380" w:type="dxa"/>
            <w:vAlign w:val="bottom"/>
            <w:gridSpan w:val="3"/>
          </w:tcPr>
          <w:p>
            <w:pPr>
              <w:ind w:left="80"/>
              <w:spacing w:after="0"/>
              <w:rPr>
                <w:sz w:val="20"/>
                <w:szCs w:val="20"/>
                <w:color w:val="auto"/>
              </w:rPr>
            </w:pPr>
            <w:r>
              <w:rPr>
                <w:rFonts w:ascii="Arial" w:cs="Arial" w:eastAsia="Arial" w:hAnsi="Arial"/>
                <w:sz w:val="13"/>
                <w:szCs w:val="13"/>
                <w:color w:val="auto"/>
              </w:rPr>
              <w:t>Three Months Ended</w:t>
            </w:r>
          </w:p>
        </w:tc>
        <w:tc>
          <w:tcPr>
            <w:tcW w:w="140" w:type="dxa"/>
            <w:vAlign w:val="bottom"/>
          </w:tcPr>
          <w:p>
            <w:pPr>
              <w:spacing w:after="0"/>
              <w:rPr>
                <w:sz w:val="16"/>
                <w:szCs w:val="16"/>
                <w:color w:val="auto"/>
              </w:rPr>
            </w:pPr>
          </w:p>
        </w:tc>
        <w:tc>
          <w:tcPr>
            <w:tcW w:w="1260" w:type="dxa"/>
            <w:vAlign w:val="bottom"/>
            <w:gridSpan w:val="2"/>
          </w:tcPr>
          <w:p>
            <w:pPr>
              <w:ind w:left="20"/>
              <w:spacing w:after="0"/>
              <w:rPr>
                <w:sz w:val="20"/>
                <w:szCs w:val="20"/>
                <w:color w:val="auto"/>
              </w:rPr>
            </w:pPr>
            <w:r>
              <w:rPr>
                <w:rFonts w:ascii="Arial" w:cs="Arial" w:eastAsia="Arial" w:hAnsi="Arial"/>
                <w:sz w:val="13"/>
                <w:szCs w:val="13"/>
                <w:color w:val="auto"/>
              </w:rPr>
              <w:t>Six Months Ended</w:t>
            </w:r>
          </w:p>
        </w:tc>
        <w:tc>
          <w:tcPr>
            <w:tcW w:w="1380" w:type="dxa"/>
            <w:vAlign w:val="bottom"/>
            <w:gridSpan w:val="3"/>
          </w:tcPr>
          <w:p>
            <w:pPr>
              <w:ind w:left="60"/>
              <w:spacing w:after="0"/>
              <w:rPr>
                <w:sz w:val="20"/>
                <w:szCs w:val="20"/>
                <w:color w:val="auto"/>
              </w:rPr>
            </w:pPr>
            <w:r>
              <w:rPr>
                <w:rFonts w:ascii="Arial" w:cs="Arial" w:eastAsia="Arial" w:hAnsi="Arial"/>
                <w:sz w:val="13"/>
                <w:szCs w:val="13"/>
                <w:color w:val="auto"/>
              </w:rPr>
              <w:t>Three Months Ended</w:t>
            </w:r>
          </w:p>
        </w:tc>
        <w:tc>
          <w:tcPr>
            <w:tcW w:w="140" w:type="dxa"/>
            <w:vAlign w:val="bottom"/>
          </w:tcPr>
          <w:p>
            <w:pPr>
              <w:spacing w:after="0"/>
              <w:rPr>
                <w:sz w:val="16"/>
                <w:szCs w:val="16"/>
                <w:color w:val="auto"/>
              </w:rPr>
            </w:pPr>
          </w:p>
        </w:tc>
        <w:tc>
          <w:tcPr>
            <w:tcW w:w="1200" w:type="dxa"/>
            <w:vAlign w:val="bottom"/>
          </w:tcPr>
          <w:p>
            <w:pPr>
              <w:jc w:val="right"/>
              <w:ind w:right="76"/>
              <w:spacing w:after="0"/>
              <w:rPr>
                <w:sz w:val="20"/>
                <w:szCs w:val="20"/>
                <w:color w:val="auto"/>
              </w:rPr>
            </w:pPr>
            <w:r>
              <w:rPr>
                <w:rFonts w:ascii="Arial" w:cs="Arial" w:eastAsia="Arial" w:hAnsi="Arial"/>
                <w:sz w:val="13"/>
                <w:szCs w:val="13"/>
                <w:color w:val="auto"/>
                <w:w w:val="98"/>
              </w:rPr>
              <w:t>Six Months Ended</w:t>
            </w:r>
          </w:p>
        </w:tc>
        <w:tc>
          <w:tcPr>
            <w:tcW w:w="0" w:type="dxa"/>
            <w:vAlign w:val="bottom"/>
          </w:tcPr>
          <w:p>
            <w:pPr>
              <w:spacing w:after="0"/>
              <w:rPr>
                <w:sz w:val="1"/>
                <w:szCs w:val="1"/>
                <w:color w:val="auto"/>
              </w:rPr>
            </w:pPr>
          </w:p>
        </w:tc>
      </w:tr>
      <w:tr>
        <w:trPr>
          <w:trHeight w:val="186"/>
        </w:trPr>
        <w:tc>
          <w:tcPr>
            <w:tcW w:w="19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Net income</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80" w:type="dxa"/>
            <w:vAlign w:val="bottom"/>
            <w:tcBorders>
              <w:top w:val="single" w:sz="8" w:color="auto"/>
            </w:tcBorders>
            <w:shd w:val="clear" w:color="auto" w:fill="CCEEFF"/>
          </w:tcPr>
          <w:p>
            <w:pPr>
              <w:ind w:left="740"/>
              <w:spacing w:after="0"/>
              <w:rPr>
                <w:sz w:val="20"/>
                <w:szCs w:val="20"/>
                <w:color w:val="auto"/>
              </w:rPr>
            </w:pPr>
            <w:r>
              <w:rPr>
                <w:rFonts w:ascii="Arial" w:cs="Arial" w:eastAsia="Arial" w:hAnsi="Arial"/>
                <w:sz w:val="13"/>
                <w:szCs w:val="13"/>
                <w:color w:val="auto"/>
              </w:rPr>
              <w:t>47,347</w:t>
            </w:r>
          </w:p>
        </w:tc>
        <w:tc>
          <w:tcPr>
            <w:tcW w:w="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95,978</w:t>
            </w:r>
          </w:p>
        </w:tc>
        <w:tc>
          <w:tcPr>
            <w:tcW w:w="6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jc w:val="right"/>
              <w:ind w:right="156"/>
              <w:spacing w:after="0"/>
              <w:rPr>
                <w:sz w:val="20"/>
                <w:szCs w:val="20"/>
                <w:color w:val="auto"/>
              </w:rPr>
            </w:pPr>
            <w:r>
              <w:rPr>
                <w:rFonts w:ascii="Arial" w:cs="Arial" w:eastAsia="Arial" w:hAnsi="Arial"/>
                <w:sz w:val="13"/>
                <w:szCs w:val="13"/>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130</w:t>
            </w:r>
          </w:p>
        </w:tc>
        <w:tc>
          <w:tcPr>
            <w:tcW w:w="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285</w:t>
            </w:r>
          </w:p>
        </w:tc>
        <w:tc>
          <w:tcPr>
            <w:tcW w:w="0" w:type="dxa"/>
            <w:vAlign w:val="bottom"/>
          </w:tcPr>
          <w:p>
            <w:pPr>
              <w:spacing w:after="0"/>
              <w:rPr>
                <w:sz w:val="1"/>
                <w:szCs w:val="1"/>
                <w:color w:val="auto"/>
              </w:rPr>
            </w:pPr>
          </w:p>
        </w:tc>
      </w:tr>
      <w:tr>
        <w:trPr>
          <w:trHeight w:val="161"/>
        </w:trPr>
        <w:tc>
          <w:tcPr>
            <w:tcW w:w="1980" w:type="dxa"/>
            <w:vAlign w:val="bottom"/>
          </w:tcPr>
          <w:p>
            <w:pPr>
              <w:ind w:left="40"/>
              <w:spacing w:after="0"/>
              <w:rPr>
                <w:sz w:val="20"/>
                <w:szCs w:val="20"/>
                <w:color w:val="auto"/>
              </w:rPr>
            </w:pPr>
            <w:r>
              <w:rPr>
                <w:rFonts w:ascii="Arial" w:cs="Arial" w:eastAsia="Arial" w:hAnsi="Arial"/>
                <w:sz w:val="13"/>
                <w:szCs w:val="13"/>
                <w:color w:val="auto"/>
              </w:rPr>
              <w:t>Depreciation and amortization of</w:t>
            </w:r>
          </w:p>
        </w:tc>
        <w:tc>
          <w:tcPr>
            <w:tcW w:w="160" w:type="dxa"/>
            <w:vAlign w:val="bottom"/>
          </w:tcPr>
          <w:p>
            <w:pPr>
              <w:spacing w:after="0"/>
              <w:rPr>
                <w:sz w:val="14"/>
                <w:szCs w:val="14"/>
                <w:color w:val="auto"/>
              </w:rPr>
            </w:pPr>
          </w:p>
        </w:tc>
        <w:tc>
          <w:tcPr>
            <w:tcW w:w="1180" w:type="dxa"/>
            <w:vAlign w:val="bottom"/>
            <w:vMerge w:val="restart"/>
          </w:tcPr>
          <w:p>
            <w:pPr>
              <w:ind w:left="740"/>
              <w:spacing w:after="0"/>
              <w:rPr>
                <w:sz w:val="20"/>
                <w:szCs w:val="20"/>
                <w:color w:val="auto"/>
              </w:rPr>
            </w:pPr>
            <w:r>
              <w:rPr>
                <w:rFonts w:ascii="Arial" w:cs="Arial" w:eastAsia="Arial" w:hAnsi="Arial"/>
                <w:sz w:val="13"/>
                <w:szCs w:val="13"/>
                <w:color w:val="auto"/>
              </w:rPr>
              <w:t>31,364</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3"/>
                <w:szCs w:val="13"/>
                <w:color w:val="auto"/>
              </w:rPr>
              <w:t>62,268</w:t>
            </w: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3"/>
                <w:szCs w:val="13"/>
                <w:color w:val="auto"/>
              </w:rPr>
              <w:t>1,068</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3"/>
                <w:szCs w:val="13"/>
                <w:color w:val="auto"/>
              </w:rPr>
              <w:t>2,102</w:t>
            </w:r>
          </w:p>
        </w:tc>
        <w:tc>
          <w:tcPr>
            <w:tcW w:w="0" w:type="dxa"/>
            <w:vAlign w:val="bottom"/>
          </w:tcPr>
          <w:p>
            <w:pPr>
              <w:spacing w:after="0"/>
              <w:rPr>
                <w:sz w:val="1"/>
                <w:szCs w:val="1"/>
                <w:color w:val="auto"/>
              </w:rPr>
            </w:pPr>
          </w:p>
        </w:tc>
      </w:tr>
      <w:tr>
        <w:trPr>
          <w:trHeight w:val="170"/>
        </w:trPr>
        <w:tc>
          <w:tcPr>
            <w:tcW w:w="198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real estate assets</w:t>
            </w: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vMerge w:val="continue"/>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Funds from operations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8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3"/>
                <w:szCs w:val="13"/>
                <w:color w:val="auto"/>
              </w:rPr>
              <w:t>78,711</w:t>
            </w:r>
          </w:p>
        </w:tc>
        <w:tc>
          <w:tcPr>
            <w:tcW w:w="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158,246</w:t>
            </w:r>
          </w:p>
        </w:tc>
        <w:tc>
          <w:tcPr>
            <w:tcW w:w="6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1,198</w:t>
            </w:r>
          </w:p>
        </w:tc>
        <w:tc>
          <w:tcPr>
            <w:tcW w:w="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2,387</w:t>
            </w:r>
          </w:p>
        </w:tc>
        <w:tc>
          <w:tcPr>
            <w:tcW w:w="0" w:type="dxa"/>
            <w:vAlign w:val="bottom"/>
          </w:tcPr>
          <w:p>
            <w:pPr>
              <w:spacing w:after="0"/>
              <w:rPr>
                <w:sz w:val="1"/>
                <w:szCs w:val="1"/>
                <w:color w:val="auto"/>
              </w:rPr>
            </w:pPr>
          </w:p>
        </w:tc>
      </w:tr>
      <w:tr>
        <w:trPr>
          <w:trHeight w:val="20"/>
        </w:trPr>
        <w:tc>
          <w:tcPr>
            <w:tcW w:w="19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188595</wp:posOffset>
            </wp:positionV>
            <wp:extent cx="5584190" cy="610616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584190" cy="6106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40" w:right="679" w:firstLine="516"/>
        <w:spacing w:after="0" w:line="254" w:lineRule="auto"/>
        <w:rPr>
          <w:sz w:val="20"/>
          <w:szCs w:val="20"/>
          <w:color w:val="auto"/>
        </w:rPr>
      </w:pPr>
      <w:r>
        <w:rPr>
          <w:rFonts w:ascii="Arial" w:cs="Arial" w:eastAsia="Arial" w:hAnsi="Arial"/>
          <w:sz w:val="13"/>
          <w:szCs w:val="13"/>
          <w:color w:val="auto"/>
        </w:rPr>
        <w:t>The following tables present a reconciliation of net income attributable to Alexandria Real Estate Equities, Inc.’s common stockholders, the most directly comparable financial measure presented in accordance with GAAP, including our share of amounts from consolidated and unconsolidated real estate joint ventures, to funds from operations attributable to Alexandria Real Estate Equities, Inc.’s common stockholders – diluted, and funds from operations attributable to Alexandria Real Estate Equities, Inc.’s common stockholders – diluted, as adjusted, and the related per share amounts for the three and six months ended June 30, 2024 and 2023 (in thousands, except per share amounts). Per share amounts may not add due to rounding.</w:t>
      </w:r>
    </w:p>
    <w:p>
      <w:pPr>
        <w:spacing w:after="0" w:line="92"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3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40" w:type="dxa"/>
            <w:vAlign w:val="bottom"/>
            <w:gridSpan w:val="5"/>
          </w:tcPr>
          <w:p>
            <w:pPr>
              <w:jc w:val="center"/>
              <w:ind w:right="300"/>
              <w:spacing w:after="0"/>
              <w:rPr>
                <w:sz w:val="20"/>
                <w:szCs w:val="20"/>
                <w:color w:val="auto"/>
              </w:rPr>
            </w:pPr>
            <w:r>
              <w:rPr>
                <w:rFonts w:ascii="Arial" w:cs="Arial" w:eastAsia="Arial" w:hAnsi="Arial"/>
                <w:sz w:val="13"/>
                <w:szCs w:val="13"/>
                <w:color w:val="auto"/>
                <w:w w:val="99"/>
              </w:rPr>
              <w:t>Three Months Ended June 30,</w:t>
            </w:r>
          </w:p>
        </w:tc>
        <w:tc>
          <w:tcPr>
            <w:tcW w:w="140" w:type="dxa"/>
            <w:vAlign w:val="bottom"/>
          </w:tcPr>
          <w:p>
            <w:pPr>
              <w:spacing w:after="0"/>
              <w:rPr>
                <w:sz w:val="13"/>
                <w:szCs w:val="13"/>
                <w:color w:val="auto"/>
              </w:rPr>
            </w:pPr>
          </w:p>
        </w:tc>
        <w:tc>
          <w:tcPr>
            <w:tcW w:w="1820" w:type="dxa"/>
            <w:vAlign w:val="bottom"/>
            <w:gridSpan w:val="4"/>
          </w:tcPr>
          <w:p>
            <w:pPr>
              <w:jc w:val="right"/>
              <w:ind w:right="136"/>
              <w:spacing w:after="0"/>
              <w:rPr>
                <w:sz w:val="20"/>
                <w:szCs w:val="20"/>
                <w:color w:val="auto"/>
              </w:rPr>
            </w:pPr>
            <w:r>
              <w:rPr>
                <w:rFonts w:ascii="Arial" w:cs="Arial" w:eastAsia="Arial" w:hAnsi="Arial"/>
                <w:sz w:val="13"/>
                <w:szCs w:val="13"/>
                <w:color w:val="auto"/>
              </w:rPr>
              <w:t>Six Months Ended June 30,</w:t>
            </w:r>
          </w:p>
        </w:tc>
        <w:tc>
          <w:tcPr>
            <w:tcW w:w="0" w:type="dxa"/>
            <w:vAlign w:val="bottom"/>
          </w:tcPr>
          <w:p>
            <w:pPr>
              <w:spacing w:after="0"/>
              <w:rPr>
                <w:sz w:val="1"/>
                <w:szCs w:val="1"/>
                <w:color w:val="auto"/>
              </w:rPr>
            </w:pPr>
          </w:p>
        </w:tc>
      </w:tr>
      <w:tr>
        <w:trPr>
          <w:trHeight w:val="184"/>
        </w:trPr>
        <w:tc>
          <w:tcPr>
            <w:tcW w:w="36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ind w:right="236"/>
              <w:spacing w:after="0"/>
              <w:rPr>
                <w:sz w:val="20"/>
                <w:szCs w:val="20"/>
                <w:color w:val="auto"/>
              </w:rPr>
            </w:pPr>
            <w:r>
              <w:rPr>
                <w:rFonts w:ascii="Arial" w:cs="Arial" w:eastAsia="Arial" w:hAnsi="Arial"/>
                <w:sz w:val="13"/>
                <w:szCs w:val="13"/>
                <w:color w:val="auto"/>
              </w:rPr>
              <w:t>2024</w:t>
            </w:r>
          </w:p>
        </w:tc>
        <w:tc>
          <w:tcPr>
            <w:tcW w:w="180" w:type="dxa"/>
            <w:vAlign w:val="bottom"/>
            <w:tcBorders>
              <w:top w:val="single" w:sz="8" w:color="auto"/>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ind w:right="256"/>
              <w:spacing w:after="0"/>
              <w:rPr>
                <w:sz w:val="20"/>
                <w:szCs w:val="20"/>
                <w:color w:val="auto"/>
              </w:rPr>
            </w:pPr>
            <w:r>
              <w:rPr>
                <w:rFonts w:ascii="Arial" w:cs="Arial" w:eastAsia="Arial" w:hAnsi="Arial"/>
                <w:sz w:val="13"/>
                <w:szCs w:val="13"/>
                <w:color w:val="auto"/>
              </w:rPr>
              <w:t>2023</w:t>
            </w:r>
          </w:p>
        </w:tc>
        <w:tc>
          <w:tcPr>
            <w:tcW w:w="18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ind w:right="236"/>
              <w:spacing w:after="0"/>
              <w:rPr>
                <w:sz w:val="20"/>
                <w:szCs w:val="20"/>
                <w:color w:val="auto"/>
              </w:rPr>
            </w:pPr>
            <w:r>
              <w:rPr>
                <w:rFonts w:ascii="Arial" w:cs="Arial" w:eastAsia="Arial" w:hAnsi="Arial"/>
                <w:sz w:val="13"/>
                <w:szCs w:val="13"/>
                <w:color w:val="auto"/>
              </w:rPr>
              <w:t>2024</w:t>
            </w:r>
          </w:p>
        </w:tc>
        <w:tc>
          <w:tcPr>
            <w:tcW w:w="180" w:type="dxa"/>
            <w:vAlign w:val="bottom"/>
            <w:tcBorders>
              <w:top w:val="single" w:sz="8" w:color="auto"/>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ind w:right="236"/>
              <w:spacing w:after="0"/>
              <w:rPr>
                <w:sz w:val="20"/>
                <w:szCs w:val="20"/>
                <w:color w:val="auto"/>
              </w:rPr>
            </w:pPr>
            <w:r>
              <w:rPr>
                <w:rFonts w:ascii="Arial" w:cs="Arial" w:eastAsia="Arial" w:hAnsi="Arial"/>
                <w:sz w:val="13"/>
                <w:szCs w:val="13"/>
                <w:color w:val="auto"/>
              </w:rPr>
              <w:t>2023</w:t>
            </w:r>
          </w:p>
        </w:tc>
        <w:tc>
          <w:tcPr>
            <w:tcW w:w="0" w:type="dxa"/>
            <w:vAlign w:val="bottom"/>
          </w:tcPr>
          <w:p>
            <w:pPr>
              <w:spacing w:after="0"/>
              <w:rPr>
                <w:sz w:val="1"/>
                <w:szCs w:val="1"/>
                <w:color w:val="auto"/>
              </w:rPr>
            </w:pPr>
          </w:p>
        </w:tc>
      </w:tr>
      <w:tr>
        <w:trPr>
          <w:trHeight w:val="152"/>
        </w:trPr>
        <w:tc>
          <w:tcPr>
            <w:tcW w:w="360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income attributable to Alexandria Real Estate Equities,</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42,917</w:t>
            </w:r>
          </w:p>
        </w:tc>
        <w:tc>
          <w:tcPr>
            <w:tcW w:w="3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87,260</w:t>
            </w:r>
          </w:p>
        </w:tc>
        <w:tc>
          <w:tcPr>
            <w:tcW w:w="18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209,803</w:t>
            </w:r>
          </w:p>
        </w:tc>
        <w:tc>
          <w:tcPr>
            <w:tcW w:w="18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162,516</w:t>
            </w:r>
          </w:p>
        </w:tc>
        <w:tc>
          <w:tcPr>
            <w:tcW w:w="0" w:type="dxa"/>
            <w:vAlign w:val="bottom"/>
          </w:tcPr>
          <w:p>
            <w:pPr>
              <w:spacing w:after="0"/>
              <w:rPr>
                <w:sz w:val="1"/>
                <w:szCs w:val="1"/>
                <w:color w:val="auto"/>
              </w:rPr>
            </w:pPr>
          </w:p>
        </w:tc>
      </w:tr>
      <w:tr>
        <w:trPr>
          <w:trHeight w:val="161"/>
        </w:trPr>
        <w:tc>
          <w:tcPr>
            <w:tcW w:w="36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Inc.’s common stockholders – basic and diluted</w:t>
            </w:r>
          </w:p>
        </w:tc>
        <w:tc>
          <w:tcPr>
            <w:tcW w:w="120" w:type="dxa"/>
            <w:vAlign w:val="bottom"/>
            <w:vMerge w:val="continue"/>
            <w:shd w:val="clear" w:color="auto" w:fill="CCEEFF"/>
          </w:tcPr>
          <w:p>
            <w:pPr>
              <w:spacing w:after="0"/>
              <w:rPr>
                <w:sz w:val="13"/>
                <w:szCs w:val="13"/>
                <w:color w:val="auto"/>
              </w:rPr>
            </w:pPr>
          </w:p>
        </w:tc>
        <w:tc>
          <w:tcPr>
            <w:tcW w:w="780" w:type="dxa"/>
            <w:vAlign w:val="bottom"/>
            <w:vMerge w:val="continue"/>
            <w:shd w:val="clear" w:color="auto" w:fill="CCEEFF"/>
          </w:tcPr>
          <w:p>
            <w:pPr>
              <w:spacing w:after="0"/>
              <w:rPr>
                <w:sz w:val="13"/>
                <w:szCs w:val="13"/>
                <w:color w:val="auto"/>
              </w:rPr>
            </w:pPr>
          </w:p>
        </w:tc>
        <w:tc>
          <w:tcPr>
            <w:tcW w:w="380" w:type="dxa"/>
            <w:vAlign w:val="bottom"/>
            <w:gridSpan w:val="2"/>
            <w:vMerge w:val="continue"/>
            <w:shd w:val="clear" w:color="auto" w:fill="CCEEFF"/>
          </w:tcPr>
          <w:p>
            <w:pPr>
              <w:spacing w:after="0"/>
              <w:rPr>
                <w:sz w:val="13"/>
                <w:szCs w:val="13"/>
                <w:color w:val="auto"/>
              </w:rPr>
            </w:pPr>
          </w:p>
        </w:tc>
        <w:tc>
          <w:tcPr>
            <w:tcW w:w="700" w:type="dxa"/>
            <w:vAlign w:val="bottom"/>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vMerge w:val="continue"/>
            <w:shd w:val="clear" w:color="auto" w:fill="CCEEFF"/>
          </w:tcPr>
          <w:p>
            <w:pPr>
              <w:spacing w:after="0"/>
              <w:rPr>
                <w:sz w:val="13"/>
                <w:szCs w:val="13"/>
                <w:color w:val="auto"/>
              </w:rPr>
            </w:pPr>
          </w:p>
        </w:tc>
        <w:tc>
          <w:tcPr>
            <w:tcW w:w="740" w:type="dxa"/>
            <w:vAlign w:val="bottom"/>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20" w:type="dxa"/>
            <w:vAlign w:val="bottom"/>
            <w:vMerge w:val="continue"/>
            <w:shd w:val="clear" w:color="auto" w:fill="CCEEFF"/>
          </w:tcPr>
          <w:p>
            <w:pPr>
              <w:spacing w:after="0"/>
              <w:rPr>
                <w:sz w:val="13"/>
                <w:szCs w:val="13"/>
                <w:color w:val="auto"/>
              </w:rPr>
            </w:pPr>
          </w:p>
        </w:tc>
        <w:tc>
          <w:tcPr>
            <w:tcW w:w="68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3600" w:type="dxa"/>
            <w:vAlign w:val="bottom"/>
          </w:tcPr>
          <w:p>
            <w:pPr>
              <w:ind w:left="140"/>
              <w:spacing w:after="0"/>
              <w:rPr>
                <w:sz w:val="20"/>
                <w:szCs w:val="20"/>
                <w:color w:val="auto"/>
              </w:rPr>
            </w:pPr>
            <w:r>
              <w:rPr>
                <w:rFonts w:ascii="Arial" w:cs="Arial" w:eastAsia="Arial" w:hAnsi="Arial"/>
                <w:sz w:val="13"/>
                <w:szCs w:val="13"/>
                <w:color w:val="auto"/>
              </w:rPr>
              <w:t>Depreciation and amortization of real estate assets</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288,118</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270,026</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573,068</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532,150</w:t>
            </w:r>
          </w:p>
        </w:tc>
        <w:tc>
          <w:tcPr>
            <w:tcW w:w="0" w:type="dxa"/>
            <w:vAlign w:val="bottom"/>
          </w:tcPr>
          <w:p>
            <w:pPr>
              <w:spacing w:after="0"/>
              <w:rPr>
                <w:sz w:val="1"/>
                <w:szCs w:val="1"/>
                <w:color w:val="auto"/>
              </w:rPr>
            </w:pPr>
          </w:p>
        </w:tc>
      </w:tr>
      <w:tr>
        <w:trPr>
          <w:trHeight w:val="172"/>
        </w:trPr>
        <w:tc>
          <w:tcPr>
            <w:tcW w:w="3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Noncontrolling share of depreciation and amortization from</w:t>
            </w:r>
          </w:p>
        </w:tc>
        <w:tc>
          <w:tcPr>
            <w:tcW w:w="12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(31,364)</w:t>
            </w: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(28,220)</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(62,268)</w:t>
            </w: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(56,398)</w:t>
            </w:r>
          </w:p>
        </w:tc>
        <w:tc>
          <w:tcPr>
            <w:tcW w:w="0" w:type="dxa"/>
            <w:vAlign w:val="bottom"/>
          </w:tcPr>
          <w:p>
            <w:pPr>
              <w:spacing w:after="0"/>
              <w:rPr>
                <w:sz w:val="1"/>
                <w:szCs w:val="1"/>
                <w:color w:val="auto"/>
              </w:rPr>
            </w:pPr>
          </w:p>
        </w:tc>
      </w:tr>
      <w:tr>
        <w:trPr>
          <w:trHeight w:val="161"/>
        </w:trPr>
        <w:tc>
          <w:tcPr>
            <w:tcW w:w="36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consolidated real estate JVs</w:t>
            </w:r>
          </w:p>
        </w:tc>
        <w:tc>
          <w:tcPr>
            <w:tcW w:w="120" w:type="dxa"/>
            <w:vAlign w:val="bottom"/>
            <w:shd w:val="clear" w:color="auto" w:fill="CCEEFF"/>
          </w:tcPr>
          <w:p>
            <w:pPr>
              <w:spacing w:after="0"/>
              <w:rPr>
                <w:sz w:val="13"/>
                <w:szCs w:val="13"/>
                <w:color w:val="auto"/>
              </w:rPr>
            </w:pPr>
          </w:p>
        </w:tc>
        <w:tc>
          <w:tcPr>
            <w:tcW w:w="780" w:type="dxa"/>
            <w:vAlign w:val="bottom"/>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3600" w:type="dxa"/>
            <w:vAlign w:val="bottom"/>
          </w:tcPr>
          <w:p>
            <w:pPr>
              <w:ind w:left="140"/>
              <w:spacing w:after="0"/>
              <w:rPr>
                <w:sz w:val="20"/>
                <w:szCs w:val="20"/>
                <w:color w:val="auto"/>
              </w:rPr>
            </w:pPr>
            <w:r>
              <w:rPr>
                <w:rFonts w:ascii="Arial" w:cs="Arial" w:eastAsia="Arial" w:hAnsi="Arial"/>
                <w:sz w:val="13"/>
                <w:szCs w:val="13"/>
                <w:color w:val="auto"/>
              </w:rPr>
              <w:t>Our share of depreciation and amortization from</w:t>
            </w:r>
          </w:p>
        </w:tc>
        <w:tc>
          <w:tcPr>
            <w:tcW w:w="12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1,068</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855</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2,102</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1,714</w:t>
            </w:r>
          </w:p>
        </w:tc>
        <w:tc>
          <w:tcPr>
            <w:tcW w:w="0" w:type="dxa"/>
            <w:vAlign w:val="bottom"/>
          </w:tcPr>
          <w:p>
            <w:pPr>
              <w:spacing w:after="0"/>
              <w:rPr>
                <w:sz w:val="1"/>
                <w:szCs w:val="1"/>
                <w:color w:val="auto"/>
              </w:rPr>
            </w:pPr>
          </w:p>
        </w:tc>
      </w:tr>
      <w:tr>
        <w:trPr>
          <w:trHeight w:val="161"/>
        </w:trPr>
        <w:tc>
          <w:tcPr>
            <w:tcW w:w="3600" w:type="dxa"/>
            <w:vAlign w:val="bottom"/>
          </w:tcPr>
          <w:p>
            <w:pPr>
              <w:ind w:left="280"/>
              <w:spacing w:after="0"/>
              <w:rPr>
                <w:sz w:val="20"/>
                <w:szCs w:val="20"/>
                <w:color w:val="auto"/>
              </w:rPr>
            </w:pPr>
            <w:r>
              <w:rPr>
                <w:rFonts w:ascii="Arial" w:cs="Arial" w:eastAsia="Arial" w:hAnsi="Arial"/>
                <w:sz w:val="13"/>
                <w:szCs w:val="13"/>
                <w:color w:val="auto"/>
              </w:rPr>
              <w:t>unconsolidated real estate JVs</w:t>
            </w:r>
          </w:p>
        </w:tc>
        <w:tc>
          <w:tcPr>
            <w:tcW w:w="12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3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Gain on sales of real estate</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(214,810)</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(392)</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(214,810)</w:t>
            </w:r>
          </w:p>
        </w:tc>
        <w:tc>
          <w:tcPr>
            <w:tcW w:w="0" w:type="dxa"/>
            <w:vAlign w:val="bottom"/>
          </w:tcPr>
          <w:p>
            <w:pPr>
              <w:spacing w:after="0"/>
              <w:rPr>
                <w:sz w:val="1"/>
                <w:szCs w:val="1"/>
                <w:color w:val="auto"/>
              </w:rPr>
            </w:pPr>
          </w:p>
        </w:tc>
      </w:tr>
      <w:tr>
        <w:trPr>
          <w:trHeight w:val="204"/>
        </w:trPr>
        <w:tc>
          <w:tcPr>
            <w:tcW w:w="3600" w:type="dxa"/>
            <w:vAlign w:val="bottom"/>
          </w:tcPr>
          <w:p>
            <w:pPr>
              <w:ind w:left="140"/>
              <w:spacing w:after="0"/>
              <w:rPr>
                <w:sz w:val="20"/>
                <w:szCs w:val="20"/>
                <w:color w:val="auto"/>
              </w:rPr>
            </w:pPr>
            <w:r>
              <w:rPr>
                <w:rFonts w:ascii="Arial" w:cs="Arial" w:eastAsia="Arial" w:hAnsi="Arial"/>
                <w:sz w:val="13"/>
                <w:szCs w:val="13"/>
                <w:color w:val="auto"/>
              </w:rPr>
              <w:t>Impairment of real estate – rental properties and land</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2,182</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166,602</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2,182</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166,602</w:t>
            </w:r>
          </w:p>
        </w:tc>
        <w:tc>
          <w:tcPr>
            <w:tcW w:w="0" w:type="dxa"/>
            <w:vAlign w:val="bottom"/>
          </w:tcPr>
          <w:p>
            <w:pPr>
              <w:spacing w:after="0"/>
              <w:rPr>
                <w:sz w:val="1"/>
                <w:szCs w:val="1"/>
                <w:color w:val="auto"/>
              </w:rPr>
            </w:pPr>
          </w:p>
        </w:tc>
      </w:tr>
      <w:tr>
        <w:trPr>
          <w:trHeight w:val="204"/>
        </w:trPr>
        <w:tc>
          <w:tcPr>
            <w:tcW w:w="3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Allocation to unvested restricted stock awards</w:t>
            </w:r>
          </w:p>
        </w:tc>
        <w:tc>
          <w:tcPr>
            <w:tcW w:w="1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(1,305)</w:t>
            </w:r>
          </w:p>
        </w:tc>
        <w:tc>
          <w:tcPr>
            <w:tcW w:w="1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(872)</w:t>
            </w:r>
          </w:p>
        </w:tc>
        <w:tc>
          <w:tcPr>
            <w:tcW w:w="1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(4,736)</w:t>
            </w:r>
          </w:p>
        </w:tc>
        <w:tc>
          <w:tcPr>
            <w:tcW w:w="1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(2,220)</w:t>
            </w:r>
          </w:p>
        </w:tc>
        <w:tc>
          <w:tcPr>
            <w:tcW w:w="0" w:type="dxa"/>
            <w:vAlign w:val="bottom"/>
          </w:tcPr>
          <w:p>
            <w:pPr>
              <w:spacing w:after="0"/>
              <w:rPr>
                <w:sz w:val="1"/>
                <w:szCs w:val="1"/>
                <w:color w:val="auto"/>
              </w:rPr>
            </w:pPr>
          </w:p>
        </w:tc>
      </w:tr>
      <w:tr>
        <w:trPr>
          <w:trHeight w:val="154"/>
        </w:trPr>
        <w:tc>
          <w:tcPr>
            <w:tcW w:w="3600" w:type="dxa"/>
            <w:vAlign w:val="bottom"/>
          </w:tcPr>
          <w:p>
            <w:pPr>
              <w:ind w:left="40"/>
              <w:spacing w:after="0"/>
              <w:rPr>
                <w:sz w:val="20"/>
                <w:szCs w:val="20"/>
                <w:color w:val="auto"/>
              </w:rPr>
            </w:pPr>
            <w:r>
              <w:rPr>
                <w:rFonts w:ascii="Arial" w:cs="Arial" w:eastAsia="Arial" w:hAnsi="Arial"/>
                <w:sz w:val="13"/>
                <w:szCs w:val="13"/>
                <w:color w:val="auto"/>
              </w:rPr>
              <w:t>Funds from operations attributable to Alexandria Real Estate</w:t>
            </w: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3600" w:type="dxa"/>
            <w:vAlign w:val="bottom"/>
          </w:tcPr>
          <w:p>
            <w:pPr>
              <w:ind w:left="180"/>
              <w:spacing w:after="0" w:line="170" w:lineRule="exact"/>
              <w:rPr>
                <w:sz w:val="20"/>
                <w:szCs w:val="20"/>
                <w:color w:val="auto"/>
              </w:rPr>
            </w:pPr>
            <w:r>
              <w:rPr>
                <w:rFonts w:ascii="Arial" w:cs="Arial" w:eastAsia="Arial" w:hAnsi="Arial"/>
                <w:sz w:val="13"/>
                <w:szCs w:val="13"/>
                <w:color w:val="auto"/>
              </w:rPr>
              <w:t>Equities, Inc.’s common stockholders – diluted</w:t>
            </w:r>
            <w:r>
              <w:rPr>
                <w:rFonts w:ascii="Arial" w:cs="Arial" w:eastAsia="Arial" w:hAnsi="Arial"/>
                <w:sz w:val="16"/>
                <w:szCs w:val="16"/>
                <w:color w:val="auto"/>
                <w:vertAlign w:val="superscript"/>
              </w:rPr>
              <w:t>(1)</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301,616</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280,841</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719,759</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589,554</w:t>
            </w:r>
          </w:p>
        </w:tc>
        <w:tc>
          <w:tcPr>
            <w:tcW w:w="0" w:type="dxa"/>
            <w:vAlign w:val="bottom"/>
          </w:tcPr>
          <w:p>
            <w:pPr>
              <w:spacing w:after="0"/>
              <w:rPr>
                <w:sz w:val="1"/>
                <w:szCs w:val="1"/>
                <w:color w:val="auto"/>
              </w:rPr>
            </w:pPr>
          </w:p>
        </w:tc>
      </w:tr>
      <w:tr>
        <w:trPr>
          <w:trHeight w:val="204"/>
        </w:trPr>
        <w:tc>
          <w:tcPr>
            <w:tcW w:w="3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Unrealized losses on non-real estate investments</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64,238</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77,897</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35,080</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143,752</w:t>
            </w:r>
          </w:p>
        </w:tc>
        <w:tc>
          <w:tcPr>
            <w:tcW w:w="0" w:type="dxa"/>
            <w:vAlign w:val="bottom"/>
          </w:tcPr>
          <w:p>
            <w:pPr>
              <w:spacing w:after="0"/>
              <w:rPr>
                <w:sz w:val="1"/>
                <w:szCs w:val="1"/>
                <w:color w:val="auto"/>
              </w:rPr>
            </w:pPr>
          </w:p>
        </w:tc>
      </w:tr>
      <w:tr>
        <w:trPr>
          <w:trHeight w:val="204"/>
        </w:trPr>
        <w:tc>
          <w:tcPr>
            <w:tcW w:w="3600" w:type="dxa"/>
            <w:vAlign w:val="bottom"/>
          </w:tcPr>
          <w:p>
            <w:pPr>
              <w:ind w:left="140"/>
              <w:spacing w:after="0"/>
              <w:rPr>
                <w:sz w:val="20"/>
                <w:szCs w:val="20"/>
                <w:color w:val="auto"/>
              </w:rPr>
            </w:pPr>
            <w:r>
              <w:rPr>
                <w:rFonts w:ascii="Arial" w:cs="Arial" w:eastAsia="Arial" w:hAnsi="Arial"/>
                <w:sz w:val="13"/>
                <w:szCs w:val="13"/>
                <w:color w:val="auto"/>
              </w:rPr>
              <w:t>Impairment of non-real estate investments</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12,788</w:t>
            </w:r>
          </w:p>
        </w:tc>
        <w:tc>
          <w:tcPr>
            <w:tcW w:w="180" w:type="dxa"/>
            <w:vAlign w:val="bottom"/>
          </w:tcPr>
          <w:p>
            <w:pPr>
              <w:jc w:val="center"/>
              <w:spacing w:after="0"/>
              <w:rPr>
                <w:sz w:val="20"/>
                <w:szCs w:val="20"/>
                <w:color w:val="auto"/>
              </w:rPr>
            </w:pPr>
            <w:r>
              <w:rPr>
                <w:rFonts w:ascii="Arial" w:cs="Arial" w:eastAsia="Arial" w:hAnsi="Arial"/>
                <w:sz w:val="8"/>
                <w:szCs w:val="8"/>
                <w:color w:val="auto"/>
              </w:rPr>
              <w:t>(2)</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22,953</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27,486</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22,953</w:t>
            </w:r>
          </w:p>
        </w:tc>
        <w:tc>
          <w:tcPr>
            <w:tcW w:w="0" w:type="dxa"/>
            <w:vAlign w:val="bottom"/>
          </w:tcPr>
          <w:p>
            <w:pPr>
              <w:spacing w:after="0"/>
              <w:rPr>
                <w:sz w:val="1"/>
                <w:szCs w:val="1"/>
                <w:color w:val="auto"/>
              </w:rPr>
            </w:pPr>
          </w:p>
        </w:tc>
      </w:tr>
      <w:tr>
        <w:trPr>
          <w:trHeight w:val="204"/>
        </w:trPr>
        <w:tc>
          <w:tcPr>
            <w:tcW w:w="3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Impairment of real estate</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28,581</w:t>
            </w:r>
          </w:p>
        </w:tc>
        <w:tc>
          <w:tcPr>
            <w:tcW w:w="180" w:type="dxa"/>
            <w:vAlign w:val="bottom"/>
            <w:shd w:val="clear" w:color="auto" w:fill="CCEEFF"/>
          </w:tcPr>
          <w:p>
            <w:pPr>
              <w:jc w:val="center"/>
              <w:spacing w:after="0"/>
              <w:rPr>
                <w:sz w:val="20"/>
                <w:szCs w:val="20"/>
                <w:color w:val="auto"/>
              </w:rPr>
            </w:pPr>
            <w:r>
              <w:rPr>
                <w:rFonts w:ascii="Arial" w:cs="Arial" w:eastAsia="Arial" w:hAnsi="Arial"/>
                <w:sz w:val="8"/>
                <w:szCs w:val="8"/>
                <w:color w:val="auto"/>
              </w:rPr>
              <w:t>(3)</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1,973</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28,581</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1,973</w:t>
            </w:r>
          </w:p>
        </w:tc>
        <w:tc>
          <w:tcPr>
            <w:tcW w:w="0" w:type="dxa"/>
            <w:vAlign w:val="bottom"/>
          </w:tcPr>
          <w:p>
            <w:pPr>
              <w:spacing w:after="0"/>
              <w:rPr>
                <w:sz w:val="1"/>
                <w:szCs w:val="1"/>
                <w:color w:val="auto"/>
              </w:rPr>
            </w:pPr>
          </w:p>
        </w:tc>
      </w:tr>
      <w:tr>
        <w:trPr>
          <w:trHeight w:val="204"/>
        </w:trPr>
        <w:tc>
          <w:tcPr>
            <w:tcW w:w="360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Allocation to unvested restricted stock awards</w:t>
            </w: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(1,738)</w:t>
            </w:r>
          </w:p>
        </w:tc>
        <w:tc>
          <w:tcPr>
            <w:tcW w:w="1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(1,285)</w:t>
            </w:r>
          </w:p>
        </w:tc>
        <w:tc>
          <w:tcPr>
            <w:tcW w:w="1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(1,528)</w:t>
            </w:r>
          </w:p>
        </w:tc>
        <w:tc>
          <w:tcPr>
            <w:tcW w:w="1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(2,164)</w:t>
            </w:r>
          </w:p>
        </w:tc>
        <w:tc>
          <w:tcPr>
            <w:tcW w:w="0" w:type="dxa"/>
            <w:vAlign w:val="bottom"/>
          </w:tcPr>
          <w:p>
            <w:pPr>
              <w:spacing w:after="0"/>
              <w:rPr>
                <w:sz w:val="1"/>
                <w:szCs w:val="1"/>
                <w:color w:val="auto"/>
              </w:rPr>
            </w:pPr>
          </w:p>
        </w:tc>
      </w:tr>
      <w:tr>
        <w:trPr>
          <w:trHeight w:val="152"/>
        </w:trPr>
        <w:tc>
          <w:tcPr>
            <w:tcW w:w="3600" w:type="dxa"/>
            <w:vAlign w:val="bottom"/>
            <w:shd w:val="clear" w:color="auto" w:fill="CCEEFF"/>
          </w:tcPr>
          <w:p>
            <w:pPr>
              <w:ind w:left="40"/>
              <w:spacing w:after="0"/>
              <w:rPr>
                <w:sz w:val="20"/>
                <w:szCs w:val="20"/>
                <w:color w:val="auto"/>
              </w:rPr>
            </w:pPr>
            <w:r>
              <w:rPr>
                <w:rFonts w:ascii="Arial" w:cs="Arial" w:eastAsia="Arial" w:hAnsi="Arial"/>
                <w:sz w:val="13"/>
                <w:szCs w:val="13"/>
                <w:color w:val="auto"/>
              </w:rPr>
              <w:t>Funds from operations attributable to Alexandria Real Estate</w:t>
            </w: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3600" w:type="dxa"/>
            <w:vAlign w:val="bottom"/>
            <w:shd w:val="clear" w:color="auto" w:fill="CCEEFF"/>
          </w:tcPr>
          <w:p>
            <w:pPr>
              <w:ind w:left="180"/>
              <w:spacing w:after="0" w:line="129" w:lineRule="exact"/>
              <w:rPr>
                <w:sz w:val="20"/>
                <w:szCs w:val="20"/>
                <w:color w:val="auto"/>
              </w:rPr>
            </w:pPr>
            <w:r>
              <w:rPr>
                <w:rFonts w:ascii="Arial" w:cs="Arial" w:eastAsia="Arial" w:hAnsi="Arial"/>
                <w:sz w:val="13"/>
                <w:szCs w:val="13"/>
                <w:color w:val="auto"/>
              </w:rPr>
              <w:t>Equities, Inc.’s common stockholders – diluted, as</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405,485</w:t>
            </w:r>
          </w:p>
        </w:tc>
        <w:tc>
          <w:tcPr>
            <w:tcW w:w="3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382,379</w:t>
            </w:r>
          </w:p>
        </w:tc>
        <w:tc>
          <w:tcPr>
            <w:tcW w:w="180" w:type="dxa"/>
            <w:vAlign w:val="bottom"/>
            <w:shd w:val="clear" w:color="auto" w:fill="CCEEFF"/>
          </w:tcPr>
          <w:p>
            <w:pPr>
              <w:spacing w:after="0"/>
              <w:rPr>
                <w:sz w:val="11"/>
                <w:szCs w:val="11"/>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809,378</w:t>
            </w:r>
          </w:p>
        </w:tc>
        <w:tc>
          <w:tcPr>
            <w:tcW w:w="180" w:type="dxa"/>
            <w:vAlign w:val="bottom"/>
            <w:shd w:val="clear" w:color="auto" w:fill="CCEEFF"/>
          </w:tcPr>
          <w:p>
            <w:pPr>
              <w:spacing w:after="0"/>
              <w:rPr>
                <w:sz w:val="11"/>
                <w:szCs w:val="11"/>
                <w:color w:val="auto"/>
              </w:rPr>
            </w:pPr>
          </w:p>
        </w:tc>
        <w:tc>
          <w:tcPr>
            <w:tcW w:w="220" w:type="dxa"/>
            <w:vAlign w:val="bottom"/>
            <w:vMerge w:val="restart"/>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756,068</w:t>
            </w:r>
          </w:p>
        </w:tc>
        <w:tc>
          <w:tcPr>
            <w:tcW w:w="0" w:type="dxa"/>
            <w:vAlign w:val="bottom"/>
          </w:tcPr>
          <w:p>
            <w:pPr>
              <w:spacing w:after="0"/>
              <w:rPr>
                <w:sz w:val="1"/>
                <w:szCs w:val="1"/>
                <w:color w:val="auto"/>
              </w:rPr>
            </w:pPr>
          </w:p>
        </w:tc>
      </w:tr>
      <w:tr>
        <w:trPr>
          <w:trHeight w:val="159"/>
        </w:trPr>
        <w:tc>
          <w:tcPr>
            <w:tcW w:w="3600" w:type="dxa"/>
            <w:vAlign w:val="bottom"/>
            <w:shd w:val="clear" w:color="auto" w:fill="CCEEFF"/>
          </w:tcPr>
          <w:p>
            <w:pPr>
              <w:ind w:left="180"/>
              <w:spacing w:after="0" w:line="139" w:lineRule="exact"/>
              <w:rPr>
                <w:sz w:val="20"/>
                <w:szCs w:val="20"/>
                <w:color w:val="auto"/>
              </w:rPr>
            </w:pPr>
            <w:r>
              <w:rPr>
                <w:rFonts w:ascii="Arial" w:cs="Arial" w:eastAsia="Arial" w:hAnsi="Arial"/>
                <w:sz w:val="13"/>
                <w:szCs w:val="13"/>
                <w:color w:val="auto"/>
              </w:rPr>
              <w:t>adjusted</w:t>
            </w:r>
          </w:p>
        </w:tc>
        <w:tc>
          <w:tcPr>
            <w:tcW w:w="120" w:type="dxa"/>
            <w:vAlign w:val="bottom"/>
            <w:vMerge w:val="continue"/>
            <w:shd w:val="clear" w:color="auto" w:fill="CCEEFF"/>
          </w:tcPr>
          <w:p>
            <w:pPr>
              <w:spacing w:after="0"/>
              <w:rPr>
                <w:sz w:val="13"/>
                <w:szCs w:val="13"/>
                <w:color w:val="auto"/>
              </w:rPr>
            </w:pPr>
          </w:p>
        </w:tc>
        <w:tc>
          <w:tcPr>
            <w:tcW w:w="780" w:type="dxa"/>
            <w:vAlign w:val="bottom"/>
            <w:vMerge w:val="continue"/>
            <w:shd w:val="clear" w:color="auto" w:fill="CCEEFF"/>
          </w:tcPr>
          <w:p>
            <w:pPr>
              <w:spacing w:after="0"/>
              <w:rPr>
                <w:sz w:val="13"/>
                <w:szCs w:val="13"/>
                <w:color w:val="auto"/>
              </w:rPr>
            </w:pPr>
          </w:p>
        </w:tc>
        <w:tc>
          <w:tcPr>
            <w:tcW w:w="380" w:type="dxa"/>
            <w:vAlign w:val="bottom"/>
            <w:gridSpan w:val="2"/>
            <w:vMerge w:val="continue"/>
            <w:shd w:val="clear" w:color="auto" w:fill="CCEEFF"/>
          </w:tcPr>
          <w:p>
            <w:pPr>
              <w:spacing w:after="0"/>
              <w:rPr>
                <w:sz w:val="13"/>
                <w:szCs w:val="13"/>
                <w:color w:val="auto"/>
              </w:rPr>
            </w:pPr>
          </w:p>
        </w:tc>
        <w:tc>
          <w:tcPr>
            <w:tcW w:w="700" w:type="dxa"/>
            <w:vAlign w:val="bottom"/>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vMerge w:val="continue"/>
            <w:shd w:val="clear" w:color="auto" w:fill="CCEEFF"/>
          </w:tcPr>
          <w:p>
            <w:pPr>
              <w:spacing w:after="0"/>
              <w:rPr>
                <w:sz w:val="13"/>
                <w:szCs w:val="13"/>
                <w:color w:val="auto"/>
              </w:rPr>
            </w:pPr>
          </w:p>
        </w:tc>
        <w:tc>
          <w:tcPr>
            <w:tcW w:w="740" w:type="dxa"/>
            <w:vAlign w:val="bottom"/>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20" w:type="dxa"/>
            <w:vAlign w:val="bottom"/>
            <w:vMerge w:val="continue"/>
            <w:shd w:val="clear" w:color="auto" w:fill="CCEEFF"/>
          </w:tcPr>
          <w:p>
            <w:pPr>
              <w:spacing w:after="0"/>
              <w:rPr>
                <w:sz w:val="13"/>
                <w:szCs w:val="13"/>
                <w:color w:val="auto"/>
              </w:rPr>
            </w:pPr>
          </w:p>
        </w:tc>
        <w:tc>
          <w:tcPr>
            <w:tcW w:w="68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6" w:lineRule="exact"/>
        <w:rPr>
          <w:sz w:val="20"/>
          <w:szCs w:val="20"/>
          <w:color w:val="auto"/>
        </w:rPr>
      </w:pPr>
    </w:p>
    <w:p>
      <w:pPr>
        <w:ind w:left="900" w:hanging="262"/>
        <w:spacing w:after="0"/>
        <w:tabs>
          <w:tab w:leader="none" w:pos="900" w:val="left"/>
        </w:tabs>
        <w:numPr>
          <w:ilvl w:val="0"/>
          <w:numId w:val="116"/>
        </w:numPr>
        <w:rPr>
          <w:rFonts w:ascii="Arial" w:cs="Arial" w:eastAsia="Arial" w:hAnsi="Arial"/>
          <w:sz w:val="10"/>
          <w:szCs w:val="10"/>
          <w:color w:val="auto"/>
        </w:rPr>
      </w:pPr>
      <w:r>
        <w:rPr>
          <w:rFonts w:ascii="Arial" w:cs="Arial" w:eastAsia="Arial" w:hAnsi="Arial"/>
          <w:sz w:val="10"/>
          <w:szCs w:val="10"/>
          <w:color w:val="auto"/>
        </w:rPr>
        <w:t>Calculated in accordance with standards established by the Nareit Board of Governors.</w:t>
      </w:r>
    </w:p>
    <w:p>
      <w:pPr>
        <w:spacing w:after="0" w:line="13" w:lineRule="exact"/>
        <w:rPr>
          <w:rFonts w:ascii="Arial" w:cs="Arial" w:eastAsia="Arial" w:hAnsi="Arial"/>
          <w:sz w:val="10"/>
          <w:szCs w:val="10"/>
          <w:color w:val="auto"/>
        </w:rPr>
      </w:pPr>
    </w:p>
    <w:p>
      <w:pPr>
        <w:ind w:left="900" w:right="1139" w:hanging="262"/>
        <w:spacing w:after="0" w:line="251" w:lineRule="auto"/>
        <w:tabs>
          <w:tab w:leader="none" w:pos="900" w:val="left"/>
        </w:tabs>
        <w:numPr>
          <w:ilvl w:val="0"/>
          <w:numId w:val="116"/>
        </w:numPr>
        <w:rPr>
          <w:rFonts w:ascii="Arial" w:cs="Arial" w:eastAsia="Arial" w:hAnsi="Arial"/>
          <w:sz w:val="10"/>
          <w:szCs w:val="10"/>
          <w:color w:val="auto"/>
        </w:rPr>
      </w:pPr>
      <w:r>
        <w:rPr>
          <w:rFonts w:ascii="Arial" w:cs="Arial" w:eastAsia="Arial" w:hAnsi="Arial"/>
          <w:sz w:val="10"/>
          <w:szCs w:val="10"/>
          <w:color w:val="auto"/>
        </w:rPr>
        <w:t>Related to non-real estate investments in privately held entities that do not report NAV. Refer to Note 7 – “Investments” to our unaudited consolidated financial statements in Item 1 for additional information.</w:t>
      </w:r>
    </w:p>
    <w:p>
      <w:pPr>
        <w:ind w:left="900" w:right="839" w:hanging="262"/>
        <w:spacing w:after="0" w:line="275" w:lineRule="auto"/>
        <w:tabs>
          <w:tab w:leader="none" w:pos="900" w:val="left"/>
        </w:tabs>
        <w:numPr>
          <w:ilvl w:val="0"/>
          <w:numId w:val="116"/>
        </w:numPr>
        <w:rPr>
          <w:rFonts w:ascii="Arial" w:cs="Arial" w:eastAsia="Arial" w:hAnsi="Arial"/>
          <w:sz w:val="10"/>
          <w:szCs w:val="10"/>
          <w:color w:val="auto"/>
        </w:rPr>
      </w:pPr>
      <w:r>
        <w:rPr>
          <w:rFonts w:ascii="Arial" w:cs="Arial" w:eastAsia="Arial" w:hAnsi="Arial"/>
          <w:sz w:val="10"/>
          <w:szCs w:val="10"/>
          <w:color w:val="auto"/>
        </w:rPr>
        <w:t>Refer to “Sales of real estate assets and impairment charges” in Note 3 – “Investments in real estate” to our unaudited consolidated financial statements in Item 1 for additional information.</w:t>
      </w:r>
    </w:p>
    <w:p>
      <w:pPr>
        <w:spacing w:after="0" w:line="156" w:lineRule="exact"/>
        <w:rPr>
          <w:sz w:val="20"/>
          <w:szCs w:val="20"/>
          <w:color w:val="auto"/>
        </w:rPr>
      </w:pPr>
    </w:p>
    <w:tbl>
      <w:tblPr>
        <w:tblLayout w:type="fixed"/>
        <w:tblInd w:w="680" w:type="dxa"/>
        <w:tblCellMar>
          <w:top w:w="0" w:type="dxa"/>
          <w:left w:w="0" w:type="dxa"/>
          <w:bottom w:w="0" w:type="dxa"/>
          <w:right w:w="0" w:type="dxa"/>
        </w:tblCellMar>
      </w:tblPr>
      <w:tr>
        <w:trPr>
          <w:trHeight w:val="169"/>
        </w:trPr>
        <w:tc>
          <w:tcPr>
            <w:tcW w:w="3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60" w:type="dxa"/>
            <w:vAlign w:val="bottom"/>
            <w:gridSpan w:val="3"/>
          </w:tcPr>
          <w:p>
            <w:pPr>
              <w:jc w:val="right"/>
              <w:ind w:right="156"/>
              <w:spacing w:after="0"/>
              <w:rPr>
                <w:sz w:val="20"/>
                <w:szCs w:val="20"/>
                <w:color w:val="auto"/>
              </w:rPr>
            </w:pPr>
            <w:r>
              <w:rPr>
                <w:rFonts w:ascii="Arial" w:cs="Arial" w:eastAsia="Arial" w:hAnsi="Arial"/>
                <w:sz w:val="13"/>
                <w:szCs w:val="13"/>
                <w:color w:val="auto"/>
                <w:w w:val="98"/>
              </w:rPr>
              <w:t>Three Months Ended June 30,</w:t>
            </w:r>
          </w:p>
        </w:tc>
        <w:tc>
          <w:tcPr>
            <w:tcW w:w="240" w:type="dxa"/>
            <w:vAlign w:val="bottom"/>
          </w:tcPr>
          <w:p>
            <w:pPr>
              <w:spacing w:after="0"/>
              <w:rPr>
                <w:sz w:val="14"/>
                <w:szCs w:val="14"/>
                <w:color w:val="auto"/>
              </w:rPr>
            </w:pPr>
          </w:p>
        </w:tc>
        <w:tc>
          <w:tcPr>
            <w:tcW w:w="1800" w:type="dxa"/>
            <w:vAlign w:val="bottom"/>
            <w:gridSpan w:val="3"/>
          </w:tcPr>
          <w:p>
            <w:pPr>
              <w:jc w:val="right"/>
              <w:ind w:right="116"/>
              <w:spacing w:after="0"/>
              <w:rPr>
                <w:sz w:val="20"/>
                <w:szCs w:val="20"/>
                <w:color w:val="auto"/>
              </w:rPr>
            </w:pPr>
            <w:r>
              <w:rPr>
                <w:rFonts w:ascii="Arial" w:cs="Arial" w:eastAsia="Arial" w:hAnsi="Arial"/>
                <w:sz w:val="13"/>
                <w:szCs w:val="13"/>
                <w:color w:val="auto"/>
              </w:rPr>
              <w:t>Six Months Ended June 30,</w:t>
            </w:r>
          </w:p>
        </w:tc>
        <w:tc>
          <w:tcPr>
            <w:tcW w:w="0" w:type="dxa"/>
            <w:vAlign w:val="bottom"/>
          </w:tcPr>
          <w:p>
            <w:pPr>
              <w:spacing w:after="0"/>
              <w:rPr>
                <w:sz w:val="1"/>
                <w:szCs w:val="1"/>
                <w:color w:val="auto"/>
              </w:rPr>
            </w:pPr>
          </w:p>
        </w:tc>
      </w:tr>
      <w:tr>
        <w:trPr>
          <w:trHeight w:val="204"/>
        </w:trPr>
        <w:tc>
          <w:tcPr>
            <w:tcW w:w="3540" w:type="dxa"/>
            <w:vAlign w:val="bottom"/>
          </w:tcPr>
          <w:p>
            <w:pPr>
              <w:spacing w:after="0"/>
              <w:rPr>
                <w:sz w:val="20"/>
                <w:szCs w:val="20"/>
                <w:color w:val="auto"/>
              </w:rPr>
            </w:pPr>
            <w:r>
              <w:rPr>
                <w:rFonts w:ascii="Arial" w:cs="Arial" w:eastAsia="Arial" w:hAnsi="Arial"/>
                <w:sz w:val="13"/>
                <w:szCs w:val="13"/>
                <w:i w:val="1"/>
                <w:iCs w:val="1"/>
                <w:color w:val="auto"/>
              </w:rPr>
              <w:t>(Per share)</w:t>
            </w:r>
          </w:p>
        </w:tc>
        <w:tc>
          <w:tcPr>
            <w:tcW w:w="140" w:type="dxa"/>
            <w:vAlign w:val="bottom"/>
          </w:tcPr>
          <w:p>
            <w:pPr>
              <w:spacing w:after="0"/>
              <w:rPr>
                <w:sz w:val="17"/>
                <w:szCs w:val="17"/>
                <w:color w:val="auto"/>
              </w:rPr>
            </w:pPr>
          </w:p>
        </w:tc>
        <w:tc>
          <w:tcPr>
            <w:tcW w:w="900" w:type="dxa"/>
            <w:vAlign w:val="bottom"/>
          </w:tcPr>
          <w:p>
            <w:pPr>
              <w:jc w:val="right"/>
              <w:ind w:right="356"/>
              <w:spacing w:after="0"/>
              <w:rPr>
                <w:sz w:val="20"/>
                <w:szCs w:val="20"/>
                <w:color w:val="auto"/>
              </w:rPr>
            </w:pPr>
            <w:r>
              <w:rPr>
                <w:rFonts w:ascii="Arial" w:cs="Arial" w:eastAsia="Arial" w:hAnsi="Arial"/>
                <w:sz w:val="13"/>
                <w:szCs w:val="13"/>
                <w:color w:val="auto"/>
              </w:rPr>
              <w:t>2024</w:t>
            </w:r>
          </w:p>
        </w:tc>
        <w:tc>
          <w:tcPr>
            <w:tcW w:w="280" w:type="dxa"/>
            <w:vAlign w:val="bottom"/>
          </w:tcPr>
          <w:p>
            <w:pPr>
              <w:spacing w:after="0"/>
              <w:rPr>
                <w:sz w:val="17"/>
                <w:szCs w:val="17"/>
                <w:color w:val="auto"/>
              </w:rPr>
            </w:pPr>
          </w:p>
        </w:tc>
        <w:tc>
          <w:tcPr>
            <w:tcW w:w="780" w:type="dxa"/>
            <w:vAlign w:val="bottom"/>
          </w:tcPr>
          <w:p>
            <w:pPr>
              <w:jc w:val="right"/>
              <w:ind w:right="336"/>
              <w:spacing w:after="0"/>
              <w:rPr>
                <w:sz w:val="20"/>
                <w:szCs w:val="20"/>
                <w:color w:val="auto"/>
              </w:rPr>
            </w:pPr>
            <w:r>
              <w:rPr>
                <w:rFonts w:ascii="Arial" w:cs="Arial" w:eastAsia="Arial" w:hAnsi="Arial"/>
                <w:sz w:val="13"/>
                <w:szCs w:val="13"/>
                <w:color w:val="auto"/>
              </w:rPr>
              <w:t>2023</w:t>
            </w:r>
          </w:p>
        </w:tc>
        <w:tc>
          <w:tcPr>
            <w:tcW w:w="240" w:type="dxa"/>
            <w:vAlign w:val="bottom"/>
          </w:tcPr>
          <w:p>
            <w:pPr>
              <w:spacing w:after="0"/>
              <w:rPr>
                <w:sz w:val="17"/>
                <w:szCs w:val="17"/>
                <w:color w:val="auto"/>
              </w:rPr>
            </w:pPr>
          </w:p>
        </w:tc>
        <w:tc>
          <w:tcPr>
            <w:tcW w:w="840" w:type="dxa"/>
            <w:vAlign w:val="bottom"/>
          </w:tcPr>
          <w:p>
            <w:pPr>
              <w:jc w:val="right"/>
              <w:ind w:right="336"/>
              <w:spacing w:after="0"/>
              <w:rPr>
                <w:sz w:val="20"/>
                <w:szCs w:val="20"/>
                <w:color w:val="auto"/>
              </w:rPr>
            </w:pPr>
            <w:r>
              <w:rPr>
                <w:rFonts w:ascii="Arial" w:cs="Arial" w:eastAsia="Arial" w:hAnsi="Arial"/>
                <w:sz w:val="13"/>
                <w:szCs w:val="13"/>
                <w:color w:val="auto"/>
              </w:rPr>
              <w:t>2024</w:t>
            </w:r>
          </w:p>
        </w:tc>
        <w:tc>
          <w:tcPr>
            <w:tcW w:w="280" w:type="dxa"/>
            <w:vAlign w:val="bottom"/>
          </w:tcPr>
          <w:p>
            <w:pPr>
              <w:spacing w:after="0"/>
              <w:rPr>
                <w:sz w:val="17"/>
                <w:szCs w:val="17"/>
                <w:color w:val="auto"/>
              </w:rPr>
            </w:pPr>
          </w:p>
        </w:tc>
        <w:tc>
          <w:tcPr>
            <w:tcW w:w="680" w:type="dxa"/>
            <w:vAlign w:val="bottom"/>
          </w:tcPr>
          <w:p>
            <w:pPr>
              <w:jc w:val="right"/>
              <w:ind w:right="236"/>
              <w:spacing w:after="0"/>
              <w:rPr>
                <w:sz w:val="20"/>
                <w:szCs w:val="20"/>
                <w:color w:val="auto"/>
              </w:rPr>
            </w:pPr>
            <w:r>
              <w:rPr>
                <w:rFonts w:ascii="Arial" w:cs="Arial" w:eastAsia="Arial" w:hAnsi="Arial"/>
                <w:sz w:val="13"/>
                <w:szCs w:val="13"/>
                <w:color w:val="auto"/>
              </w:rPr>
              <w:t>2023</w:t>
            </w:r>
          </w:p>
        </w:tc>
        <w:tc>
          <w:tcPr>
            <w:tcW w:w="0" w:type="dxa"/>
            <w:vAlign w:val="bottom"/>
          </w:tcPr>
          <w:p>
            <w:pPr>
              <w:spacing w:after="0"/>
              <w:rPr>
                <w:sz w:val="1"/>
                <w:szCs w:val="1"/>
                <w:color w:val="auto"/>
              </w:rPr>
            </w:pPr>
          </w:p>
        </w:tc>
      </w:tr>
      <w:tr>
        <w:trPr>
          <w:trHeight w:val="164"/>
        </w:trPr>
        <w:tc>
          <w:tcPr>
            <w:tcW w:w="3540" w:type="dxa"/>
            <w:vAlign w:val="bottom"/>
          </w:tcPr>
          <w:p>
            <w:pPr>
              <w:spacing w:after="0"/>
              <w:rPr>
                <w:sz w:val="20"/>
                <w:szCs w:val="20"/>
                <w:color w:val="auto"/>
              </w:rPr>
            </w:pPr>
            <w:r>
              <w:rPr>
                <w:rFonts w:ascii="Arial" w:cs="Arial" w:eastAsia="Arial" w:hAnsi="Arial"/>
                <w:sz w:val="13"/>
                <w:szCs w:val="13"/>
                <w:color w:val="auto"/>
              </w:rPr>
              <w:t>Net income per share attributable to Alexandria Real Estate</w:t>
            </w: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900" w:type="dxa"/>
            <w:vAlign w:val="bottom"/>
            <w:vMerge w:val="restart"/>
          </w:tcPr>
          <w:p>
            <w:pPr>
              <w:jc w:val="right"/>
              <w:ind w:right="96"/>
              <w:spacing w:after="0"/>
              <w:rPr>
                <w:sz w:val="20"/>
                <w:szCs w:val="20"/>
                <w:color w:val="auto"/>
              </w:rPr>
            </w:pPr>
            <w:r>
              <w:rPr>
                <w:rFonts w:ascii="Arial" w:cs="Arial" w:eastAsia="Arial" w:hAnsi="Arial"/>
                <w:sz w:val="13"/>
                <w:szCs w:val="13"/>
                <w:color w:val="auto"/>
              </w:rPr>
              <w:t>0.25</w:t>
            </w:r>
          </w:p>
        </w:tc>
        <w:tc>
          <w:tcPr>
            <w:tcW w:w="280" w:type="dxa"/>
            <w:vAlign w:val="bottom"/>
            <w:vMerge w:val="restart"/>
          </w:tcPr>
          <w:p>
            <w:pPr>
              <w:jc w:val="right"/>
              <w:ind w:right="36"/>
              <w:spacing w:after="0"/>
              <w:rPr>
                <w:sz w:val="20"/>
                <w:szCs w:val="20"/>
                <w:color w:val="auto"/>
              </w:rPr>
            </w:pPr>
            <w:r>
              <w:rPr>
                <w:rFonts w:ascii="Arial" w:cs="Arial" w:eastAsia="Arial" w:hAnsi="Arial"/>
                <w:sz w:val="13"/>
                <w:szCs w:val="13"/>
                <w:color w:val="auto"/>
              </w:rPr>
              <w:t>$</w:t>
            </w:r>
          </w:p>
        </w:tc>
        <w:tc>
          <w:tcPr>
            <w:tcW w:w="780" w:type="dxa"/>
            <w:vAlign w:val="bottom"/>
            <w:vMerge w:val="restart"/>
          </w:tcPr>
          <w:p>
            <w:pPr>
              <w:jc w:val="right"/>
              <w:ind w:right="96"/>
              <w:spacing w:after="0"/>
              <w:rPr>
                <w:sz w:val="20"/>
                <w:szCs w:val="20"/>
                <w:color w:val="auto"/>
              </w:rPr>
            </w:pPr>
            <w:r>
              <w:rPr>
                <w:rFonts w:ascii="Arial" w:cs="Arial" w:eastAsia="Arial" w:hAnsi="Arial"/>
                <w:sz w:val="13"/>
                <w:szCs w:val="13"/>
                <w:color w:val="auto"/>
              </w:rPr>
              <w:t>0.51</w:t>
            </w:r>
          </w:p>
        </w:tc>
        <w:tc>
          <w:tcPr>
            <w:tcW w:w="2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40" w:type="dxa"/>
            <w:vAlign w:val="bottom"/>
            <w:vMerge w:val="restart"/>
          </w:tcPr>
          <w:p>
            <w:pPr>
              <w:jc w:val="right"/>
              <w:ind w:right="96"/>
              <w:spacing w:after="0"/>
              <w:rPr>
                <w:sz w:val="20"/>
                <w:szCs w:val="20"/>
                <w:color w:val="auto"/>
              </w:rPr>
            </w:pPr>
            <w:r>
              <w:rPr>
                <w:rFonts w:ascii="Arial" w:cs="Arial" w:eastAsia="Arial" w:hAnsi="Arial"/>
                <w:sz w:val="13"/>
                <w:szCs w:val="13"/>
                <w:color w:val="auto"/>
              </w:rPr>
              <w:t>1.22</w:t>
            </w:r>
          </w:p>
        </w:tc>
        <w:tc>
          <w:tcPr>
            <w:tcW w:w="280" w:type="dxa"/>
            <w:vAlign w:val="bottom"/>
            <w:vMerge w:val="restart"/>
          </w:tcPr>
          <w:p>
            <w:pPr>
              <w:jc w:val="right"/>
              <w:ind w:right="36"/>
              <w:spacing w:after="0"/>
              <w:rPr>
                <w:sz w:val="20"/>
                <w:szCs w:val="20"/>
                <w:color w:val="auto"/>
              </w:rPr>
            </w:pPr>
            <w:r>
              <w:rPr>
                <w:rFonts w:ascii="Arial" w:cs="Arial" w:eastAsia="Arial" w:hAnsi="Arial"/>
                <w:sz w:val="13"/>
                <w:szCs w:val="13"/>
                <w:color w:val="auto"/>
              </w:rPr>
              <w:t>$</w:t>
            </w: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0.95</w:t>
            </w:r>
          </w:p>
        </w:tc>
        <w:tc>
          <w:tcPr>
            <w:tcW w:w="0" w:type="dxa"/>
            <w:vAlign w:val="bottom"/>
          </w:tcPr>
          <w:p>
            <w:pPr>
              <w:spacing w:after="0"/>
              <w:rPr>
                <w:sz w:val="1"/>
                <w:szCs w:val="1"/>
                <w:color w:val="auto"/>
              </w:rPr>
            </w:pPr>
          </w:p>
        </w:tc>
      </w:tr>
      <w:tr>
        <w:trPr>
          <w:trHeight w:val="169"/>
        </w:trPr>
        <w:tc>
          <w:tcPr>
            <w:tcW w:w="3540" w:type="dxa"/>
            <w:vAlign w:val="bottom"/>
          </w:tcPr>
          <w:p>
            <w:pPr>
              <w:ind w:left="120"/>
              <w:spacing w:after="0"/>
              <w:rPr>
                <w:sz w:val="20"/>
                <w:szCs w:val="20"/>
                <w:color w:val="auto"/>
              </w:rPr>
            </w:pPr>
            <w:r>
              <w:rPr>
                <w:rFonts w:ascii="Arial" w:cs="Arial" w:eastAsia="Arial" w:hAnsi="Arial"/>
                <w:sz w:val="13"/>
                <w:szCs w:val="13"/>
                <w:color w:val="auto"/>
              </w:rPr>
              <w:t>Equities, Inc.’s common stockholders – diluted</w:t>
            </w:r>
          </w:p>
        </w:tc>
        <w:tc>
          <w:tcPr>
            <w:tcW w:w="14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3540" w:type="dxa"/>
            <w:vAlign w:val="bottom"/>
          </w:tcPr>
          <w:p>
            <w:pPr>
              <w:ind w:left="100"/>
              <w:spacing w:after="0"/>
              <w:rPr>
                <w:sz w:val="20"/>
                <w:szCs w:val="20"/>
                <w:color w:val="auto"/>
              </w:rPr>
            </w:pPr>
            <w:r>
              <w:rPr>
                <w:rFonts w:ascii="Arial" w:cs="Arial" w:eastAsia="Arial" w:hAnsi="Arial"/>
                <w:sz w:val="13"/>
                <w:szCs w:val="13"/>
                <w:color w:val="auto"/>
              </w:rPr>
              <w:t>Depreciation and amortization of real estate assets</w:t>
            </w:r>
          </w:p>
        </w:tc>
        <w:tc>
          <w:tcPr>
            <w:tcW w:w="140" w:type="dxa"/>
            <w:vAlign w:val="bottom"/>
          </w:tcPr>
          <w:p>
            <w:pPr>
              <w:spacing w:after="0"/>
              <w:rPr>
                <w:sz w:val="17"/>
                <w:szCs w:val="17"/>
                <w:color w:val="auto"/>
              </w:rPr>
            </w:pPr>
          </w:p>
        </w:tc>
        <w:tc>
          <w:tcPr>
            <w:tcW w:w="900" w:type="dxa"/>
            <w:vAlign w:val="bottom"/>
          </w:tcPr>
          <w:p>
            <w:pPr>
              <w:jc w:val="right"/>
              <w:ind w:right="96"/>
              <w:spacing w:after="0"/>
              <w:rPr>
                <w:sz w:val="20"/>
                <w:szCs w:val="20"/>
                <w:color w:val="auto"/>
              </w:rPr>
            </w:pPr>
            <w:r>
              <w:rPr>
                <w:rFonts w:ascii="Arial" w:cs="Arial" w:eastAsia="Arial" w:hAnsi="Arial"/>
                <w:sz w:val="13"/>
                <w:szCs w:val="13"/>
                <w:color w:val="auto"/>
              </w:rPr>
              <w:t>1.50</w:t>
            </w:r>
          </w:p>
        </w:tc>
        <w:tc>
          <w:tcPr>
            <w:tcW w:w="280" w:type="dxa"/>
            <w:vAlign w:val="bottom"/>
          </w:tcPr>
          <w:p>
            <w:pPr>
              <w:spacing w:after="0"/>
              <w:rPr>
                <w:sz w:val="17"/>
                <w:szCs w:val="17"/>
                <w:color w:val="auto"/>
              </w:rPr>
            </w:pPr>
          </w:p>
        </w:tc>
        <w:tc>
          <w:tcPr>
            <w:tcW w:w="780" w:type="dxa"/>
            <w:vAlign w:val="bottom"/>
          </w:tcPr>
          <w:p>
            <w:pPr>
              <w:jc w:val="right"/>
              <w:ind w:right="96"/>
              <w:spacing w:after="0"/>
              <w:rPr>
                <w:sz w:val="20"/>
                <w:szCs w:val="20"/>
                <w:color w:val="auto"/>
              </w:rPr>
            </w:pPr>
            <w:r>
              <w:rPr>
                <w:rFonts w:ascii="Arial" w:cs="Arial" w:eastAsia="Arial" w:hAnsi="Arial"/>
                <w:sz w:val="13"/>
                <w:szCs w:val="13"/>
                <w:color w:val="auto"/>
              </w:rPr>
              <w:t>1.42</w:t>
            </w:r>
          </w:p>
        </w:tc>
        <w:tc>
          <w:tcPr>
            <w:tcW w:w="240" w:type="dxa"/>
            <w:vAlign w:val="bottom"/>
          </w:tcPr>
          <w:p>
            <w:pPr>
              <w:spacing w:after="0"/>
              <w:rPr>
                <w:sz w:val="17"/>
                <w:szCs w:val="17"/>
                <w:color w:val="auto"/>
              </w:rPr>
            </w:pPr>
          </w:p>
        </w:tc>
        <w:tc>
          <w:tcPr>
            <w:tcW w:w="840" w:type="dxa"/>
            <w:vAlign w:val="bottom"/>
          </w:tcPr>
          <w:p>
            <w:pPr>
              <w:jc w:val="right"/>
              <w:ind w:right="96"/>
              <w:spacing w:after="0"/>
              <w:rPr>
                <w:sz w:val="20"/>
                <w:szCs w:val="20"/>
                <w:color w:val="auto"/>
              </w:rPr>
            </w:pPr>
            <w:r>
              <w:rPr>
                <w:rFonts w:ascii="Arial" w:cs="Arial" w:eastAsia="Arial" w:hAnsi="Arial"/>
                <w:sz w:val="13"/>
                <w:szCs w:val="13"/>
                <w:color w:val="auto"/>
              </w:rPr>
              <w:t>2.98</w:t>
            </w:r>
          </w:p>
        </w:tc>
        <w:tc>
          <w:tcPr>
            <w:tcW w:w="2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2.80</w:t>
            </w:r>
          </w:p>
        </w:tc>
        <w:tc>
          <w:tcPr>
            <w:tcW w:w="0" w:type="dxa"/>
            <w:vAlign w:val="bottom"/>
          </w:tcPr>
          <w:p>
            <w:pPr>
              <w:spacing w:after="0"/>
              <w:rPr>
                <w:sz w:val="1"/>
                <w:szCs w:val="1"/>
                <w:color w:val="auto"/>
              </w:rPr>
            </w:pPr>
          </w:p>
        </w:tc>
      </w:tr>
      <w:tr>
        <w:trPr>
          <w:trHeight w:val="204"/>
        </w:trPr>
        <w:tc>
          <w:tcPr>
            <w:tcW w:w="3540" w:type="dxa"/>
            <w:vAlign w:val="bottom"/>
          </w:tcPr>
          <w:p>
            <w:pPr>
              <w:ind w:left="100"/>
              <w:spacing w:after="0"/>
              <w:rPr>
                <w:sz w:val="20"/>
                <w:szCs w:val="20"/>
                <w:color w:val="auto"/>
              </w:rPr>
            </w:pPr>
            <w:r>
              <w:rPr>
                <w:rFonts w:ascii="Arial" w:cs="Arial" w:eastAsia="Arial" w:hAnsi="Arial"/>
                <w:sz w:val="13"/>
                <w:szCs w:val="13"/>
                <w:color w:val="auto"/>
              </w:rPr>
              <w:t>Gain on sales of real estate</w:t>
            </w:r>
          </w:p>
        </w:tc>
        <w:tc>
          <w:tcPr>
            <w:tcW w:w="140" w:type="dxa"/>
            <w:vAlign w:val="bottom"/>
          </w:tcPr>
          <w:p>
            <w:pPr>
              <w:spacing w:after="0"/>
              <w:rPr>
                <w:sz w:val="17"/>
                <w:szCs w:val="17"/>
                <w:color w:val="auto"/>
              </w:rPr>
            </w:pPr>
          </w:p>
        </w:tc>
        <w:tc>
          <w:tcPr>
            <w:tcW w:w="90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7"/>
                <w:szCs w:val="17"/>
                <w:color w:val="auto"/>
              </w:rPr>
            </w:pPr>
          </w:p>
        </w:tc>
        <w:tc>
          <w:tcPr>
            <w:tcW w:w="780" w:type="dxa"/>
            <w:vAlign w:val="bottom"/>
          </w:tcPr>
          <w:p>
            <w:pPr>
              <w:jc w:val="right"/>
              <w:ind w:right="36"/>
              <w:spacing w:after="0"/>
              <w:rPr>
                <w:sz w:val="20"/>
                <w:szCs w:val="20"/>
                <w:color w:val="auto"/>
              </w:rPr>
            </w:pPr>
            <w:r>
              <w:rPr>
                <w:rFonts w:ascii="Arial" w:cs="Arial" w:eastAsia="Arial" w:hAnsi="Arial"/>
                <w:sz w:val="13"/>
                <w:szCs w:val="13"/>
                <w:color w:val="auto"/>
              </w:rPr>
              <w:t>(1.26)</w:t>
            </w:r>
          </w:p>
        </w:tc>
        <w:tc>
          <w:tcPr>
            <w:tcW w:w="240" w:type="dxa"/>
            <w:vAlign w:val="bottom"/>
          </w:tcPr>
          <w:p>
            <w:pPr>
              <w:spacing w:after="0"/>
              <w:rPr>
                <w:sz w:val="17"/>
                <w:szCs w:val="17"/>
                <w:color w:val="auto"/>
              </w:rPr>
            </w:pPr>
          </w:p>
        </w:tc>
        <w:tc>
          <w:tcPr>
            <w:tcW w:w="84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(1.26)</w:t>
            </w:r>
          </w:p>
        </w:tc>
        <w:tc>
          <w:tcPr>
            <w:tcW w:w="0" w:type="dxa"/>
            <w:vAlign w:val="bottom"/>
          </w:tcPr>
          <w:p>
            <w:pPr>
              <w:spacing w:after="0"/>
              <w:rPr>
                <w:sz w:val="1"/>
                <w:szCs w:val="1"/>
                <w:color w:val="auto"/>
              </w:rPr>
            </w:pPr>
          </w:p>
        </w:tc>
      </w:tr>
      <w:tr>
        <w:trPr>
          <w:trHeight w:val="204"/>
        </w:trPr>
        <w:tc>
          <w:tcPr>
            <w:tcW w:w="3540" w:type="dxa"/>
            <w:vAlign w:val="bottom"/>
          </w:tcPr>
          <w:p>
            <w:pPr>
              <w:ind w:left="100"/>
              <w:spacing w:after="0"/>
              <w:rPr>
                <w:sz w:val="20"/>
                <w:szCs w:val="20"/>
                <w:color w:val="auto"/>
              </w:rPr>
            </w:pPr>
            <w:r>
              <w:rPr>
                <w:rFonts w:ascii="Arial" w:cs="Arial" w:eastAsia="Arial" w:hAnsi="Arial"/>
                <w:sz w:val="13"/>
                <w:szCs w:val="13"/>
                <w:color w:val="auto"/>
              </w:rPr>
              <w:t>Impairment of real estate – rental properties and land</w:t>
            </w:r>
          </w:p>
        </w:tc>
        <w:tc>
          <w:tcPr>
            <w:tcW w:w="140" w:type="dxa"/>
            <w:vAlign w:val="bottom"/>
          </w:tcPr>
          <w:p>
            <w:pPr>
              <w:spacing w:after="0"/>
              <w:rPr>
                <w:sz w:val="17"/>
                <w:szCs w:val="17"/>
                <w:color w:val="auto"/>
              </w:rPr>
            </w:pPr>
          </w:p>
        </w:tc>
        <w:tc>
          <w:tcPr>
            <w:tcW w:w="900" w:type="dxa"/>
            <w:vAlign w:val="bottom"/>
          </w:tcPr>
          <w:p>
            <w:pPr>
              <w:jc w:val="right"/>
              <w:ind w:right="96"/>
              <w:spacing w:after="0"/>
              <w:rPr>
                <w:sz w:val="20"/>
                <w:szCs w:val="20"/>
                <w:color w:val="auto"/>
              </w:rPr>
            </w:pPr>
            <w:r>
              <w:rPr>
                <w:rFonts w:ascii="Arial" w:cs="Arial" w:eastAsia="Arial" w:hAnsi="Arial"/>
                <w:sz w:val="13"/>
                <w:szCs w:val="13"/>
                <w:color w:val="auto"/>
              </w:rPr>
              <w:t>0.01</w:t>
            </w:r>
          </w:p>
        </w:tc>
        <w:tc>
          <w:tcPr>
            <w:tcW w:w="280" w:type="dxa"/>
            <w:vAlign w:val="bottom"/>
          </w:tcPr>
          <w:p>
            <w:pPr>
              <w:spacing w:after="0"/>
              <w:rPr>
                <w:sz w:val="17"/>
                <w:szCs w:val="17"/>
                <w:color w:val="auto"/>
              </w:rPr>
            </w:pPr>
          </w:p>
        </w:tc>
        <w:tc>
          <w:tcPr>
            <w:tcW w:w="780" w:type="dxa"/>
            <w:vAlign w:val="bottom"/>
          </w:tcPr>
          <w:p>
            <w:pPr>
              <w:jc w:val="right"/>
              <w:ind w:right="96"/>
              <w:spacing w:after="0"/>
              <w:rPr>
                <w:sz w:val="20"/>
                <w:szCs w:val="20"/>
                <w:color w:val="auto"/>
              </w:rPr>
            </w:pPr>
            <w:r>
              <w:rPr>
                <w:rFonts w:ascii="Arial" w:cs="Arial" w:eastAsia="Arial" w:hAnsi="Arial"/>
                <w:sz w:val="13"/>
                <w:szCs w:val="13"/>
                <w:color w:val="auto"/>
              </w:rPr>
              <w:t>0.98</w:t>
            </w:r>
          </w:p>
        </w:tc>
        <w:tc>
          <w:tcPr>
            <w:tcW w:w="240" w:type="dxa"/>
            <w:vAlign w:val="bottom"/>
          </w:tcPr>
          <w:p>
            <w:pPr>
              <w:spacing w:after="0"/>
              <w:rPr>
                <w:sz w:val="17"/>
                <w:szCs w:val="17"/>
                <w:color w:val="auto"/>
              </w:rPr>
            </w:pPr>
          </w:p>
        </w:tc>
        <w:tc>
          <w:tcPr>
            <w:tcW w:w="840" w:type="dxa"/>
            <w:vAlign w:val="bottom"/>
          </w:tcPr>
          <w:p>
            <w:pPr>
              <w:jc w:val="right"/>
              <w:ind w:right="96"/>
              <w:spacing w:after="0"/>
              <w:rPr>
                <w:sz w:val="20"/>
                <w:szCs w:val="20"/>
                <w:color w:val="auto"/>
              </w:rPr>
            </w:pPr>
            <w:r>
              <w:rPr>
                <w:rFonts w:ascii="Arial" w:cs="Arial" w:eastAsia="Arial" w:hAnsi="Arial"/>
                <w:sz w:val="13"/>
                <w:szCs w:val="13"/>
                <w:color w:val="auto"/>
              </w:rPr>
              <w:t>0.01</w:t>
            </w:r>
          </w:p>
        </w:tc>
        <w:tc>
          <w:tcPr>
            <w:tcW w:w="2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0.98</w:t>
            </w:r>
          </w:p>
        </w:tc>
        <w:tc>
          <w:tcPr>
            <w:tcW w:w="0" w:type="dxa"/>
            <w:vAlign w:val="bottom"/>
          </w:tcPr>
          <w:p>
            <w:pPr>
              <w:spacing w:after="0"/>
              <w:rPr>
                <w:sz w:val="1"/>
                <w:szCs w:val="1"/>
                <w:color w:val="auto"/>
              </w:rPr>
            </w:pPr>
          </w:p>
        </w:tc>
      </w:tr>
      <w:tr>
        <w:trPr>
          <w:trHeight w:val="204"/>
        </w:trPr>
        <w:tc>
          <w:tcPr>
            <w:tcW w:w="3540" w:type="dxa"/>
            <w:vAlign w:val="bottom"/>
          </w:tcPr>
          <w:p>
            <w:pPr>
              <w:ind w:left="100"/>
              <w:spacing w:after="0"/>
              <w:rPr>
                <w:sz w:val="20"/>
                <w:szCs w:val="20"/>
                <w:color w:val="auto"/>
              </w:rPr>
            </w:pPr>
            <w:r>
              <w:rPr>
                <w:rFonts w:ascii="Arial" w:cs="Arial" w:eastAsia="Arial" w:hAnsi="Arial"/>
                <w:sz w:val="13"/>
                <w:szCs w:val="13"/>
                <w:color w:val="auto"/>
              </w:rPr>
              <w:t>Allocation to unvested restricted stock awards</w:t>
            </w:r>
          </w:p>
        </w:tc>
        <w:tc>
          <w:tcPr>
            <w:tcW w:w="140" w:type="dxa"/>
            <w:vAlign w:val="bottom"/>
          </w:tcPr>
          <w:p>
            <w:pPr>
              <w:spacing w:after="0"/>
              <w:rPr>
                <w:sz w:val="17"/>
                <w:szCs w:val="17"/>
                <w:color w:val="auto"/>
              </w:rPr>
            </w:pPr>
          </w:p>
        </w:tc>
        <w:tc>
          <w:tcPr>
            <w:tcW w:w="900" w:type="dxa"/>
            <w:vAlign w:val="bottom"/>
          </w:tcPr>
          <w:p>
            <w:pPr>
              <w:jc w:val="right"/>
              <w:ind w:right="56"/>
              <w:spacing w:after="0"/>
              <w:rPr>
                <w:sz w:val="20"/>
                <w:szCs w:val="20"/>
                <w:color w:val="auto"/>
              </w:rPr>
            </w:pPr>
            <w:r>
              <w:rPr>
                <w:rFonts w:ascii="Arial" w:cs="Arial" w:eastAsia="Arial" w:hAnsi="Arial"/>
                <w:sz w:val="13"/>
                <w:szCs w:val="13"/>
                <w:color w:val="auto"/>
              </w:rPr>
              <w:t>(0.01)</w:t>
            </w:r>
          </w:p>
        </w:tc>
        <w:tc>
          <w:tcPr>
            <w:tcW w:w="280" w:type="dxa"/>
            <w:vAlign w:val="bottom"/>
          </w:tcPr>
          <w:p>
            <w:pPr>
              <w:spacing w:after="0"/>
              <w:rPr>
                <w:sz w:val="17"/>
                <w:szCs w:val="17"/>
                <w:color w:val="auto"/>
              </w:rPr>
            </w:pPr>
          </w:p>
        </w:tc>
        <w:tc>
          <w:tcPr>
            <w:tcW w:w="780" w:type="dxa"/>
            <w:vAlign w:val="bottom"/>
          </w:tcPr>
          <w:p>
            <w:pPr>
              <w:jc w:val="right"/>
              <w:ind w:right="36"/>
              <w:spacing w:after="0"/>
              <w:rPr>
                <w:sz w:val="20"/>
                <w:szCs w:val="20"/>
                <w:color w:val="auto"/>
              </w:rPr>
            </w:pPr>
            <w:r>
              <w:rPr>
                <w:rFonts w:ascii="Arial" w:cs="Arial" w:eastAsia="Arial" w:hAnsi="Arial"/>
                <w:sz w:val="13"/>
                <w:szCs w:val="13"/>
                <w:color w:val="auto"/>
              </w:rPr>
              <w:t>(0.01)</w:t>
            </w:r>
          </w:p>
        </w:tc>
        <w:tc>
          <w:tcPr>
            <w:tcW w:w="240" w:type="dxa"/>
            <w:vAlign w:val="bottom"/>
          </w:tcPr>
          <w:p>
            <w:pPr>
              <w:spacing w:after="0"/>
              <w:rPr>
                <w:sz w:val="17"/>
                <w:szCs w:val="17"/>
                <w:color w:val="auto"/>
              </w:rPr>
            </w:pPr>
          </w:p>
        </w:tc>
        <w:tc>
          <w:tcPr>
            <w:tcW w:w="840" w:type="dxa"/>
            <w:vAlign w:val="bottom"/>
          </w:tcPr>
          <w:p>
            <w:pPr>
              <w:jc w:val="right"/>
              <w:ind w:right="56"/>
              <w:spacing w:after="0"/>
              <w:rPr>
                <w:sz w:val="20"/>
                <w:szCs w:val="20"/>
                <w:color w:val="auto"/>
              </w:rPr>
            </w:pPr>
            <w:r>
              <w:rPr>
                <w:rFonts w:ascii="Arial" w:cs="Arial" w:eastAsia="Arial" w:hAnsi="Arial"/>
                <w:sz w:val="13"/>
                <w:szCs w:val="13"/>
                <w:color w:val="auto"/>
              </w:rPr>
              <w:t>(0.02)</w:t>
            </w:r>
          </w:p>
        </w:tc>
        <w:tc>
          <w:tcPr>
            <w:tcW w:w="2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(0.02)</w:t>
            </w:r>
          </w:p>
        </w:tc>
        <w:tc>
          <w:tcPr>
            <w:tcW w:w="0" w:type="dxa"/>
            <w:vAlign w:val="bottom"/>
          </w:tcPr>
          <w:p>
            <w:pPr>
              <w:spacing w:after="0"/>
              <w:rPr>
                <w:sz w:val="1"/>
                <w:szCs w:val="1"/>
                <w:color w:val="auto"/>
              </w:rPr>
            </w:pPr>
          </w:p>
        </w:tc>
      </w:tr>
      <w:tr>
        <w:trPr>
          <w:trHeight w:val="175"/>
        </w:trPr>
        <w:tc>
          <w:tcPr>
            <w:tcW w:w="3540" w:type="dxa"/>
            <w:vAlign w:val="bottom"/>
          </w:tcPr>
          <w:p>
            <w:pPr>
              <w:spacing w:after="0"/>
              <w:rPr>
                <w:sz w:val="20"/>
                <w:szCs w:val="20"/>
                <w:color w:val="auto"/>
              </w:rPr>
            </w:pPr>
            <w:r>
              <w:rPr>
                <w:rFonts w:ascii="Arial" w:cs="Arial" w:eastAsia="Arial" w:hAnsi="Arial"/>
                <w:sz w:val="13"/>
                <w:szCs w:val="13"/>
                <w:color w:val="auto"/>
              </w:rPr>
              <w:t>Funds from operations per share attributable to Alexandria</w:t>
            </w: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540" w:type="dxa"/>
            <w:vAlign w:val="bottom"/>
          </w:tcPr>
          <w:p>
            <w:pPr>
              <w:ind w:left="120"/>
              <w:spacing w:after="0"/>
              <w:rPr>
                <w:sz w:val="20"/>
                <w:szCs w:val="20"/>
                <w:color w:val="auto"/>
              </w:rPr>
            </w:pPr>
            <w:r>
              <w:rPr>
                <w:rFonts w:ascii="Arial" w:cs="Arial" w:eastAsia="Arial" w:hAnsi="Arial"/>
                <w:sz w:val="13"/>
                <w:szCs w:val="13"/>
                <w:color w:val="auto"/>
              </w:rPr>
              <w:t>Real Estate Equities, Inc.’s common stockholders – diluted</w:t>
            </w:r>
          </w:p>
        </w:tc>
        <w:tc>
          <w:tcPr>
            <w:tcW w:w="140" w:type="dxa"/>
            <w:vAlign w:val="bottom"/>
          </w:tcPr>
          <w:p>
            <w:pPr>
              <w:spacing w:after="0"/>
              <w:rPr>
                <w:sz w:val="14"/>
                <w:szCs w:val="14"/>
                <w:color w:val="auto"/>
              </w:rPr>
            </w:pPr>
          </w:p>
        </w:tc>
        <w:tc>
          <w:tcPr>
            <w:tcW w:w="900" w:type="dxa"/>
            <w:vAlign w:val="bottom"/>
          </w:tcPr>
          <w:p>
            <w:pPr>
              <w:jc w:val="right"/>
              <w:ind w:right="96"/>
              <w:spacing w:after="0"/>
              <w:rPr>
                <w:sz w:val="20"/>
                <w:szCs w:val="20"/>
                <w:color w:val="auto"/>
              </w:rPr>
            </w:pPr>
            <w:r>
              <w:rPr>
                <w:rFonts w:ascii="Arial" w:cs="Arial" w:eastAsia="Arial" w:hAnsi="Arial"/>
                <w:sz w:val="13"/>
                <w:szCs w:val="13"/>
                <w:color w:val="auto"/>
              </w:rPr>
              <w:t>1.75</w:t>
            </w:r>
          </w:p>
        </w:tc>
        <w:tc>
          <w:tcPr>
            <w:tcW w:w="280" w:type="dxa"/>
            <w:vAlign w:val="bottom"/>
          </w:tcPr>
          <w:p>
            <w:pPr>
              <w:spacing w:after="0"/>
              <w:rPr>
                <w:sz w:val="14"/>
                <w:szCs w:val="14"/>
                <w:color w:val="auto"/>
              </w:rPr>
            </w:pPr>
          </w:p>
        </w:tc>
        <w:tc>
          <w:tcPr>
            <w:tcW w:w="780" w:type="dxa"/>
            <w:vAlign w:val="bottom"/>
          </w:tcPr>
          <w:p>
            <w:pPr>
              <w:jc w:val="right"/>
              <w:ind w:right="96"/>
              <w:spacing w:after="0"/>
              <w:rPr>
                <w:sz w:val="20"/>
                <w:szCs w:val="20"/>
                <w:color w:val="auto"/>
              </w:rPr>
            </w:pPr>
            <w:r>
              <w:rPr>
                <w:rFonts w:ascii="Arial" w:cs="Arial" w:eastAsia="Arial" w:hAnsi="Arial"/>
                <w:sz w:val="13"/>
                <w:szCs w:val="13"/>
                <w:color w:val="auto"/>
              </w:rPr>
              <w:t>1.64</w:t>
            </w:r>
          </w:p>
        </w:tc>
        <w:tc>
          <w:tcPr>
            <w:tcW w:w="240" w:type="dxa"/>
            <w:vAlign w:val="bottom"/>
          </w:tcPr>
          <w:p>
            <w:pPr>
              <w:spacing w:after="0"/>
              <w:rPr>
                <w:sz w:val="14"/>
                <w:szCs w:val="14"/>
                <w:color w:val="auto"/>
              </w:rPr>
            </w:pPr>
          </w:p>
        </w:tc>
        <w:tc>
          <w:tcPr>
            <w:tcW w:w="840" w:type="dxa"/>
            <w:vAlign w:val="bottom"/>
          </w:tcPr>
          <w:p>
            <w:pPr>
              <w:jc w:val="right"/>
              <w:ind w:right="96"/>
              <w:spacing w:after="0"/>
              <w:rPr>
                <w:sz w:val="20"/>
                <w:szCs w:val="20"/>
                <w:color w:val="auto"/>
              </w:rPr>
            </w:pPr>
            <w:r>
              <w:rPr>
                <w:rFonts w:ascii="Arial" w:cs="Arial" w:eastAsia="Arial" w:hAnsi="Arial"/>
                <w:sz w:val="13"/>
                <w:szCs w:val="13"/>
                <w:color w:val="auto"/>
              </w:rPr>
              <w:t>4.19</w:t>
            </w:r>
          </w:p>
        </w:tc>
        <w:tc>
          <w:tcPr>
            <w:tcW w:w="2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3.45</w:t>
            </w:r>
          </w:p>
        </w:tc>
        <w:tc>
          <w:tcPr>
            <w:tcW w:w="0" w:type="dxa"/>
            <w:vAlign w:val="bottom"/>
          </w:tcPr>
          <w:p>
            <w:pPr>
              <w:spacing w:after="0"/>
              <w:rPr>
                <w:sz w:val="1"/>
                <w:szCs w:val="1"/>
                <w:color w:val="auto"/>
              </w:rPr>
            </w:pPr>
          </w:p>
        </w:tc>
      </w:tr>
      <w:tr>
        <w:trPr>
          <w:trHeight w:val="204"/>
        </w:trPr>
        <w:tc>
          <w:tcPr>
            <w:tcW w:w="3540" w:type="dxa"/>
            <w:vAlign w:val="bottom"/>
          </w:tcPr>
          <w:p>
            <w:pPr>
              <w:ind w:left="100"/>
              <w:spacing w:after="0"/>
              <w:rPr>
                <w:sz w:val="20"/>
                <w:szCs w:val="20"/>
                <w:color w:val="auto"/>
              </w:rPr>
            </w:pPr>
            <w:r>
              <w:rPr>
                <w:rFonts w:ascii="Arial" w:cs="Arial" w:eastAsia="Arial" w:hAnsi="Arial"/>
                <w:sz w:val="13"/>
                <w:szCs w:val="13"/>
                <w:color w:val="auto"/>
              </w:rPr>
              <w:t>Unrealized losses on non-real estate investments</w:t>
            </w:r>
          </w:p>
        </w:tc>
        <w:tc>
          <w:tcPr>
            <w:tcW w:w="140" w:type="dxa"/>
            <w:vAlign w:val="bottom"/>
          </w:tcPr>
          <w:p>
            <w:pPr>
              <w:spacing w:after="0"/>
              <w:rPr>
                <w:sz w:val="17"/>
                <w:szCs w:val="17"/>
                <w:color w:val="auto"/>
              </w:rPr>
            </w:pPr>
          </w:p>
        </w:tc>
        <w:tc>
          <w:tcPr>
            <w:tcW w:w="900" w:type="dxa"/>
            <w:vAlign w:val="bottom"/>
          </w:tcPr>
          <w:p>
            <w:pPr>
              <w:jc w:val="right"/>
              <w:ind w:right="96"/>
              <w:spacing w:after="0"/>
              <w:rPr>
                <w:sz w:val="20"/>
                <w:szCs w:val="20"/>
                <w:color w:val="auto"/>
              </w:rPr>
            </w:pPr>
            <w:r>
              <w:rPr>
                <w:rFonts w:ascii="Arial" w:cs="Arial" w:eastAsia="Arial" w:hAnsi="Arial"/>
                <w:sz w:val="13"/>
                <w:szCs w:val="13"/>
                <w:color w:val="auto"/>
              </w:rPr>
              <w:t>0.37</w:t>
            </w:r>
          </w:p>
        </w:tc>
        <w:tc>
          <w:tcPr>
            <w:tcW w:w="280" w:type="dxa"/>
            <w:vAlign w:val="bottom"/>
          </w:tcPr>
          <w:p>
            <w:pPr>
              <w:spacing w:after="0"/>
              <w:rPr>
                <w:sz w:val="17"/>
                <w:szCs w:val="17"/>
                <w:color w:val="auto"/>
              </w:rPr>
            </w:pPr>
          </w:p>
        </w:tc>
        <w:tc>
          <w:tcPr>
            <w:tcW w:w="780" w:type="dxa"/>
            <w:vAlign w:val="bottom"/>
          </w:tcPr>
          <w:p>
            <w:pPr>
              <w:jc w:val="right"/>
              <w:ind w:right="96"/>
              <w:spacing w:after="0"/>
              <w:rPr>
                <w:sz w:val="20"/>
                <w:szCs w:val="20"/>
                <w:color w:val="auto"/>
              </w:rPr>
            </w:pPr>
            <w:r>
              <w:rPr>
                <w:rFonts w:ascii="Arial" w:cs="Arial" w:eastAsia="Arial" w:hAnsi="Arial"/>
                <w:sz w:val="13"/>
                <w:szCs w:val="13"/>
                <w:color w:val="auto"/>
              </w:rPr>
              <w:t>0.46</w:t>
            </w:r>
          </w:p>
        </w:tc>
        <w:tc>
          <w:tcPr>
            <w:tcW w:w="240" w:type="dxa"/>
            <w:vAlign w:val="bottom"/>
          </w:tcPr>
          <w:p>
            <w:pPr>
              <w:spacing w:after="0"/>
              <w:rPr>
                <w:sz w:val="17"/>
                <w:szCs w:val="17"/>
                <w:color w:val="auto"/>
              </w:rPr>
            </w:pPr>
          </w:p>
        </w:tc>
        <w:tc>
          <w:tcPr>
            <w:tcW w:w="840" w:type="dxa"/>
            <w:vAlign w:val="bottom"/>
          </w:tcPr>
          <w:p>
            <w:pPr>
              <w:jc w:val="right"/>
              <w:ind w:right="96"/>
              <w:spacing w:after="0"/>
              <w:rPr>
                <w:sz w:val="20"/>
                <w:szCs w:val="20"/>
                <w:color w:val="auto"/>
              </w:rPr>
            </w:pPr>
            <w:r>
              <w:rPr>
                <w:rFonts w:ascii="Arial" w:cs="Arial" w:eastAsia="Arial" w:hAnsi="Arial"/>
                <w:sz w:val="13"/>
                <w:szCs w:val="13"/>
                <w:color w:val="auto"/>
              </w:rPr>
              <w:t>0.20</w:t>
            </w:r>
          </w:p>
        </w:tc>
        <w:tc>
          <w:tcPr>
            <w:tcW w:w="2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0.84</w:t>
            </w:r>
          </w:p>
        </w:tc>
        <w:tc>
          <w:tcPr>
            <w:tcW w:w="0" w:type="dxa"/>
            <w:vAlign w:val="bottom"/>
          </w:tcPr>
          <w:p>
            <w:pPr>
              <w:spacing w:after="0"/>
              <w:rPr>
                <w:sz w:val="1"/>
                <w:szCs w:val="1"/>
                <w:color w:val="auto"/>
              </w:rPr>
            </w:pPr>
          </w:p>
        </w:tc>
      </w:tr>
      <w:tr>
        <w:trPr>
          <w:trHeight w:val="204"/>
        </w:trPr>
        <w:tc>
          <w:tcPr>
            <w:tcW w:w="3540" w:type="dxa"/>
            <w:vAlign w:val="bottom"/>
          </w:tcPr>
          <w:p>
            <w:pPr>
              <w:ind w:left="100"/>
              <w:spacing w:after="0"/>
              <w:rPr>
                <w:sz w:val="20"/>
                <w:szCs w:val="20"/>
                <w:color w:val="auto"/>
              </w:rPr>
            </w:pPr>
            <w:r>
              <w:rPr>
                <w:rFonts w:ascii="Arial" w:cs="Arial" w:eastAsia="Arial" w:hAnsi="Arial"/>
                <w:sz w:val="13"/>
                <w:szCs w:val="13"/>
                <w:color w:val="auto"/>
              </w:rPr>
              <w:t>Impairment of non-real estate investments</w:t>
            </w:r>
          </w:p>
        </w:tc>
        <w:tc>
          <w:tcPr>
            <w:tcW w:w="140" w:type="dxa"/>
            <w:vAlign w:val="bottom"/>
          </w:tcPr>
          <w:p>
            <w:pPr>
              <w:spacing w:after="0"/>
              <w:rPr>
                <w:sz w:val="17"/>
                <w:szCs w:val="17"/>
                <w:color w:val="auto"/>
              </w:rPr>
            </w:pPr>
          </w:p>
        </w:tc>
        <w:tc>
          <w:tcPr>
            <w:tcW w:w="900" w:type="dxa"/>
            <w:vAlign w:val="bottom"/>
          </w:tcPr>
          <w:p>
            <w:pPr>
              <w:jc w:val="right"/>
              <w:ind w:right="96"/>
              <w:spacing w:after="0"/>
              <w:rPr>
                <w:sz w:val="20"/>
                <w:szCs w:val="20"/>
                <w:color w:val="auto"/>
              </w:rPr>
            </w:pPr>
            <w:r>
              <w:rPr>
                <w:rFonts w:ascii="Arial" w:cs="Arial" w:eastAsia="Arial" w:hAnsi="Arial"/>
                <w:sz w:val="13"/>
                <w:szCs w:val="13"/>
                <w:color w:val="auto"/>
              </w:rPr>
              <w:t>0.08</w:t>
            </w:r>
          </w:p>
        </w:tc>
        <w:tc>
          <w:tcPr>
            <w:tcW w:w="280" w:type="dxa"/>
            <w:vAlign w:val="bottom"/>
          </w:tcPr>
          <w:p>
            <w:pPr>
              <w:spacing w:after="0"/>
              <w:rPr>
                <w:sz w:val="17"/>
                <w:szCs w:val="17"/>
                <w:color w:val="auto"/>
              </w:rPr>
            </w:pPr>
          </w:p>
        </w:tc>
        <w:tc>
          <w:tcPr>
            <w:tcW w:w="780" w:type="dxa"/>
            <w:vAlign w:val="bottom"/>
          </w:tcPr>
          <w:p>
            <w:pPr>
              <w:jc w:val="right"/>
              <w:ind w:right="96"/>
              <w:spacing w:after="0"/>
              <w:rPr>
                <w:sz w:val="20"/>
                <w:szCs w:val="20"/>
                <w:color w:val="auto"/>
              </w:rPr>
            </w:pPr>
            <w:r>
              <w:rPr>
                <w:rFonts w:ascii="Arial" w:cs="Arial" w:eastAsia="Arial" w:hAnsi="Arial"/>
                <w:sz w:val="13"/>
                <w:szCs w:val="13"/>
                <w:color w:val="auto"/>
              </w:rPr>
              <w:t>0.13</w:t>
            </w:r>
          </w:p>
        </w:tc>
        <w:tc>
          <w:tcPr>
            <w:tcW w:w="240" w:type="dxa"/>
            <w:vAlign w:val="bottom"/>
          </w:tcPr>
          <w:p>
            <w:pPr>
              <w:spacing w:after="0"/>
              <w:rPr>
                <w:sz w:val="17"/>
                <w:szCs w:val="17"/>
                <w:color w:val="auto"/>
              </w:rPr>
            </w:pPr>
          </w:p>
        </w:tc>
        <w:tc>
          <w:tcPr>
            <w:tcW w:w="840" w:type="dxa"/>
            <w:vAlign w:val="bottom"/>
          </w:tcPr>
          <w:p>
            <w:pPr>
              <w:jc w:val="right"/>
              <w:ind w:right="96"/>
              <w:spacing w:after="0"/>
              <w:rPr>
                <w:sz w:val="20"/>
                <w:szCs w:val="20"/>
                <w:color w:val="auto"/>
              </w:rPr>
            </w:pPr>
            <w:r>
              <w:rPr>
                <w:rFonts w:ascii="Arial" w:cs="Arial" w:eastAsia="Arial" w:hAnsi="Arial"/>
                <w:sz w:val="13"/>
                <w:szCs w:val="13"/>
                <w:color w:val="auto"/>
              </w:rPr>
              <w:t>0.16</w:t>
            </w:r>
          </w:p>
        </w:tc>
        <w:tc>
          <w:tcPr>
            <w:tcW w:w="2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0.13</w:t>
            </w:r>
          </w:p>
        </w:tc>
        <w:tc>
          <w:tcPr>
            <w:tcW w:w="0" w:type="dxa"/>
            <w:vAlign w:val="bottom"/>
          </w:tcPr>
          <w:p>
            <w:pPr>
              <w:spacing w:after="0"/>
              <w:rPr>
                <w:sz w:val="1"/>
                <w:szCs w:val="1"/>
                <w:color w:val="auto"/>
              </w:rPr>
            </w:pPr>
          </w:p>
        </w:tc>
      </w:tr>
      <w:tr>
        <w:trPr>
          <w:trHeight w:val="204"/>
        </w:trPr>
        <w:tc>
          <w:tcPr>
            <w:tcW w:w="3540" w:type="dxa"/>
            <w:vAlign w:val="bottom"/>
          </w:tcPr>
          <w:p>
            <w:pPr>
              <w:ind w:left="100"/>
              <w:spacing w:after="0"/>
              <w:rPr>
                <w:sz w:val="20"/>
                <w:szCs w:val="20"/>
                <w:color w:val="auto"/>
              </w:rPr>
            </w:pPr>
            <w:r>
              <w:rPr>
                <w:rFonts w:ascii="Arial" w:cs="Arial" w:eastAsia="Arial" w:hAnsi="Arial"/>
                <w:sz w:val="13"/>
                <w:szCs w:val="13"/>
                <w:color w:val="auto"/>
              </w:rPr>
              <w:t>Impairment of real estate</w:t>
            </w:r>
          </w:p>
        </w:tc>
        <w:tc>
          <w:tcPr>
            <w:tcW w:w="140" w:type="dxa"/>
            <w:vAlign w:val="bottom"/>
          </w:tcPr>
          <w:p>
            <w:pPr>
              <w:spacing w:after="0"/>
              <w:rPr>
                <w:sz w:val="17"/>
                <w:szCs w:val="17"/>
                <w:color w:val="auto"/>
              </w:rPr>
            </w:pPr>
          </w:p>
        </w:tc>
        <w:tc>
          <w:tcPr>
            <w:tcW w:w="900" w:type="dxa"/>
            <w:vAlign w:val="bottom"/>
          </w:tcPr>
          <w:p>
            <w:pPr>
              <w:jc w:val="right"/>
              <w:ind w:right="96"/>
              <w:spacing w:after="0"/>
              <w:rPr>
                <w:sz w:val="20"/>
                <w:szCs w:val="20"/>
                <w:color w:val="auto"/>
              </w:rPr>
            </w:pPr>
            <w:r>
              <w:rPr>
                <w:rFonts w:ascii="Arial" w:cs="Arial" w:eastAsia="Arial" w:hAnsi="Arial"/>
                <w:sz w:val="13"/>
                <w:szCs w:val="13"/>
                <w:color w:val="auto"/>
              </w:rPr>
              <w:t>0.17</w:t>
            </w:r>
          </w:p>
        </w:tc>
        <w:tc>
          <w:tcPr>
            <w:tcW w:w="280" w:type="dxa"/>
            <w:vAlign w:val="bottom"/>
          </w:tcPr>
          <w:p>
            <w:pPr>
              <w:spacing w:after="0"/>
              <w:rPr>
                <w:sz w:val="17"/>
                <w:szCs w:val="17"/>
                <w:color w:val="auto"/>
              </w:rPr>
            </w:pPr>
          </w:p>
        </w:tc>
        <w:tc>
          <w:tcPr>
            <w:tcW w:w="780" w:type="dxa"/>
            <w:vAlign w:val="bottom"/>
          </w:tcPr>
          <w:p>
            <w:pPr>
              <w:jc w:val="right"/>
              <w:ind w:right="96"/>
              <w:spacing w:after="0"/>
              <w:rPr>
                <w:sz w:val="20"/>
                <w:szCs w:val="20"/>
                <w:color w:val="auto"/>
              </w:rPr>
            </w:pPr>
            <w:r>
              <w:rPr>
                <w:rFonts w:ascii="Arial" w:cs="Arial" w:eastAsia="Arial" w:hAnsi="Arial"/>
                <w:sz w:val="13"/>
                <w:szCs w:val="13"/>
                <w:color w:val="auto"/>
              </w:rPr>
              <w:t>0.02</w:t>
            </w:r>
          </w:p>
        </w:tc>
        <w:tc>
          <w:tcPr>
            <w:tcW w:w="240" w:type="dxa"/>
            <w:vAlign w:val="bottom"/>
          </w:tcPr>
          <w:p>
            <w:pPr>
              <w:spacing w:after="0"/>
              <w:rPr>
                <w:sz w:val="17"/>
                <w:szCs w:val="17"/>
                <w:color w:val="auto"/>
              </w:rPr>
            </w:pPr>
          </w:p>
        </w:tc>
        <w:tc>
          <w:tcPr>
            <w:tcW w:w="840" w:type="dxa"/>
            <w:vAlign w:val="bottom"/>
          </w:tcPr>
          <w:p>
            <w:pPr>
              <w:jc w:val="right"/>
              <w:ind w:right="96"/>
              <w:spacing w:after="0"/>
              <w:rPr>
                <w:sz w:val="20"/>
                <w:szCs w:val="20"/>
                <w:color w:val="auto"/>
              </w:rPr>
            </w:pPr>
            <w:r>
              <w:rPr>
                <w:rFonts w:ascii="Arial" w:cs="Arial" w:eastAsia="Arial" w:hAnsi="Arial"/>
                <w:sz w:val="13"/>
                <w:szCs w:val="13"/>
                <w:color w:val="auto"/>
              </w:rPr>
              <w:t>0.17</w:t>
            </w:r>
          </w:p>
        </w:tc>
        <w:tc>
          <w:tcPr>
            <w:tcW w:w="2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0.02</w:t>
            </w:r>
          </w:p>
        </w:tc>
        <w:tc>
          <w:tcPr>
            <w:tcW w:w="0" w:type="dxa"/>
            <w:vAlign w:val="bottom"/>
          </w:tcPr>
          <w:p>
            <w:pPr>
              <w:spacing w:after="0"/>
              <w:rPr>
                <w:sz w:val="1"/>
                <w:szCs w:val="1"/>
                <w:color w:val="auto"/>
              </w:rPr>
            </w:pPr>
          </w:p>
        </w:tc>
      </w:tr>
      <w:tr>
        <w:trPr>
          <w:trHeight w:val="204"/>
        </w:trPr>
        <w:tc>
          <w:tcPr>
            <w:tcW w:w="3540" w:type="dxa"/>
            <w:vAlign w:val="bottom"/>
          </w:tcPr>
          <w:p>
            <w:pPr>
              <w:ind w:left="100"/>
              <w:spacing w:after="0"/>
              <w:rPr>
                <w:sz w:val="20"/>
                <w:szCs w:val="20"/>
                <w:color w:val="auto"/>
              </w:rPr>
            </w:pPr>
            <w:r>
              <w:rPr>
                <w:rFonts w:ascii="Arial" w:cs="Arial" w:eastAsia="Arial" w:hAnsi="Arial"/>
                <w:sz w:val="13"/>
                <w:szCs w:val="13"/>
                <w:color w:val="auto"/>
              </w:rPr>
              <w:t>Allocation to unvested restricted stock awards</w:t>
            </w:r>
          </w:p>
        </w:tc>
        <w:tc>
          <w:tcPr>
            <w:tcW w:w="140" w:type="dxa"/>
            <w:vAlign w:val="bottom"/>
          </w:tcPr>
          <w:p>
            <w:pPr>
              <w:spacing w:after="0"/>
              <w:rPr>
                <w:sz w:val="17"/>
                <w:szCs w:val="17"/>
                <w:color w:val="auto"/>
              </w:rPr>
            </w:pPr>
          </w:p>
        </w:tc>
        <w:tc>
          <w:tcPr>
            <w:tcW w:w="900" w:type="dxa"/>
            <w:vAlign w:val="bottom"/>
          </w:tcPr>
          <w:p>
            <w:pPr>
              <w:jc w:val="right"/>
              <w:ind w:right="56"/>
              <w:spacing w:after="0"/>
              <w:rPr>
                <w:sz w:val="20"/>
                <w:szCs w:val="20"/>
                <w:color w:val="auto"/>
              </w:rPr>
            </w:pPr>
            <w:r>
              <w:rPr>
                <w:rFonts w:ascii="Arial" w:cs="Arial" w:eastAsia="Arial" w:hAnsi="Arial"/>
                <w:sz w:val="13"/>
                <w:szCs w:val="13"/>
                <w:color w:val="auto"/>
              </w:rPr>
              <w:t>(0.01)</w:t>
            </w:r>
          </w:p>
        </w:tc>
        <w:tc>
          <w:tcPr>
            <w:tcW w:w="280" w:type="dxa"/>
            <w:vAlign w:val="bottom"/>
          </w:tcPr>
          <w:p>
            <w:pPr>
              <w:spacing w:after="0"/>
              <w:rPr>
                <w:sz w:val="17"/>
                <w:szCs w:val="17"/>
                <w:color w:val="auto"/>
              </w:rPr>
            </w:pPr>
          </w:p>
        </w:tc>
        <w:tc>
          <w:tcPr>
            <w:tcW w:w="780" w:type="dxa"/>
            <w:vAlign w:val="bottom"/>
          </w:tcPr>
          <w:p>
            <w:pPr>
              <w:jc w:val="right"/>
              <w:ind w:right="36"/>
              <w:spacing w:after="0"/>
              <w:rPr>
                <w:sz w:val="20"/>
                <w:szCs w:val="20"/>
                <w:color w:val="auto"/>
              </w:rPr>
            </w:pPr>
            <w:r>
              <w:rPr>
                <w:rFonts w:ascii="Arial" w:cs="Arial" w:eastAsia="Arial" w:hAnsi="Arial"/>
                <w:sz w:val="13"/>
                <w:szCs w:val="13"/>
                <w:color w:val="auto"/>
              </w:rPr>
              <w:t>(0.01)</w:t>
            </w:r>
          </w:p>
        </w:tc>
        <w:tc>
          <w:tcPr>
            <w:tcW w:w="240" w:type="dxa"/>
            <w:vAlign w:val="bottom"/>
          </w:tcPr>
          <w:p>
            <w:pPr>
              <w:spacing w:after="0"/>
              <w:rPr>
                <w:sz w:val="17"/>
                <w:szCs w:val="17"/>
                <w:color w:val="auto"/>
              </w:rPr>
            </w:pPr>
          </w:p>
        </w:tc>
        <w:tc>
          <w:tcPr>
            <w:tcW w:w="840" w:type="dxa"/>
            <w:vAlign w:val="bottom"/>
          </w:tcPr>
          <w:p>
            <w:pPr>
              <w:jc w:val="right"/>
              <w:ind w:right="56"/>
              <w:spacing w:after="0"/>
              <w:rPr>
                <w:sz w:val="20"/>
                <w:szCs w:val="20"/>
                <w:color w:val="auto"/>
              </w:rPr>
            </w:pPr>
            <w:r>
              <w:rPr>
                <w:rFonts w:ascii="Arial" w:cs="Arial" w:eastAsia="Arial" w:hAnsi="Arial"/>
                <w:sz w:val="13"/>
                <w:szCs w:val="13"/>
                <w:color w:val="auto"/>
              </w:rPr>
              <w:t>(0.01)</w:t>
            </w:r>
          </w:p>
        </w:tc>
        <w:tc>
          <w:tcPr>
            <w:tcW w:w="2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(0.01)</w:t>
            </w:r>
          </w:p>
        </w:tc>
        <w:tc>
          <w:tcPr>
            <w:tcW w:w="0" w:type="dxa"/>
            <w:vAlign w:val="bottom"/>
          </w:tcPr>
          <w:p>
            <w:pPr>
              <w:spacing w:after="0"/>
              <w:rPr>
                <w:sz w:val="1"/>
                <w:szCs w:val="1"/>
                <w:color w:val="auto"/>
              </w:rPr>
            </w:pPr>
          </w:p>
        </w:tc>
      </w:tr>
      <w:tr>
        <w:trPr>
          <w:trHeight w:val="164"/>
        </w:trPr>
        <w:tc>
          <w:tcPr>
            <w:tcW w:w="3540" w:type="dxa"/>
            <w:vAlign w:val="bottom"/>
          </w:tcPr>
          <w:p>
            <w:pPr>
              <w:spacing w:after="0"/>
              <w:rPr>
                <w:sz w:val="20"/>
                <w:szCs w:val="20"/>
                <w:color w:val="auto"/>
              </w:rPr>
            </w:pPr>
            <w:r>
              <w:rPr>
                <w:rFonts w:ascii="Arial" w:cs="Arial" w:eastAsia="Arial" w:hAnsi="Arial"/>
                <w:sz w:val="13"/>
                <w:szCs w:val="13"/>
                <w:color w:val="auto"/>
              </w:rPr>
              <w:t>Funds from operations per share attributable to Alexandria</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540" w:type="dxa"/>
            <w:vAlign w:val="bottom"/>
          </w:tcPr>
          <w:p>
            <w:pPr>
              <w:ind w:left="120"/>
              <w:spacing w:after="0"/>
              <w:rPr>
                <w:sz w:val="20"/>
                <w:szCs w:val="20"/>
                <w:color w:val="auto"/>
              </w:rPr>
            </w:pPr>
            <w:r>
              <w:rPr>
                <w:rFonts w:ascii="Arial" w:cs="Arial" w:eastAsia="Arial" w:hAnsi="Arial"/>
                <w:sz w:val="13"/>
                <w:szCs w:val="13"/>
                <w:color w:val="auto"/>
              </w:rPr>
              <w:t>Real Estate Equities, Inc.’s common stockholders –</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ectPr>
          <w:pgSz w:w="11900" w:h="16865" w:orient="portrait"/>
          <w:cols w:equalWidth="0" w:num="1">
            <w:col w:w="9019"/>
          </w:cols>
          <w:pgMar w:left="1440" w:top="118" w:right="1440" w:bottom="0" w:gutter="0" w:footer="0" w:header="0"/>
        </w:sectPr>
      </w:pPr>
    </w:p>
    <w:bookmarkStart w:id="66" w:name="page67"/>
    <w:bookmarkEnd w:id="66"/>
    <w:p>
      <w:pPr>
        <w:spacing w:after="0" w:line="59" w:lineRule="exact"/>
        <w:rPr>
          <w:sz w:val="20"/>
          <w:szCs w:val="20"/>
          <w:color w:val="auto"/>
        </w:rPr>
      </w:pPr>
    </w:p>
    <w:tbl>
      <w:tblPr>
        <w:tblLayout w:type="fixed"/>
        <w:tblInd w:w="640" w:type="dxa"/>
        <w:tblCellMar>
          <w:top w:w="0" w:type="dxa"/>
          <w:left w:w="0" w:type="dxa"/>
          <w:bottom w:w="0" w:type="dxa"/>
          <w:right w:w="0" w:type="dxa"/>
        </w:tblCellMar>
      </w:tblPr>
      <w:tr>
        <w:trPr>
          <w:trHeight w:val="169"/>
        </w:trPr>
        <w:tc>
          <w:tcPr>
            <w:tcW w:w="3620" w:type="dxa"/>
            <w:vAlign w:val="bottom"/>
          </w:tcPr>
          <w:p>
            <w:pPr>
              <w:ind w:left="160"/>
              <w:spacing w:after="0"/>
              <w:rPr>
                <w:sz w:val="20"/>
                <w:szCs w:val="20"/>
                <w:color w:val="auto"/>
              </w:rPr>
            </w:pPr>
            <w:r>
              <w:rPr>
                <w:rFonts w:ascii="Arial" w:cs="Arial" w:eastAsia="Arial" w:hAnsi="Arial"/>
                <w:sz w:val="13"/>
                <w:szCs w:val="13"/>
                <w:color w:val="auto"/>
              </w:rPr>
              <w:t>diluted, as adjusted</w:t>
            </w:r>
          </w:p>
        </w:tc>
        <w:tc>
          <w:tcPr>
            <w:tcW w:w="24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2.36</w:t>
            </w:r>
          </w:p>
        </w:tc>
        <w:tc>
          <w:tcPr>
            <w:tcW w:w="200" w:type="dxa"/>
            <w:vAlign w:val="bottom"/>
          </w:tcPr>
          <w:p>
            <w:pPr>
              <w:spacing w:after="0"/>
              <w:rPr>
                <w:sz w:val="14"/>
                <w:szCs w:val="14"/>
                <w:color w:val="auto"/>
              </w:rPr>
            </w:pPr>
          </w:p>
        </w:tc>
        <w:tc>
          <w:tcPr>
            <w:tcW w:w="24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2.24</w:t>
            </w:r>
          </w:p>
        </w:tc>
        <w:tc>
          <w:tcPr>
            <w:tcW w:w="180" w:type="dxa"/>
            <w:vAlign w:val="bottom"/>
          </w:tcPr>
          <w:p>
            <w:pPr>
              <w:spacing w:after="0"/>
              <w:rPr>
                <w:sz w:val="14"/>
                <w:szCs w:val="14"/>
                <w:color w:val="auto"/>
              </w:rPr>
            </w:pPr>
          </w:p>
        </w:tc>
        <w:tc>
          <w:tcPr>
            <w:tcW w:w="24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4.71</w:t>
            </w:r>
          </w:p>
        </w:tc>
        <w:tc>
          <w:tcPr>
            <w:tcW w:w="180" w:type="dxa"/>
            <w:vAlign w:val="bottom"/>
          </w:tcPr>
          <w:p>
            <w:pPr>
              <w:spacing w:after="0"/>
              <w:rPr>
                <w:sz w:val="14"/>
                <w:szCs w:val="14"/>
                <w:color w:val="auto"/>
              </w:rPr>
            </w:pPr>
          </w:p>
        </w:tc>
        <w:tc>
          <w:tcPr>
            <w:tcW w:w="24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4.43</w:t>
            </w:r>
          </w:p>
        </w:tc>
        <w:tc>
          <w:tcPr>
            <w:tcW w:w="0" w:type="dxa"/>
            <w:vAlign w:val="bottom"/>
          </w:tcPr>
          <w:p>
            <w:pPr>
              <w:spacing w:after="0"/>
              <w:rPr>
                <w:sz w:val="1"/>
                <w:szCs w:val="1"/>
                <w:color w:val="auto"/>
              </w:rPr>
            </w:pPr>
          </w:p>
        </w:tc>
      </w:tr>
      <w:tr>
        <w:trPr>
          <w:trHeight w:val="57"/>
        </w:trPr>
        <w:tc>
          <w:tcPr>
            <w:tcW w:w="3620" w:type="dxa"/>
            <w:vAlign w:val="bottom"/>
            <w:vMerge w:val="restart"/>
          </w:tcPr>
          <w:p>
            <w:pPr>
              <w:ind w:left="40"/>
              <w:spacing w:after="0"/>
              <w:rPr>
                <w:sz w:val="20"/>
                <w:szCs w:val="20"/>
                <w:color w:val="auto"/>
              </w:rPr>
            </w:pPr>
            <w:r>
              <w:rPr>
                <w:rFonts w:ascii="Arial" w:cs="Arial" w:eastAsia="Arial" w:hAnsi="Arial"/>
                <w:sz w:val="13"/>
                <w:szCs w:val="13"/>
                <w:color w:val="auto"/>
              </w:rPr>
              <w:t>Weighted-average shares of common stock outstanding –</w:t>
            </w:r>
          </w:p>
        </w:tc>
        <w:tc>
          <w:tcPr>
            <w:tcW w:w="2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4"/>
        </w:trPr>
        <w:tc>
          <w:tcPr>
            <w:tcW w:w="3620" w:type="dxa"/>
            <w:vAlign w:val="bottom"/>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3620" w:type="dxa"/>
            <w:vAlign w:val="bottom"/>
            <w:vMerge w:val="continue"/>
          </w:tcPr>
          <w:p>
            <w:pPr>
              <w:spacing w:after="0"/>
              <w:rPr>
                <w:sz w:val="3"/>
                <w:szCs w:val="3"/>
                <w:color w:val="auto"/>
              </w:rPr>
            </w:pPr>
          </w:p>
        </w:tc>
        <w:tc>
          <w:tcPr>
            <w:tcW w:w="240" w:type="dxa"/>
            <w:vAlign w:val="bottom"/>
          </w:tcPr>
          <w:p>
            <w:pPr>
              <w:spacing w:after="0"/>
              <w:rPr>
                <w:sz w:val="3"/>
                <w:szCs w:val="3"/>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172,013</w:t>
            </w:r>
          </w:p>
        </w:tc>
        <w:tc>
          <w:tcPr>
            <w:tcW w:w="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170,864</w:t>
            </w:r>
          </w:p>
        </w:tc>
        <w:tc>
          <w:tcPr>
            <w:tcW w:w="180" w:type="dxa"/>
            <w:vAlign w:val="bottom"/>
          </w:tcPr>
          <w:p>
            <w:pPr>
              <w:spacing w:after="0"/>
              <w:rPr>
                <w:sz w:val="3"/>
                <w:szCs w:val="3"/>
                <w:color w:val="auto"/>
              </w:rPr>
            </w:pPr>
          </w:p>
        </w:tc>
        <w:tc>
          <w:tcPr>
            <w:tcW w:w="240" w:type="dxa"/>
            <w:vAlign w:val="bottom"/>
          </w:tcPr>
          <w:p>
            <w:pPr>
              <w:spacing w:after="0"/>
              <w:rPr>
                <w:sz w:val="3"/>
                <w:szCs w:val="3"/>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171,981</w:t>
            </w:r>
          </w:p>
        </w:tc>
        <w:tc>
          <w:tcPr>
            <w:tcW w:w="180" w:type="dxa"/>
            <w:vAlign w:val="bottom"/>
          </w:tcPr>
          <w:p>
            <w:pPr>
              <w:spacing w:after="0"/>
              <w:rPr>
                <w:sz w:val="3"/>
                <w:szCs w:val="3"/>
                <w:color w:val="auto"/>
              </w:rPr>
            </w:pPr>
          </w:p>
        </w:tc>
        <w:tc>
          <w:tcPr>
            <w:tcW w:w="240" w:type="dxa"/>
            <w:vAlign w:val="bottom"/>
          </w:tcPr>
          <w:p>
            <w:pPr>
              <w:spacing w:after="0"/>
              <w:rPr>
                <w:sz w:val="3"/>
                <w:szCs w:val="3"/>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170,824</w:t>
            </w:r>
          </w:p>
        </w:tc>
        <w:tc>
          <w:tcPr>
            <w:tcW w:w="0" w:type="dxa"/>
            <w:vAlign w:val="bottom"/>
          </w:tcPr>
          <w:p>
            <w:pPr>
              <w:spacing w:after="0"/>
              <w:rPr>
                <w:sz w:val="1"/>
                <w:szCs w:val="1"/>
                <w:color w:val="auto"/>
              </w:rPr>
            </w:pPr>
          </w:p>
        </w:tc>
      </w:tr>
      <w:tr>
        <w:trPr>
          <w:trHeight w:val="224"/>
        </w:trPr>
        <w:tc>
          <w:tcPr>
            <w:tcW w:w="3620" w:type="dxa"/>
            <w:vAlign w:val="bottom"/>
          </w:tcPr>
          <w:p>
            <w:pPr>
              <w:ind w:left="160"/>
              <w:spacing w:after="0"/>
              <w:rPr>
                <w:sz w:val="20"/>
                <w:szCs w:val="20"/>
                <w:color w:val="auto"/>
              </w:rPr>
            </w:pPr>
            <w:r>
              <w:rPr>
                <w:rFonts w:ascii="Arial" w:cs="Arial" w:eastAsia="Arial" w:hAnsi="Arial"/>
                <w:sz w:val="13"/>
                <w:szCs w:val="13"/>
                <w:color w:val="auto"/>
              </w:rPr>
              <w:t>diluted</w:t>
            </w:r>
            <w:r>
              <w:rPr>
                <w:rFonts w:ascii="Arial" w:cs="Arial" w:eastAsia="Arial" w:hAnsi="Arial"/>
                <w:sz w:val="16"/>
                <w:szCs w:val="16"/>
                <w:color w:val="auto"/>
                <w:vertAlign w:val="superscript"/>
              </w:rPr>
              <w:t>(1)</w:t>
            </w:r>
          </w:p>
        </w:tc>
        <w:tc>
          <w:tcPr>
            <w:tcW w:w="24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-441325</wp:posOffset>
            </wp:positionV>
            <wp:extent cx="5584190" cy="11074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584190" cy="1107440"/>
                    </a:xfrm>
                    <a:prstGeom prst="rect">
                      <a:avLst/>
                    </a:prstGeom>
                    <a:noFill/>
                  </pic:spPr>
                </pic:pic>
              </a:graphicData>
            </a:graphic>
          </wp:anchor>
        </w:drawing>
      </w:r>
    </w:p>
    <w:p>
      <w:pPr>
        <w:spacing w:after="0" w:line="85" w:lineRule="exact"/>
        <w:rPr>
          <w:sz w:val="20"/>
          <w:szCs w:val="20"/>
          <w:color w:val="auto"/>
        </w:rPr>
      </w:pPr>
    </w:p>
    <w:p>
      <w:pPr>
        <w:ind w:left="900" w:hanging="262"/>
        <w:spacing w:after="0"/>
        <w:tabs>
          <w:tab w:leader="none" w:pos="900" w:val="left"/>
        </w:tabs>
        <w:numPr>
          <w:ilvl w:val="0"/>
          <w:numId w:val="117"/>
        </w:numPr>
        <w:rPr>
          <w:rFonts w:ascii="Arial" w:cs="Arial" w:eastAsia="Arial" w:hAnsi="Arial"/>
          <w:sz w:val="10"/>
          <w:szCs w:val="10"/>
          <w:color w:val="auto"/>
          <w:highlight w:val="white"/>
        </w:rPr>
      </w:pPr>
      <w:r>
        <w:rPr>
          <w:rFonts w:ascii="Arial" w:cs="Arial" w:eastAsia="Arial" w:hAnsi="Arial"/>
          <w:sz w:val="10"/>
          <w:szCs w:val="10"/>
          <w:color w:val="auto"/>
        </w:rPr>
        <w:t>Refer to “Weighted-average shares of common stock outstanding – diluted” in this section for additional information.</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188595</wp:posOffset>
            </wp:positionV>
            <wp:extent cx="5584190" cy="722058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40"/>
        <w:spacing w:after="0"/>
        <w:rPr>
          <w:sz w:val="20"/>
          <w:szCs w:val="20"/>
          <w:color w:val="auto"/>
        </w:rPr>
      </w:pPr>
      <w:r>
        <w:rPr>
          <w:rFonts w:ascii="Arial" w:cs="Arial" w:eastAsia="Arial" w:hAnsi="Arial"/>
          <w:sz w:val="13"/>
          <w:szCs w:val="13"/>
          <w:u w:val="single" w:color="auto"/>
          <w:color w:val="auto"/>
        </w:rPr>
        <w:t>Adjusted EBITDA and Adjusted EBITDA margin</w:t>
      </w:r>
    </w:p>
    <w:p>
      <w:pPr>
        <w:spacing w:after="0" w:line="162" w:lineRule="exact"/>
        <w:rPr>
          <w:sz w:val="20"/>
          <w:szCs w:val="20"/>
          <w:color w:val="auto"/>
        </w:rPr>
      </w:pPr>
    </w:p>
    <w:p>
      <w:pPr>
        <w:ind w:left="640" w:right="639" w:firstLine="516"/>
        <w:spacing w:after="0" w:line="252" w:lineRule="auto"/>
        <w:rPr>
          <w:sz w:val="20"/>
          <w:szCs w:val="20"/>
          <w:color w:val="auto"/>
        </w:rPr>
      </w:pPr>
      <w:r>
        <w:rPr>
          <w:rFonts w:ascii="Arial" w:cs="Arial" w:eastAsia="Arial" w:hAnsi="Arial"/>
          <w:sz w:val="13"/>
          <w:szCs w:val="13"/>
          <w:color w:val="auto"/>
        </w:rPr>
        <w:t>We use Adjusted EBITDA as a supplemental performance measure of our operations, for financial and operational decision-making, and as a supplemental means of evaluating period-to-period comparisons on a consistent basis. Adjusted EBITDA is calculated as earnings before interest, taxes, depreciation, and amortization (“EBITDA”), excluding stock compensation expense, gains or losses on early extinguishment of debt, gains or losses on sales of real estate, impairments of real estate, and significant termination fees. Adjusted EBITDA also excludes unrealized gains or losses and significant realized gains or losses and impairments that result from our non-real estate investments. These non-real estate investment amounts are classified in our consolidated statements of operations outside of total revenues.</w:t>
      </w:r>
    </w:p>
    <w:p>
      <w:pPr>
        <w:spacing w:after="0" w:line="136" w:lineRule="exact"/>
        <w:rPr>
          <w:sz w:val="20"/>
          <w:szCs w:val="20"/>
          <w:color w:val="auto"/>
        </w:rPr>
      </w:pPr>
    </w:p>
    <w:p>
      <w:pPr>
        <w:ind w:left="640" w:right="679" w:firstLine="516"/>
        <w:spacing w:after="0" w:line="252" w:lineRule="auto"/>
        <w:rPr>
          <w:sz w:val="20"/>
          <w:szCs w:val="20"/>
          <w:color w:val="auto"/>
        </w:rPr>
      </w:pPr>
      <w:r>
        <w:rPr>
          <w:rFonts w:ascii="Arial" w:cs="Arial" w:eastAsia="Arial" w:hAnsi="Arial"/>
          <w:sz w:val="13"/>
          <w:szCs w:val="13"/>
          <w:color w:val="auto"/>
        </w:rPr>
        <w:t>We believe Adjusted EBITDA provides investors with relevant and useful information as it allows investors to evaluate the operating performance of our business activities without having to account for differences recognized because of investing and financing decisions related to our real estate and non-real estate investments, our capital structure, capital market transactions, and variances resulting from the volatility of market conditions outside of our control. For example, we exclude gains or losses on the early extinguishment of debt to allow investors to measure our performance independent of our indebtedness and capital structure. We believe that adjusting for the effects of impairments and gains or losses on sales of real estate, significant impairments and realized gains or losses on non-real estate investments, and significant termination fees allows investors to evaluate performance from period to period on a consistent basis without having to account for differences recognized because of investing and financing decisions related to our real estate and non-real estate investments or other corporate activities that may not be representative of the operating performance of our properties.</w:t>
      </w:r>
    </w:p>
    <w:p>
      <w:pPr>
        <w:spacing w:after="0" w:line="127" w:lineRule="exact"/>
        <w:rPr>
          <w:sz w:val="20"/>
          <w:szCs w:val="20"/>
          <w:color w:val="auto"/>
        </w:rPr>
      </w:pPr>
    </w:p>
    <w:p>
      <w:pPr>
        <w:ind w:left="640" w:right="639" w:firstLine="516"/>
        <w:spacing w:after="0" w:line="254" w:lineRule="auto"/>
        <w:rPr>
          <w:sz w:val="20"/>
          <w:szCs w:val="20"/>
          <w:color w:val="auto"/>
        </w:rPr>
      </w:pPr>
      <w:r>
        <w:rPr>
          <w:rFonts w:ascii="Arial" w:cs="Arial" w:eastAsia="Arial" w:hAnsi="Arial"/>
          <w:sz w:val="13"/>
          <w:szCs w:val="13"/>
          <w:color w:val="auto"/>
        </w:rPr>
        <w:t>In addition, we believe that excluding charges related to stock compensation and unrealized gains or losses facilitates for investors a comparison of our business activities across periods without the volatility resulting from market forces outside of our control. Adjusted EBITDA has limitations as a measure of our performance. Adjusted EBITDA does not reflect our historical expenditures or future requirements for capital expenditures or contractual commitments. While Adjusted EBITDA is a relevant measure of performance, it does not represent net income (loss) or cash flows from operations calculated and presented in accordance with GAAP, and it should not be considered as an alternative to those indicators in evaluating performance or liquidity.</w:t>
      </w:r>
    </w:p>
    <w:p>
      <w:pPr>
        <w:spacing w:after="0" w:line="135" w:lineRule="exact"/>
        <w:rPr>
          <w:sz w:val="20"/>
          <w:szCs w:val="20"/>
          <w:color w:val="auto"/>
        </w:rPr>
      </w:pPr>
    </w:p>
    <w:p>
      <w:pPr>
        <w:ind w:left="640" w:right="999" w:firstLine="516"/>
        <w:spacing w:after="0" w:line="265" w:lineRule="auto"/>
        <w:rPr>
          <w:sz w:val="20"/>
          <w:szCs w:val="20"/>
          <w:color w:val="auto"/>
        </w:rPr>
      </w:pPr>
      <w:r>
        <w:rPr>
          <w:rFonts w:ascii="Arial" w:cs="Arial" w:eastAsia="Arial" w:hAnsi="Arial"/>
          <w:sz w:val="13"/>
          <w:szCs w:val="13"/>
          <w:color w:val="auto"/>
        </w:rPr>
        <w:t>In order to calculate the Adjusted EBITDA margin, we divide Adjusted EBITDA by total revenues as presented in our consolidated statements of operations. We believe that this supplemental performance measure provides investors with additional useful information regarding the profitability of our operating activities.</w:t>
      </w:r>
    </w:p>
    <w:p>
      <w:pPr>
        <w:spacing w:after="0" w:line="117" w:lineRule="exact"/>
        <w:rPr>
          <w:sz w:val="20"/>
          <w:szCs w:val="20"/>
          <w:color w:val="auto"/>
        </w:rPr>
      </w:pPr>
    </w:p>
    <w:p>
      <w:pPr>
        <w:ind w:left="640" w:right="659" w:firstLine="516"/>
        <w:spacing w:after="0" w:line="254" w:lineRule="auto"/>
        <w:rPr>
          <w:sz w:val="20"/>
          <w:szCs w:val="20"/>
          <w:color w:val="auto"/>
        </w:rPr>
      </w:pPr>
      <w:r>
        <w:rPr>
          <w:rFonts w:ascii="Arial" w:cs="Arial" w:eastAsia="Arial" w:hAnsi="Arial"/>
          <w:sz w:val="13"/>
          <w:szCs w:val="13"/>
          <w:color w:val="auto"/>
        </w:rPr>
        <w:t>We are not able to forecast fourth quarter net income without unreasonable effort and therefore do not provide a reconciliation for Adjusted EBITDA on a forward-looking basis. This is due to the inherent difficulty of forecasting the timing and/or amount of items that depend on market conditions outside of our control, including the timing of dispositions, capital events, and financing decisions, as well as quarterly components such as gain on sales of real estate, unrealized gains or losses on non-real estate investments, impairment of real estate, and impairment of non-real estate investments. Our attempt to predict these amounts may produce significant but inaccurate estimates, which would be potentially misleading for our investors.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188595</wp:posOffset>
            </wp:positionV>
            <wp:extent cx="5584190" cy="206248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584190" cy="2062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left="640" w:right="779" w:firstLine="516"/>
        <w:spacing w:after="0" w:line="277" w:lineRule="auto"/>
        <w:rPr>
          <w:sz w:val="20"/>
          <w:szCs w:val="20"/>
          <w:color w:val="auto"/>
        </w:rPr>
      </w:pPr>
      <w:r>
        <w:rPr>
          <w:rFonts w:ascii="Arial" w:cs="Arial" w:eastAsia="Arial" w:hAnsi="Arial"/>
          <w:sz w:val="12"/>
          <w:szCs w:val="12"/>
          <w:color w:val="auto"/>
        </w:rPr>
        <w:t>The following table reconciles net income (loss), the most directly comparable financial measure calculated and presented in accordance with GAAP, to Adjusted EBITDA and calculates the Adjusted EBITDA margin for the three and six months ended June 30,</w:t>
      </w:r>
    </w:p>
    <w:p>
      <w:pPr>
        <w:ind w:left="640"/>
        <w:spacing w:after="0"/>
        <w:rPr>
          <w:sz w:val="20"/>
          <w:szCs w:val="20"/>
          <w:color w:val="auto"/>
        </w:rPr>
      </w:pPr>
      <w:r>
        <w:rPr>
          <w:rFonts w:ascii="Arial" w:cs="Arial" w:eastAsia="Arial" w:hAnsi="Arial"/>
          <w:sz w:val="13"/>
          <w:szCs w:val="13"/>
          <w:color w:val="auto"/>
        </w:rPr>
        <w:t>2024 and 2023 (dollars in thousands):</w:t>
      </w:r>
    </w:p>
    <w:p>
      <w:pPr>
        <w:spacing w:after="0" w:line="208" w:lineRule="exact"/>
        <w:rPr>
          <w:sz w:val="20"/>
          <w:szCs w:val="20"/>
          <w:color w:val="auto"/>
        </w:rPr>
      </w:pPr>
    </w:p>
    <w:tbl>
      <w:tblPr>
        <w:tblLayout w:type="fixed"/>
        <w:tblInd w:w="680" w:type="dxa"/>
        <w:tblCellMar>
          <w:top w:w="0" w:type="dxa"/>
          <w:left w:w="0" w:type="dxa"/>
          <w:bottom w:w="0" w:type="dxa"/>
          <w:right w:w="0" w:type="dxa"/>
        </w:tblCellMar>
      </w:tblPr>
      <w:tr>
        <w:trPr>
          <w:trHeight w:val="169"/>
        </w:trPr>
        <w:tc>
          <w:tcPr>
            <w:tcW w:w="3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0" w:type="dxa"/>
            <w:vAlign w:val="bottom"/>
            <w:gridSpan w:val="3"/>
          </w:tcPr>
          <w:p>
            <w:pPr>
              <w:jc w:val="right"/>
              <w:ind w:right="176"/>
              <w:spacing w:after="0"/>
              <w:rPr>
                <w:sz w:val="20"/>
                <w:szCs w:val="20"/>
                <w:color w:val="auto"/>
              </w:rPr>
            </w:pPr>
            <w:r>
              <w:rPr>
                <w:rFonts w:ascii="Arial" w:cs="Arial" w:eastAsia="Arial" w:hAnsi="Arial"/>
                <w:sz w:val="13"/>
                <w:szCs w:val="13"/>
                <w:color w:val="auto"/>
                <w:w w:val="99"/>
              </w:rPr>
              <w:t>Three Months Ended June 30,</w:t>
            </w:r>
          </w:p>
        </w:tc>
        <w:tc>
          <w:tcPr>
            <w:tcW w:w="200" w:type="dxa"/>
            <w:vAlign w:val="bottom"/>
          </w:tcPr>
          <w:p>
            <w:pPr>
              <w:spacing w:after="0"/>
              <w:rPr>
                <w:sz w:val="14"/>
                <w:szCs w:val="14"/>
                <w:color w:val="auto"/>
              </w:rPr>
            </w:pPr>
          </w:p>
        </w:tc>
        <w:tc>
          <w:tcPr>
            <w:tcW w:w="1880" w:type="dxa"/>
            <w:vAlign w:val="bottom"/>
            <w:gridSpan w:val="3"/>
          </w:tcPr>
          <w:p>
            <w:pPr>
              <w:jc w:val="right"/>
              <w:ind w:right="176"/>
              <w:spacing w:after="0"/>
              <w:rPr>
                <w:sz w:val="20"/>
                <w:szCs w:val="20"/>
                <w:color w:val="auto"/>
              </w:rPr>
            </w:pPr>
            <w:r>
              <w:rPr>
                <w:rFonts w:ascii="Arial" w:cs="Arial" w:eastAsia="Arial" w:hAnsi="Arial"/>
                <w:sz w:val="13"/>
                <w:szCs w:val="13"/>
                <w:color w:val="auto"/>
              </w:rPr>
              <w:t>Six Months Ended June 30,</w:t>
            </w:r>
          </w:p>
        </w:tc>
      </w:tr>
      <w:tr>
        <w:trPr>
          <w:trHeight w:val="204"/>
        </w:trPr>
        <w:tc>
          <w:tcPr>
            <w:tcW w:w="3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jc w:val="right"/>
              <w:ind w:right="316"/>
              <w:spacing w:after="0"/>
              <w:rPr>
                <w:sz w:val="20"/>
                <w:szCs w:val="20"/>
                <w:color w:val="auto"/>
              </w:rPr>
            </w:pPr>
            <w:r>
              <w:rPr>
                <w:rFonts w:ascii="Arial" w:cs="Arial" w:eastAsia="Arial" w:hAnsi="Arial"/>
                <w:sz w:val="13"/>
                <w:szCs w:val="13"/>
                <w:color w:val="auto"/>
              </w:rPr>
              <w:t>2024</w:t>
            </w:r>
          </w:p>
        </w:tc>
        <w:tc>
          <w:tcPr>
            <w:tcW w:w="260" w:type="dxa"/>
            <w:vAlign w:val="bottom"/>
          </w:tcPr>
          <w:p>
            <w:pPr>
              <w:spacing w:after="0"/>
              <w:rPr>
                <w:sz w:val="17"/>
                <w:szCs w:val="17"/>
                <w:color w:val="auto"/>
              </w:rPr>
            </w:pPr>
          </w:p>
        </w:tc>
        <w:tc>
          <w:tcPr>
            <w:tcW w:w="840" w:type="dxa"/>
            <w:vAlign w:val="bottom"/>
          </w:tcPr>
          <w:p>
            <w:pPr>
              <w:jc w:val="right"/>
              <w:ind w:right="376"/>
              <w:spacing w:after="0"/>
              <w:rPr>
                <w:sz w:val="20"/>
                <w:szCs w:val="20"/>
                <w:color w:val="auto"/>
              </w:rPr>
            </w:pPr>
            <w:r>
              <w:rPr>
                <w:rFonts w:ascii="Arial" w:cs="Arial" w:eastAsia="Arial" w:hAnsi="Arial"/>
                <w:sz w:val="13"/>
                <w:szCs w:val="13"/>
                <w:color w:val="auto"/>
              </w:rPr>
              <w:t>2023</w:t>
            </w:r>
          </w:p>
        </w:tc>
        <w:tc>
          <w:tcPr>
            <w:tcW w:w="200" w:type="dxa"/>
            <w:vAlign w:val="bottom"/>
          </w:tcPr>
          <w:p>
            <w:pPr>
              <w:spacing w:after="0"/>
              <w:rPr>
                <w:sz w:val="17"/>
                <w:szCs w:val="17"/>
                <w:color w:val="auto"/>
              </w:rPr>
            </w:pPr>
          </w:p>
        </w:tc>
        <w:tc>
          <w:tcPr>
            <w:tcW w:w="880" w:type="dxa"/>
            <w:vAlign w:val="bottom"/>
          </w:tcPr>
          <w:p>
            <w:pPr>
              <w:jc w:val="right"/>
              <w:ind w:right="336"/>
              <w:spacing w:after="0"/>
              <w:rPr>
                <w:sz w:val="20"/>
                <w:szCs w:val="20"/>
                <w:color w:val="auto"/>
              </w:rPr>
            </w:pPr>
            <w:r>
              <w:rPr>
                <w:rFonts w:ascii="Arial" w:cs="Arial" w:eastAsia="Arial" w:hAnsi="Arial"/>
                <w:sz w:val="13"/>
                <w:szCs w:val="13"/>
                <w:color w:val="auto"/>
              </w:rPr>
              <w:t>2024</w:t>
            </w:r>
          </w:p>
        </w:tc>
        <w:tc>
          <w:tcPr>
            <w:tcW w:w="240" w:type="dxa"/>
            <w:vAlign w:val="bottom"/>
          </w:tcPr>
          <w:p>
            <w:pPr>
              <w:spacing w:after="0"/>
              <w:rPr>
                <w:sz w:val="17"/>
                <w:szCs w:val="17"/>
                <w:color w:val="auto"/>
              </w:rPr>
            </w:pPr>
          </w:p>
        </w:tc>
        <w:tc>
          <w:tcPr>
            <w:tcW w:w="760" w:type="dxa"/>
            <w:vAlign w:val="bottom"/>
          </w:tcPr>
          <w:p>
            <w:pPr>
              <w:jc w:val="right"/>
              <w:ind w:right="296"/>
              <w:spacing w:after="0"/>
              <w:rPr>
                <w:sz w:val="20"/>
                <w:szCs w:val="20"/>
                <w:color w:val="auto"/>
              </w:rPr>
            </w:pPr>
            <w:r>
              <w:rPr>
                <w:rFonts w:ascii="Arial" w:cs="Arial" w:eastAsia="Arial" w:hAnsi="Arial"/>
                <w:sz w:val="13"/>
                <w:szCs w:val="13"/>
                <w:color w:val="auto"/>
              </w:rPr>
              <w:t>2023</w:t>
            </w:r>
          </w:p>
        </w:tc>
      </w:tr>
      <w:tr>
        <w:trPr>
          <w:trHeight w:val="204"/>
        </w:trPr>
        <w:tc>
          <w:tcPr>
            <w:tcW w:w="3140" w:type="dxa"/>
            <w:vAlign w:val="bottom"/>
          </w:tcPr>
          <w:p>
            <w:pPr>
              <w:spacing w:after="0"/>
              <w:rPr>
                <w:sz w:val="20"/>
                <w:szCs w:val="20"/>
                <w:color w:val="auto"/>
              </w:rPr>
            </w:pPr>
            <w:r>
              <w:rPr>
                <w:rFonts w:ascii="Arial" w:cs="Arial" w:eastAsia="Arial" w:hAnsi="Arial"/>
                <w:sz w:val="13"/>
                <w:szCs w:val="13"/>
                <w:color w:val="auto"/>
              </w:rPr>
              <w:t>Net income</w:t>
            </w: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16"/>
              <w:spacing w:after="0"/>
              <w:rPr>
                <w:sz w:val="20"/>
                <w:szCs w:val="20"/>
                <w:color w:val="auto"/>
              </w:rPr>
            </w:pPr>
            <w:r>
              <w:rPr>
                <w:rFonts w:ascii="Arial" w:cs="Arial" w:eastAsia="Arial" w:hAnsi="Arial"/>
                <w:sz w:val="13"/>
                <w:szCs w:val="13"/>
                <w:color w:val="auto"/>
              </w:rPr>
              <w:t>94,049</w:t>
            </w:r>
          </w:p>
        </w:tc>
        <w:tc>
          <w:tcPr>
            <w:tcW w:w="26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56"/>
              <w:spacing w:after="0"/>
              <w:rPr>
                <w:sz w:val="20"/>
                <w:szCs w:val="20"/>
                <w:color w:val="auto"/>
              </w:rPr>
            </w:pPr>
            <w:r>
              <w:rPr>
                <w:rFonts w:ascii="Arial" w:cs="Arial" w:eastAsia="Arial" w:hAnsi="Arial"/>
                <w:sz w:val="13"/>
                <w:szCs w:val="13"/>
                <w:color w:val="auto"/>
              </w:rPr>
              <w:t>133,705</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6"/>
              <w:spacing w:after="0"/>
              <w:rPr>
                <w:sz w:val="20"/>
                <w:szCs w:val="20"/>
                <w:color w:val="auto"/>
              </w:rPr>
            </w:pPr>
            <w:r>
              <w:rPr>
                <w:rFonts w:ascii="Arial" w:cs="Arial" w:eastAsia="Arial" w:hAnsi="Arial"/>
                <w:sz w:val="13"/>
                <w:szCs w:val="13"/>
                <w:color w:val="auto"/>
              </w:rPr>
              <w:t>313,225</w:t>
            </w:r>
          </w:p>
        </w:tc>
        <w:tc>
          <w:tcPr>
            <w:tcW w:w="24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255,398</w:t>
            </w:r>
          </w:p>
        </w:tc>
      </w:tr>
      <w:tr>
        <w:trPr>
          <w:trHeight w:val="204"/>
        </w:trPr>
        <w:tc>
          <w:tcPr>
            <w:tcW w:w="3140" w:type="dxa"/>
            <w:vAlign w:val="bottom"/>
          </w:tcPr>
          <w:p>
            <w:pPr>
              <w:spacing w:after="0"/>
              <w:rPr>
                <w:sz w:val="20"/>
                <w:szCs w:val="20"/>
                <w:color w:val="auto"/>
              </w:rPr>
            </w:pPr>
            <w:r>
              <w:rPr>
                <w:rFonts w:ascii="Arial" w:cs="Arial" w:eastAsia="Arial" w:hAnsi="Arial"/>
                <w:sz w:val="13"/>
                <w:szCs w:val="13"/>
                <w:color w:val="auto"/>
              </w:rPr>
              <w:t>Interest expense</w:t>
            </w:r>
          </w:p>
        </w:tc>
        <w:tc>
          <w:tcPr>
            <w:tcW w:w="440" w:type="dxa"/>
            <w:vAlign w:val="bottom"/>
          </w:tcPr>
          <w:p>
            <w:pPr>
              <w:spacing w:after="0"/>
              <w:rPr>
                <w:sz w:val="17"/>
                <w:szCs w:val="17"/>
                <w:color w:val="auto"/>
              </w:rPr>
            </w:pPr>
          </w:p>
        </w:tc>
        <w:tc>
          <w:tcPr>
            <w:tcW w:w="900" w:type="dxa"/>
            <w:vAlign w:val="bottom"/>
          </w:tcPr>
          <w:p>
            <w:pPr>
              <w:jc w:val="right"/>
              <w:ind w:right="16"/>
              <w:spacing w:after="0"/>
              <w:rPr>
                <w:sz w:val="20"/>
                <w:szCs w:val="20"/>
                <w:color w:val="auto"/>
              </w:rPr>
            </w:pPr>
            <w:r>
              <w:rPr>
                <w:rFonts w:ascii="Arial" w:cs="Arial" w:eastAsia="Arial" w:hAnsi="Arial"/>
                <w:sz w:val="13"/>
                <w:szCs w:val="13"/>
                <w:color w:val="auto"/>
              </w:rPr>
              <w:t>45,789</w:t>
            </w:r>
          </w:p>
        </w:tc>
        <w:tc>
          <w:tcPr>
            <w:tcW w:w="260" w:type="dxa"/>
            <w:vAlign w:val="bottom"/>
          </w:tcPr>
          <w:p>
            <w:pPr>
              <w:spacing w:after="0"/>
              <w:rPr>
                <w:sz w:val="17"/>
                <w:szCs w:val="17"/>
                <w:color w:val="auto"/>
              </w:rPr>
            </w:pPr>
          </w:p>
        </w:tc>
        <w:tc>
          <w:tcPr>
            <w:tcW w:w="840" w:type="dxa"/>
            <w:vAlign w:val="bottom"/>
          </w:tcPr>
          <w:p>
            <w:pPr>
              <w:jc w:val="right"/>
              <w:ind w:right="56"/>
              <w:spacing w:after="0"/>
              <w:rPr>
                <w:sz w:val="20"/>
                <w:szCs w:val="20"/>
                <w:color w:val="auto"/>
              </w:rPr>
            </w:pPr>
            <w:r>
              <w:rPr>
                <w:rFonts w:ascii="Arial" w:cs="Arial" w:eastAsia="Arial" w:hAnsi="Arial"/>
                <w:sz w:val="13"/>
                <w:szCs w:val="13"/>
                <w:color w:val="auto"/>
              </w:rPr>
              <w:t>17,072</w:t>
            </w:r>
          </w:p>
        </w:tc>
        <w:tc>
          <w:tcPr>
            <w:tcW w:w="200" w:type="dxa"/>
            <w:vAlign w:val="bottom"/>
          </w:tcPr>
          <w:p>
            <w:pPr>
              <w:spacing w:after="0"/>
              <w:rPr>
                <w:sz w:val="17"/>
                <w:szCs w:val="17"/>
                <w:color w:val="auto"/>
              </w:rPr>
            </w:pPr>
          </w:p>
        </w:tc>
        <w:tc>
          <w:tcPr>
            <w:tcW w:w="880" w:type="dxa"/>
            <w:vAlign w:val="bottom"/>
          </w:tcPr>
          <w:p>
            <w:pPr>
              <w:jc w:val="right"/>
              <w:ind w:right="36"/>
              <w:spacing w:after="0"/>
              <w:rPr>
                <w:sz w:val="20"/>
                <w:szCs w:val="20"/>
                <w:color w:val="auto"/>
              </w:rPr>
            </w:pPr>
            <w:r>
              <w:rPr>
                <w:rFonts w:ascii="Arial" w:cs="Arial" w:eastAsia="Arial" w:hAnsi="Arial"/>
                <w:sz w:val="13"/>
                <w:szCs w:val="13"/>
                <w:color w:val="auto"/>
              </w:rPr>
              <w:t>86,629</w:t>
            </w: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30,826</w:t>
            </w:r>
          </w:p>
        </w:tc>
      </w:tr>
      <w:tr>
        <w:trPr>
          <w:trHeight w:val="204"/>
        </w:trPr>
        <w:tc>
          <w:tcPr>
            <w:tcW w:w="3140" w:type="dxa"/>
            <w:vAlign w:val="bottom"/>
          </w:tcPr>
          <w:p>
            <w:pPr>
              <w:spacing w:after="0"/>
              <w:rPr>
                <w:sz w:val="20"/>
                <w:szCs w:val="20"/>
                <w:color w:val="auto"/>
              </w:rPr>
            </w:pPr>
            <w:r>
              <w:rPr>
                <w:rFonts w:ascii="Arial" w:cs="Arial" w:eastAsia="Arial" w:hAnsi="Arial"/>
                <w:sz w:val="13"/>
                <w:szCs w:val="13"/>
                <w:color w:val="auto"/>
              </w:rPr>
              <w:t>Income taxes</w:t>
            </w:r>
          </w:p>
        </w:tc>
        <w:tc>
          <w:tcPr>
            <w:tcW w:w="440" w:type="dxa"/>
            <w:vAlign w:val="bottom"/>
          </w:tcPr>
          <w:p>
            <w:pPr>
              <w:spacing w:after="0"/>
              <w:rPr>
                <w:sz w:val="17"/>
                <w:szCs w:val="17"/>
                <w:color w:val="auto"/>
              </w:rPr>
            </w:pPr>
          </w:p>
        </w:tc>
        <w:tc>
          <w:tcPr>
            <w:tcW w:w="900" w:type="dxa"/>
            <w:vAlign w:val="bottom"/>
          </w:tcPr>
          <w:p>
            <w:pPr>
              <w:jc w:val="right"/>
              <w:ind w:right="16"/>
              <w:spacing w:after="0"/>
              <w:rPr>
                <w:sz w:val="20"/>
                <w:szCs w:val="20"/>
                <w:color w:val="auto"/>
              </w:rPr>
            </w:pPr>
            <w:r>
              <w:rPr>
                <w:rFonts w:ascii="Arial" w:cs="Arial" w:eastAsia="Arial" w:hAnsi="Arial"/>
                <w:sz w:val="13"/>
                <w:szCs w:val="13"/>
                <w:color w:val="auto"/>
              </w:rPr>
              <w:t>1,182</w:t>
            </w:r>
          </w:p>
        </w:tc>
        <w:tc>
          <w:tcPr>
            <w:tcW w:w="260" w:type="dxa"/>
            <w:vAlign w:val="bottom"/>
          </w:tcPr>
          <w:p>
            <w:pPr>
              <w:spacing w:after="0"/>
              <w:rPr>
                <w:sz w:val="17"/>
                <w:szCs w:val="17"/>
                <w:color w:val="auto"/>
              </w:rPr>
            </w:pPr>
          </w:p>
        </w:tc>
        <w:tc>
          <w:tcPr>
            <w:tcW w:w="840" w:type="dxa"/>
            <w:vAlign w:val="bottom"/>
          </w:tcPr>
          <w:p>
            <w:pPr>
              <w:jc w:val="right"/>
              <w:ind w:right="56"/>
              <w:spacing w:after="0"/>
              <w:rPr>
                <w:sz w:val="20"/>
                <w:szCs w:val="20"/>
                <w:color w:val="auto"/>
              </w:rPr>
            </w:pPr>
            <w:r>
              <w:rPr>
                <w:rFonts w:ascii="Arial" w:cs="Arial" w:eastAsia="Arial" w:hAnsi="Arial"/>
                <w:sz w:val="13"/>
                <w:szCs w:val="13"/>
                <w:color w:val="auto"/>
              </w:rPr>
              <w:t>2,251</w:t>
            </w:r>
          </w:p>
        </w:tc>
        <w:tc>
          <w:tcPr>
            <w:tcW w:w="200" w:type="dxa"/>
            <w:vAlign w:val="bottom"/>
          </w:tcPr>
          <w:p>
            <w:pPr>
              <w:spacing w:after="0"/>
              <w:rPr>
                <w:sz w:val="17"/>
                <w:szCs w:val="17"/>
                <w:color w:val="auto"/>
              </w:rPr>
            </w:pPr>
          </w:p>
        </w:tc>
        <w:tc>
          <w:tcPr>
            <w:tcW w:w="880" w:type="dxa"/>
            <w:vAlign w:val="bottom"/>
          </w:tcPr>
          <w:p>
            <w:pPr>
              <w:jc w:val="right"/>
              <w:ind w:right="36"/>
              <w:spacing w:after="0"/>
              <w:rPr>
                <w:sz w:val="20"/>
                <w:szCs w:val="20"/>
                <w:color w:val="auto"/>
              </w:rPr>
            </w:pPr>
            <w:r>
              <w:rPr>
                <w:rFonts w:ascii="Arial" w:cs="Arial" w:eastAsia="Arial" w:hAnsi="Arial"/>
                <w:sz w:val="13"/>
                <w:szCs w:val="13"/>
                <w:color w:val="auto"/>
              </w:rPr>
              <w:t>2,946</w:t>
            </w: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3,382</w:t>
            </w:r>
          </w:p>
        </w:tc>
      </w:tr>
      <w:tr>
        <w:trPr>
          <w:trHeight w:val="204"/>
        </w:trPr>
        <w:tc>
          <w:tcPr>
            <w:tcW w:w="3140" w:type="dxa"/>
            <w:vAlign w:val="bottom"/>
          </w:tcPr>
          <w:p>
            <w:pPr>
              <w:spacing w:after="0"/>
              <w:rPr>
                <w:sz w:val="20"/>
                <w:szCs w:val="20"/>
                <w:color w:val="auto"/>
              </w:rPr>
            </w:pPr>
            <w:r>
              <w:rPr>
                <w:rFonts w:ascii="Arial" w:cs="Arial" w:eastAsia="Arial" w:hAnsi="Arial"/>
                <w:sz w:val="13"/>
                <w:szCs w:val="13"/>
                <w:color w:val="auto"/>
              </w:rPr>
              <w:t>Depreciation and amortization</w:t>
            </w:r>
          </w:p>
        </w:tc>
        <w:tc>
          <w:tcPr>
            <w:tcW w:w="440" w:type="dxa"/>
            <w:vAlign w:val="bottom"/>
          </w:tcPr>
          <w:p>
            <w:pPr>
              <w:spacing w:after="0"/>
              <w:rPr>
                <w:sz w:val="17"/>
                <w:szCs w:val="17"/>
                <w:color w:val="auto"/>
              </w:rPr>
            </w:pPr>
          </w:p>
        </w:tc>
        <w:tc>
          <w:tcPr>
            <w:tcW w:w="900" w:type="dxa"/>
            <w:vAlign w:val="bottom"/>
          </w:tcPr>
          <w:p>
            <w:pPr>
              <w:jc w:val="right"/>
              <w:ind w:right="16"/>
              <w:spacing w:after="0"/>
              <w:rPr>
                <w:sz w:val="20"/>
                <w:szCs w:val="20"/>
                <w:color w:val="auto"/>
              </w:rPr>
            </w:pPr>
            <w:r>
              <w:rPr>
                <w:rFonts w:ascii="Arial" w:cs="Arial" w:eastAsia="Arial" w:hAnsi="Arial"/>
                <w:sz w:val="13"/>
                <w:szCs w:val="13"/>
                <w:color w:val="auto"/>
              </w:rPr>
              <w:t>290,720</w:t>
            </w:r>
          </w:p>
        </w:tc>
        <w:tc>
          <w:tcPr>
            <w:tcW w:w="260" w:type="dxa"/>
            <w:vAlign w:val="bottom"/>
          </w:tcPr>
          <w:p>
            <w:pPr>
              <w:spacing w:after="0"/>
              <w:rPr>
                <w:sz w:val="17"/>
                <w:szCs w:val="17"/>
                <w:color w:val="auto"/>
              </w:rPr>
            </w:pPr>
          </w:p>
        </w:tc>
        <w:tc>
          <w:tcPr>
            <w:tcW w:w="840" w:type="dxa"/>
            <w:vAlign w:val="bottom"/>
          </w:tcPr>
          <w:p>
            <w:pPr>
              <w:jc w:val="right"/>
              <w:ind w:right="56"/>
              <w:spacing w:after="0"/>
              <w:rPr>
                <w:sz w:val="20"/>
                <w:szCs w:val="20"/>
                <w:color w:val="auto"/>
              </w:rPr>
            </w:pPr>
            <w:r>
              <w:rPr>
                <w:rFonts w:ascii="Arial" w:cs="Arial" w:eastAsia="Arial" w:hAnsi="Arial"/>
                <w:sz w:val="13"/>
                <w:szCs w:val="13"/>
                <w:color w:val="auto"/>
              </w:rPr>
              <w:t>273,555</w:t>
            </w:r>
          </w:p>
        </w:tc>
        <w:tc>
          <w:tcPr>
            <w:tcW w:w="200" w:type="dxa"/>
            <w:vAlign w:val="bottom"/>
          </w:tcPr>
          <w:p>
            <w:pPr>
              <w:spacing w:after="0"/>
              <w:rPr>
                <w:sz w:val="17"/>
                <w:szCs w:val="17"/>
                <w:color w:val="auto"/>
              </w:rPr>
            </w:pPr>
          </w:p>
        </w:tc>
        <w:tc>
          <w:tcPr>
            <w:tcW w:w="880" w:type="dxa"/>
            <w:vAlign w:val="bottom"/>
          </w:tcPr>
          <w:p>
            <w:pPr>
              <w:jc w:val="right"/>
              <w:ind w:right="36"/>
              <w:spacing w:after="0"/>
              <w:rPr>
                <w:sz w:val="20"/>
                <w:szCs w:val="20"/>
                <w:color w:val="auto"/>
              </w:rPr>
            </w:pPr>
            <w:r>
              <w:rPr>
                <w:rFonts w:ascii="Arial" w:cs="Arial" w:eastAsia="Arial" w:hAnsi="Arial"/>
                <w:sz w:val="13"/>
                <w:szCs w:val="13"/>
                <w:color w:val="auto"/>
              </w:rPr>
              <w:t>578,274</w:t>
            </w: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538,857</w:t>
            </w:r>
          </w:p>
        </w:tc>
      </w:tr>
      <w:tr>
        <w:trPr>
          <w:trHeight w:val="204"/>
        </w:trPr>
        <w:tc>
          <w:tcPr>
            <w:tcW w:w="3140" w:type="dxa"/>
            <w:vAlign w:val="bottom"/>
          </w:tcPr>
          <w:p>
            <w:pPr>
              <w:spacing w:after="0"/>
              <w:rPr>
                <w:sz w:val="20"/>
                <w:szCs w:val="20"/>
                <w:color w:val="auto"/>
              </w:rPr>
            </w:pPr>
            <w:r>
              <w:rPr>
                <w:rFonts w:ascii="Arial" w:cs="Arial" w:eastAsia="Arial" w:hAnsi="Arial"/>
                <w:sz w:val="13"/>
                <w:szCs w:val="13"/>
                <w:color w:val="auto"/>
              </w:rPr>
              <w:t>Stock compensation expense</w:t>
            </w:r>
          </w:p>
        </w:tc>
        <w:tc>
          <w:tcPr>
            <w:tcW w:w="440" w:type="dxa"/>
            <w:vAlign w:val="bottom"/>
          </w:tcPr>
          <w:p>
            <w:pPr>
              <w:spacing w:after="0"/>
              <w:rPr>
                <w:sz w:val="17"/>
                <w:szCs w:val="17"/>
                <w:color w:val="auto"/>
              </w:rPr>
            </w:pPr>
          </w:p>
        </w:tc>
        <w:tc>
          <w:tcPr>
            <w:tcW w:w="900" w:type="dxa"/>
            <w:vAlign w:val="bottom"/>
          </w:tcPr>
          <w:p>
            <w:pPr>
              <w:jc w:val="right"/>
              <w:ind w:right="16"/>
              <w:spacing w:after="0"/>
              <w:rPr>
                <w:sz w:val="20"/>
                <w:szCs w:val="20"/>
                <w:color w:val="auto"/>
              </w:rPr>
            </w:pPr>
            <w:r>
              <w:rPr>
                <w:rFonts w:ascii="Arial" w:cs="Arial" w:eastAsia="Arial" w:hAnsi="Arial"/>
                <w:sz w:val="13"/>
                <w:szCs w:val="13"/>
                <w:color w:val="auto"/>
              </w:rPr>
              <w:t>14,507</w:t>
            </w:r>
          </w:p>
        </w:tc>
        <w:tc>
          <w:tcPr>
            <w:tcW w:w="260" w:type="dxa"/>
            <w:vAlign w:val="bottom"/>
          </w:tcPr>
          <w:p>
            <w:pPr>
              <w:spacing w:after="0"/>
              <w:rPr>
                <w:sz w:val="17"/>
                <w:szCs w:val="17"/>
                <w:color w:val="auto"/>
              </w:rPr>
            </w:pPr>
          </w:p>
        </w:tc>
        <w:tc>
          <w:tcPr>
            <w:tcW w:w="840" w:type="dxa"/>
            <w:vAlign w:val="bottom"/>
          </w:tcPr>
          <w:p>
            <w:pPr>
              <w:jc w:val="right"/>
              <w:ind w:right="56"/>
              <w:spacing w:after="0"/>
              <w:rPr>
                <w:sz w:val="20"/>
                <w:szCs w:val="20"/>
                <w:color w:val="auto"/>
              </w:rPr>
            </w:pPr>
            <w:r>
              <w:rPr>
                <w:rFonts w:ascii="Arial" w:cs="Arial" w:eastAsia="Arial" w:hAnsi="Arial"/>
                <w:sz w:val="13"/>
                <w:szCs w:val="13"/>
                <w:color w:val="auto"/>
              </w:rPr>
              <w:t>15,492</w:t>
            </w:r>
          </w:p>
        </w:tc>
        <w:tc>
          <w:tcPr>
            <w:tcW w:w="200" w:type="dxa"/>
            <w:vAlign w:val="bottom"/>
          </w:tcPr>
          <w:p>
            <w:pPr>
              <w:spacing w:after="0"/>
              <w:rPr>
                <w:sz w:val="17"/>
                <w:szCs w:val="17"/>
                <w:color w:val="auto"/>
              </w:rPr>
            </w:pPr>
          </w:p>
        </w:tc>
        <w:tc>
          <w:tcPr>
            <w:tcW w:w="880" w:type="dxa"/>
            <w:vAlign w:val="bottom"/>
          </w:tcPr>
          <w:p>
            <w:pPr>
              <w:jc w:val="right"/>
              <w:ind w:right="36"/>
              <w:spacing w:after="0"/>
              <w:rPr>
                <w:sz w:val="20"/>
                <w:szCs w:val="20"/>
                <w:color w:val="auto"/>
              </w:rPr>
            </w:pPr>
            <w:r>
              <w:rPr>
                <w:rFonts w:ascii="Arial" w:cs="Arial" w:eastAsia="Arial" w:hAnsi="Arial"/>
                <w:sz w:val="13"/>
                <w:szCs w:val="13"/>
                <w:color w:val="auto"/>
              </w:rPr>
              <w:t>31,632</w:t>
            </w: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31,978</w:t>
            </w:r>
          </w:p>
        </w:tc>
      </w:tr>
      <w:tr>
        <w:trPr>
          <w:trHeight w:val="204"/>
        </w:trPr>
        <w:tc>
          <w:tcPr>
            <w:tcW w:w="3140" w:type="dxa"/>
            <w:vAlign w:val="bottom"/>
          </w:tcPr>
          <w:p>
            <w:pPr>
              <w:spacing w:after="0"/>
              <w:rPr>
                <w:sz w:val="20"/>
                <w:szCs w:val="20"/>
                <w:color w:val="auto"/>
              </w:rPr>
            </w:pPr>
            <w:r>
              <w:rPr>
                <w:rFonts w:ascii="Arial" w:cs="Arial" w:eastAsia="Arial" w:hAnsi="Arial"/>
                <w:sz w:val="13"/>
                <w:szCs w:val="13"/>
                <w:color w:val="auto"/>
              </w:rPr>
              <w:t>Gain on sales of real estate</w:t>
            </w:r>
          </w:p>
        </w:tc>
        <w:tc>
          <w:tcPr>
            <w:tcW w:w="440" w:type="dxa"/>
            <w:vAlign w:val="bottom"/>
          </w:tcPr>
          <w:p>
            <w:pPr>
              <w:spacing w:after="0"/>
              <w:rPr>
                <w:sz w:val="17"/>
                <w:szCs w:val="17"/>
                <w:color w:val="auto"/>
              </w:rPr>
            </w:pPr>
          </w:p>
        </w:tc>
        <w:tc>
          <w:tcPr>
            <w:tcW w:w="90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7"/>
                <w:szCs w:val="17"/>
                <w:color w:val="auto"/>
              </w:rPr>
            </w:pP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(214,810)</w:t>
            </w: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(392)</w:t>
            </w: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(214,810)</w:t>
            </w:r>
          </w:p>
        </w:tc>
      </w:tr>
      <w:tr>
        <w:trPr>
          <w:trHeight w:val="204"/>
        </w:trPr>
        <w:tc>
          <w:tcPr>
            <w:tcW w:w="3140" w:type="dxa"/>
            <w:vAlign w:val="bottom"/>
          </w:tcPr>
          <w:p>
            <w:pPr>
              <w:spacing w:after="0"/>
              <w:rPr>
                <w:sz w:val="20"/>
                <w:szCs w:val="20"/>
                <w:color w:val="auto"/>
              </w:rPr>
            </w:pPr>
            <w:r>
              <w:rPr>
                <w:rFonts w:ascii="Arial" w:cs="Arial" w:eastAsia="Arial" w:hAnsi="Arial"/>
                <w:sz w:val="13"/>
                <w:szCs w:val="13"/>
                <w:color w:val="auto"/>
              </w:rPr>
              <w:t>Unrealized losses on non-real estate investments</w:t>
            </w:r>
          </w:p>
        </w:tc>
        <w:tc>
          <w:tcPr>
            <w:tcW w:w="440" w:type="dxa"/>
            <w:vAlign w:val="bottom"/>
          </w:tcPr>
          <w:p>
            <w:pPr>
              <w:spacing w:after="0"/>
              <w:rPr>
                <w:sz w:val="17"/>
                <w:szCs w:val="17"/>
                <w:color w:val="auto"/>
              </w:rPr>
            </w:pPr>
          </w:p>
        </w:tc>
        <w:tc>
          <w:tcPr>
            <w:tcW w:w="900" w:type="dxa"/>
            <w:vAlign w:val="bottom"/>
          </w:tcPr>
          <w:p>
            <w:pPr>
              <w:jc w:val="right"/>
              <w:ind w:right="16"/>
              <w:spacing w:after="0"/>
              <w:rPr>
                <w:sz w:val="20"/>
                <w:szCs w:val="20"/>
                <w:color w:val="auto"/>
              </w:rPr>
            </w:pPr>
            <w:r>
              <w:rPr>
                <w:rFonts w:ascii="Arial" w:cs="Arial" w:eastAsia="Arial" w:hAnsi="Arial"/>
                <w:sz w:val="13"/>
                <w:szCs w:val="13"/>
                <w:color w:val="auto"/>
              </w:rPr>
              <w:t>64,238</w:t>
            </w:r>
          </w:p>
        </w:tc>
        <w:tc>
          <w:tcPr>
            <w:tcW w:w="260" w:type="dxa"/>
            <w:vAlign w:val="bottom"/>
          </w:tcPr>
          <w:p>
            <w:pPr>
              <w:spacing w:after="0"/>
              <w:rPr>
                <w:sz w:val="17"/>
                <w:szCs w:val="17"/>
                <w:color w:val="auto"/>
              </w:rPr>
            </w:pPr>
          </w:p>
        </w:tc>
        <w:tc>
          <w:tcPr>
            <w:tcW w:w="840" w:type="dxa"/>
            <w:vAlign w:val="bottom"/>
          </w:tcPr>
          <w:p>
            <w:pPr>
              <w:jc w:val="right"/>
              <w:ind w:right="56"/>
              <w:spacing w:after="0"/>
              <w:rPr>
                <w:sz w:val="20"/>
                <w:szCs w:val="20"/>
                <w:color w:val="auto"/>
              </w:rPr>
            </w:pPr>
            <w:r>
              <w:rPr>
                <w:rFonts w:ascii="Arial" w:cs="Arial" w:eastAsia="Arial" w:hAnsi="Arial"/>
                <w:sz w:val="13"/>
                <w:szCs w:val="13"/>
                <w:color w:val="auto"/>
              </w:rPr>
              <w:t>77,897</w:t>
            </w:r>
          </w:p>
        </w:tc>
        <w:tc>
          <w:tcPr>
            <w:tcW w:w="200" w:type="dxa"/>
            <w:vAlign w:val="bottom"/>
          </w:tcPr>
          <w:p>
            <w:pPr>
              <w:spacing w:after="0"/>
              <w:rPr>
                <w:sz w:val="17"/>
                <w:szCs w:val="17"/>
                <w:color w:val="auto"/>
              </w:rPr>
            </w:pPr>
          </w:p>
        </w:tc>
        <w:tc>
          <w:tcPr>
            <w:tcW w:w="880" w:type="dxa"/>
            <w:vAlign w:val="bottom"/>
          </w:tcPr>
          <w:p>
            <w:pPr>
              <w:jc w:val="right"/>
              <w:ind w:right="36"/>
              <w:spacing w:after="0"/>
              <w:rPr>
                <w:sz w:val="20"/>
                <w:szCs w:val="20"/>
                <w:color w:val="auto"/>
              </w:rPr>
            </w:pPr>
            <w:r>
              <w:rPr>
                <w:rFonts w:ascii="Arial" w:cs="Arial" w:eastAsia="Arial" w:hAnsi="Arial"/>
                <w:sz w:val="13"/>
                <w:szCs w:val="13"/>
                <w:color w:val="auto"/>
              </w:rPr>
              <w:t>35,080</w:t>
            </w: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143,752</w:t>
            </w:r>
          </w:p>
        </w:tc>
      </w:tr>
    </w:tbl>
    <w:p>
      <w:pPr>
        <w:sectPr>
          <w:pgSz w:w="11900" w:h="16897" w:orient="portrait"/>
          <w:cols w:equalWidth="0" w:num="1">
            <w:col w:w="9019"/>
          </w:cols>
          <w:pgMar w:left="1440" w:top="118" w:right="1440" w:bottom="0" w:gutter="0" w:footer="0" w:header="0"/>
        </w:sectPr>
      </w:pPr>
    </w:p>
    <w:bookmarkStart w:id="67" w:name="page68"/>
    <w:bookmarkEnd w:id="6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982345</wp:posOffset>
            </wp:positionH>
            <wp:positionV relativeFrom="page">
              <wp:posOffset>88900</wp:posOffset>
            </wp:positionV>
            <wp:extent cx="5584190" cy="51517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584190" cy="5151755"/>
                    </a:xfrm>
                    <a:prstGeom prst="rect">
                      <a:avLst/>
                    </a:prstGeom>
                    <a:noFill/>
                  </pic:spPr>
                </pic:pic>
              </a:graphicData>
            </a:graphic>
          </wp:anchor>
        </w:drawing>
      </w:r>
    </w:p>
    <w:tbl>
      <w:tblPr>
        <w:tblLayout w:type="fixed"/>
        <w:tblInd w:w="640" w:type="dxa"/>
        <w:tblCellMar>
          <w:top w:w="0" w:type="dxa"/>
          <w:left w:w="0" w:type="dxa"/>
          <w:bottom w:w="0" w:type="dxa"/>
          <w:right w:w="0" w:type="dxa"/>
        </w:tblCellMar>
      </w:tblPr>
      <w:tr>
        <w:trPr>
          <w:trHeight w:val="175"/>
        </w:trPr>
        <w:tc>
          <w:tcPr>
            <w:tcW w:w="3480" w:type="dxa"/>
            <w:vAlign w:val="bottom"/>
          </w:tcPr>
          <w:p>
            <w:pPr>
              <w:ind w:left="40"/>
              <w:spacing w:after="0"/>
              <w:rPr>
                <w:sz w:val="20"/>
                <w:szCs w:val="20"/>
                <w:color w:val="auto"/>
              </w:rPr>
            </w:pPr>
            <w:r>
              <w:rPr>
                <w:rFonts w:ascii="Arial" w:cs="Arial" w:eastAsia="Arial" w:hAnsi="Arial"/>
                <w:sz w:val="13"/>
                <w:szCs w:val="13"/>
                <w:color w:val="auto"/>
              </w:rPr>
              <w:t>Impairment of real estate</w:t>
            </w:r>
          </w:p>
        </w:tc>
        <w:tc>
          <w:tcPr>
            <w:tcW w:w="3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30,763</w:t>
            </w:r>
          </w:p>
        </w:tc>
        <w:tc>
          <w:tcPr>
            <w:tcW w:w="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168,575</w:t>
            </w:r>
          </w:p>
        </w:tc>
        <w:tc>
          <w:tcPr>
            <w:tcW w:w="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30,763</w:t>
            </w:r>
          </w:p>
        </w:tc>
        <w:tc>
          <w:tcPr>
            <w:tcW w:w="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168,575</w:t>
            </w:r>
          </w:p>
        </w:tc>
      </w:tr>
      <w:tr>
        <w:trPr>
          <w:trHeight w:val="184"/>
        </w:trPr>
        <w:tc>
          <w:tcPr>
            <w:tcW w:w="348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Impairment of non-real estate investments</w:t>
            </w:r>
          </w:p>
        </w:tc>
        <w:tc>
          <w:tcPr>
            <w:tcW w:w="3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12,788</w:t>
            </w:r>
          </w:p>
        </w:tc>
        <w:tc>
          <w:tcPr>
            <w:tcW w:w="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22,953</w:t>
            </w: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27,486</w:t>
            </w:r>
          </w:p>
        </w:tc>
        <w:tc>
          <w:tcPr>
            <w:tcW w:w="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22,953</w:t>
            </w:r>
          </w:p>
        </w:tc>
      </w:tr>
      <w:tr>
        <w:trPr>
          <w:trHeight w:val="191"/>
        </w:trPr>
        <w:tc>
          <w:tcPr>
            <w:tcW w:w="3480" w:type="dxa"/>
            <w:vAlign w:val="bottom"/>
            <w:shd w:val="clear" w:color="auto" w:fill="CCEEFF"/>
          </w:tcPr>
          <w:p>
            <w:pPr>
              <w:ind w:left="40"/>
              <w:spacing w:after="0"/>
              <w:rPr>
                <w:sz w:val="20"/>
                <w:szCs w:val="20"/>
                <w:color w:val="auto"/>
              </w:rPr>
            </w:pPr>
            <w:r>
              <w:rPr>
                <w:rFonts w:ascii="Arial" w:cs="Arial" w:eastAsia="Arial" w:hAnsi="Arial"/>
                <w:sz w:val="13"/>
                <w:szCs w:val="13"/>
                <w:color w:val="auto"/>
              </w:rPr>
              <w:t>Adjusted EBITDA</w:t>
            </w:r>
          </w:p>
        </w:tc>
        <w:tc>
          <w:tcPr>
            <w:tcW w:w="30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554,036</w:t>
            </w:r>
          </w:p>
        </w:tc>
        <w:tc>
          <w:tcPr>
            <w:tcW w:w="4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496,690</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1,105,643</w:t>
            </w: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980,911</w:t>
            </w:r>
          </w:p>
        </w:tc>
      </w:tr>
      <w:tr>
        <w:trPr>
          <w:trHeight w:val="204"/>
        </w:trPr>
        <w:tc>
          <w:tcPr>
            <w:tcW w:w="3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4"/>
        </w:trPr>
        <w:tc>
          <w:tcPr>
            <w:tcW w:w="3480" w:type="dxa"/>
            <w:vAlign w:val="bottom"/>
            <w:shd w:val="clear" w:color="auto" w:fill="CCEEFF"/>
          </w:tcPr>
          <w:p>
            <w:pPr>
              <w:ind w:left="40"/>
              <w:spacing w:after="0"/>
              <w:rPr>
                <w:sz w:val="20"/>
                <w:szCs w:val="20"/>
                <w:color w:val="auto"/>
              </w:rPr>
            </w:pPr>
            <w:r>
              <w:rPr>
                <w:rFonts w:ascii="Arial" w:cs="Arial" w:eastAsia="Arial" w:hAnsi="Arial"/>
                <w:sz w:val="13"/>
                <w:szCs w:val="13"/>
                <w:color w:val="auto"/>
              </w:rPr>
              <w:t>Total revenues</w:t>
            </w:r>
          </w:p>
        </w:tc>
        <w:tc>
          <w:tcPr>
            <w:tcW w:w="30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766,734</w:t>
            </w: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713,900</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1,535,842</w:t>
            </w: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1,414,695</w:t>
            </w:r>
          </w:p>
        </w:tc>
      </w:tr>
      <w:tr>
        <w:trPr>
          <w:trHeight w:val="204"/>
        </w:trPr>
        <w:tc>
          <w:tcPr>
            <w:tcW w:w="3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4"/>
        </w:trPr>
        <w:tc>
          <w:tcPr>
            <w:tcW w:w="3480" w:type="dxa"/>
            <w:vAlign w:val="bottom"/>
            <w:shd w:val="clear" w:color="auto" w:fill="CCEEFF"/>
          </w:tcPr>
          <w:p>
            <w:pPr>
              <w:ind w:left="40"/>
              <w:spacing w:after="0"/>
              <w:rPr>
                <w:sz w:val="20"/>
                <w:szCs w:val="20"/>
                <w:color w:val="auto"/>
              </w:rPr>
            </w:pPr>
            <w:r>
              <w:rPr>
                <w:rFonts w:ascii="Arial" w:cs="Arial" w:eastAsia="Arial" w:hAnsi="Arial"/>
                <w:sz w:val="13"/>
                <w:szCs w:val="13"/>
                <w:color w:val="auto"/>
              </w:rPr>
              <w:t>Adjusted EBITDA margin</w:t>
            </w: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w:t>
            </w: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w:t>
            </w: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w:t>
            </w: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3"/>
          <w:szCs w:val="13"/>
          <w:u w:val="single" w:color="auto"/>
          <w:color w:val="auto"/>
        </w:rPr>
        <w:t>Annual rental revenue</w:t>
      </w:r>
    </w:p>
    <w:p>
      <w:pPr>
        <w:spacing w:after="0" w:line="151" w:lineRule="exact"/>
        <w:rPr>
          <w:sz w:val="20"/>
          <w:szCs w:val="20"/>
          <w:color w:val="auto"/>
        </w:rPr>
      </w:pPr>
    </w:p>
    <w:p>
      <w:pPr>
        <w:ind w:left="640" w:right="699" w:firstLine="516"/>
        <w:spacing w:after="0" w:line="273" w:lineRule="auto"/>
        <w:rPr>
          <w:sz w:val="20"/>
          <w:szCs w:val="20"/>
          <w:color w:val="auto"/>
        </w:rPr>
      </w:pPr>
      <w:r>
        <w:rPr>
          <w:rFonts w:ascii="Arial" w:cs="Arial" w:eastAsia="Arial" w:hAnsi="Arial"/>
          <w:sz w:val="12"/>
          <w:szCs w:val="12"/>
          <w:color w:val="auto"/>
        </w:rPr>
        <w:t>Annual rental revenue represents the annualized fixed base rental obligations, calculated in accordance with GAAP, for leases in effect as of the end of the period, related to our operating R</w:t>
      </w:r>
      <w:r>
        <w:rPr>
          <w:rFonts w:ascii="Arial" w:cs="Arial" w:eastAsia="Arial" w:hAnsi="Arial"/>
          <w:sz w:val="12"/>
          <w:szCs w:val="12"/>
          <w:u w:val="single" w:color="auto"/>
          <w:color w:val="auto"/>
        </w:rPr>
        <w:t>SF. Annual rental revenue is presen</w:t>
      </w:r>
      <w:r>
        <w:rPr>
          <w:rFonts w:ascii="Arial" w:cs="Arial" w:eastAsia="Arial" w:hAnsi="Arial"/>
          <w:sz w:val="12"/>
          <w:szCs w:val="12"/>
          <w:color w:val="auto"/>
        </w:rPr>
        <w:t>te</w:t>
      </w:r>
      <w:r>
        <w:rPr>
          <w:rFonts w:ascii="Arial" w:cs="Arial" w:eastAsia="Arial" w:hAnsi="Arial"/>
          <w:sz w:val="12"/>
          <w:szCs w:val="12"/>
          <w:u w:val="single" w:color="auto"/>
          <w:color w:val="auto"/>
        </w:rPr>
        <w:t>d using 100% of t</w:t>
      </w:r>
      <w:r>
        <w:rPr>
          <w:rFonts w:ascii="Arial" w:cs="Arial" w:eastAsia="Arial" w:hAnsi="Arial"/>
          <w:sz w:val="12"/>
          <w:szCs w:val="12"/>
          <w:color w:val="auto"/>
        </w:rPr>
        <w:t>he annual rental revenue from our consolidated properties and our share of an</w:t>
      </w:r>
      <w:r>
        <w:rPr>
          <w:rFonts w:ascii="Arial" w:cs="Arial" w:eastAsia="Arial" w:hAnsi="Arial"/>
          <w:sz w:val="12"/>
          <w:szCs w:val="12"/>
          <w:u w:val="single" w:color="auto"/>
          <w:color w:val="auto"/>
        </w:rPr>
        <w:t>nual rental revenue for our unconsol</w:t>
      </w:r>
      <w:r>
        <w:rPr>
          <w:rFonts w:ascii="Arial" w:cs="Arial" w:eastAsia="Arial" w:hAnsi="Arial"/>
          <w:sz w:val="12"/>
          <w:szCs w:val="12"/>
          <w:color w:val="auto"/>
        </w:rPr>
        <w:t>id</w:t>
      </w:r>
      <w:r>
        <w:rPr>
          <w:rFonts w:ascii="Arial" w:cs="Arial" w:eastAsia="Arial" w:hAnsi="Arial"/>
          <w:sz w:val="12"/>
          <w:szCs w:val="12"/>
          <w:u w:val="single" w:color="auto"/>
          <w:color w:val="auto"/>
        </w:rPr>
        <w:t>ated real estate jo</w:t>
      </w:r>
      <w:r>
        <w:rPr>
          <w:rFonts w:ascii="Arial" w:cs="Arial" w:eastAsia="Arial" w:hAnsi="Arial"/>
          <w:sz w:val="12"/>
          <w:szCs w:val="12"/>
          <w:color w:val="auto"/>
        </w:rPr>
        <w:t>int ventures. Annual rental revenue per RSF is computed by dividing annu</w:t>
      </w:r>
      <w:r>
        <w:rPr>
          <w:rFonts w:ascii="Arial" w:cs="Arial" w:eastAsia="Arial" w:hAnsi="Arial"/>
          <w:sz w:val="12"/>
          <w:szCs w:val="12"/>
          <w:color w:val="auto"/>
          <w:strike w:val="1"/>
        </w:rPr>
        <w:t>al rental revenue</w:t>
      </w:r>
      <w:r>
        <w:rPr>
          <w:rFonts w:ascii="Arial" w:cs="Arial" w:eastAsia="Arial" w:hAnsi="Arial"/>
          <w:sz w:val="12"/>
          <w:szCs w:val="12"/>
          <w:color w:val="auto"/>
        </w:rPr>
        <w:t xml:space="preserve"> b</w:t>
      </w:r>
      <w:r>
        <w:rPr>
          <w:rFonts w:ascii="Arial" w:cs="Arial" w:eastAsia="Arial" w:hAnsi="Arial"/>
          <w:sz w:val="12"/>
          <w:szCs w:val="12"/>
          <w:color w:val="auto"/>
          <w:strike w:val="1"/>
        </w:rPr>
        <w:t>y the sum of 100% of the RSF of our</w:t>
      </w:r>
      <w:r>
        <w:rPr>
          <w:rFonts w:ascii="Arial" w:cs="Arial" w:eastAsia="Arial" w:hAnsi="Arial"/>
          <w:sz w:val="12"/>
          <w:szCs w:val="12"/>
          <w:color w:val="auto"/>
        </w:rPr>
        <w:t xml:space="preserve"> consolidated properties and our share of the RSF of properties held in unconsolidated real estate joint ventures. As of June 30, 2024, approximately 94% of our leases (on an annual rental revenue basis) were triple net leases, which require tenants to pay substantially all real estate</w:t>
      </w:r>
    </w:p>
    <w:p>
      <w:pPr>
        <w:jc w:val="both"/>
        <w:ind w:left="640" w:right="1039"/>
        <w:spacing w:after="0" w:line="253" w:lineRule="auto"/>
        <w:rPr>
          <w:sz w:val="20"/>
          <w:szCs w:val="20"/>
          <w:color w:val="auto"/>
        </w:rPr>
      </w:pPr>
      <w:r>
        <w:rPr>
          <w:rFonts w:ascii="Arial" w:cs="Arial" w:eastAsia="Arial" w:hAnsi="Arial"/>
          <w:sz w:val="13"/>
          <w:szCs w:val="13"/>
          <w:color w:val="auto"/>
        </w:rPr>
        <w:t>taxes, insurance, utilities, repairs and maintenance, common area expenses, and other operating expenses (including increases thereto) in addition to base rent. Annual rental revenue excludes these operating expenses recovered from our tenants. Amounts recovered from our tenants related to these operating expenses, along with base rent, are classified in income from rentals in our consolidated statements of operations.</w:t>
      </w:r>
    </w:p>
    <w:p>
      <w:pPr>
        <w:spacing w:after="0" w:line="135" w:lineRule="exact"/>
        <w:rPr>
          <w:sz w:val="20"/>
          <w:szCs w:val="20"/>
          <w:color w:val="auto"/>
        </w:rPr>
      </w:pPr>
    </w:p>
    <w:p>
      <w:pPr>
        <w:ind w:left="640"/>
        <w:spacing w:after="0"/>
        <w:rPr>
          <w:sz w:val="20"/>
          <w:szCs w:val="20"/>
          <w:color w:val="auto"/>
        </w:rPr>
      </w:pPr>
      <w:r>
        <w:rPr>
          <w:rFonts w:ascii="Arial" w:cs="Arial" w:eastAsia="Arial" w:hAnsi="Arial"/>
          <w:sz w:val="13"/>
          <w:szCs w:val="13"/>
          <w:u w:val="single" w:color="auto"/>
          <w:color w:val="auto"/>
        </w:rPr>
        <w:t>Capitalization rates</w:t>
      </w:r>
    </w:p>
    <w:p>
      <w:pPr>
        <w:spacing w:after="0" w:line="140" w:lineRule="exact"/>
        <w:rPr>
          <w:sz w:val="20"/>
          <w:szCs w:val="20"/>
          <w:color w:val="auto"/>
        </w:rPr>
      </w:pPr>
    </w:p>
    <w:p>
      <w:pPr>
        <w:ind w:left="640" w:right="959" w:firstLine="516"/>
        <w:spacing w:after="0" w:line="265" w:lineRule="auto"/>
        <w:rPr>
          <w:sz w:val="20"/>
          <w:szCs w:val="20"/>
          <w:color w:val="auto"/>
        </w:rPr>
      </w:pPr>
      <w:r>
        <w:rPr>
          <w:rFonts w:ascii="Arial" w:cs="Arial" w:eastAsia="Arial" w:hAnsi="Arial"/>
          <w:sz w:val="13"/>
          <w:szCs w:val="13"/>
          <w:color w:val="auto"/>
        </w:rPr>
        <w:t>Capitalization rates are calculated based on net operating income and net operating income (cash basis) annualized, excluding lease termination fees, on stabilized operating assets for the quarter preceding the date on which the property is sold, or near-term prospective net operating income.</w:t>
      </w:r>
    </w:p>
    <w:p>
      <w:pPr>
        <w:spacing w:after="0" w:line="128" w:lineRule="exact"/>
        <w:rPr>
          <w:sz w:val="20"/>
          <w:szCs w:val="20"/>
          <w:color w:val="auto"/>
        </w:rPr>
      </w:pPr>
    </w:p>
    <w:p>
      <w:pPr>
        <w:ind w:left="640"/>
        <w:spacing w:after="0"/>
        <w:rPr>
          <w:sz w:val="20"/>
          <w:szCs w:val="20"/>
          <w:color w:val="auto"/>
        </w:rPr>
      </w:pPr>
      <w:r>
        <w:rPr>
          <w:rFonts w:ascii="Arial" w:cs="Arial" w:eastAsia="Arial" w:hAnsi="Arial"/>
          <w:sz w:val="13"/>
          <w:szCs w:val="13"/>
          <w:u w:val="single" w:color="auto"/>
          <w:color w:val="auto"/>
        </w:rPr>
        <w:t>Capitalized interest</w:t>
      </w:r>
    </w:p>
    <w:p>
      <w:pPr>
        <w:spacing w:after="0" w:line="151" w:lineRule="exact"/>
        <w:rPr>
          <w:sz w:val="20"/>
          <w:szCs w:val="20"/>
          <w:color w:val="auto"/>
        </w:rPr>
      </w:pPr>
    </w:p>
    <w:p>
      <w:pPr>
        <w:ind w:left="640" w:right="739" w:firstLine="516"/>
        <w:spacing w:after="0" w:line="253" w:lineRule="auto"/>
        <w:rPr>
          <w:sz w:val="20"/>
          <w:szCs w:val="20"/>
          <w:color w:val="auto"/>
        </w:rPr>
      </w:pPr>
      <w:r>
        <w:rPr>
          <w:rFonts w:ascii="Arial" w:cs="Arial" w:eastAsia="Arial" w:hAnsi="Arial"/>
          <w:sz w:val="13"/>
          <w:szCs w:val="13"/>
          <w:color w:val="auto"/>
        </w:rPr>
        <w:t>We capitalize interest cost as a cost of a project during periods for which activities necessary to develop, redevelop, or reposition a project for its intended use are ongoing, provided that expenditures for the asset have been made and interest cost has been incurred. Activities necessary to develop, redevelop, or reposition a project include pre-construction activities such as entitlements, permitting, design, site work, and other activities preceding commencement of construction of aboveground building improvements. The advancement of pre-construction efforts is focused on reducing the time required to deliver projects to prospective tenants. These critical activities add significant value for future ground-up development and are required for the vertical construction of buildings. If we cease activities necessary to prepare a project for its intended use, interest costs related to such project are expensed as incurred.</w:t>
      </w:r>
    </w:p>
    <w:p>
      <w:pPr>
        <w:spacing w:after="0" w:line="135" w:lineRule="exact"/>
        <w:rPr>
          <w:sz w:val="20"/>
          <w:szCs w:val="20"/>
          <w:color w:val="auto"/>
        </w:rPr>
      </w:pPr>
    </w:p>
    <w:p>
      <w:pPr>
        <w:ind w:left="640"/>
        <w:spacing w:after="0"/>
        <w:rPr>
          <w:sz w:val="20"/>
          <w:szCs w:val="20"/>
          <w:color w:val="auto"/>
        </w:rPr>
      </w:pPr>
      <w:r>
        <w:rPr>
          <w:rFonts w:ascii="Arial" w:cs="Arial" w:eastAsia="Arial" w:hAnsi="Arial"/>
          <w:sz w:val="13"/>
          <w:szCs w:val="13"/>
          <w:u w:val="single" w:color="auto"/>
          <w:color w:val="auto"/>
        </w:rPr>
        <w:t>Cash interest</w:t>
      </w:r>
    </w:p>
    <w:p>
      <w:pPr>
        <w:spacing w:after="0" w:line="162" w:lineRule="exact"/>
        <w:rPr>
          <w:sz w:val="20"/>
          <w:szCs w:val="20"/>
          <w:color w:val="auto"/>
        </w:rPr>
      </w:pPr>
    </w:p>
    <w:p>
      <w:pPr>
        <w:ind w:left="640" w:right="739" w:firstLine="516"/>
        <w:spacing w:after="0" w:line="265" w:lineRule="auto"/>
        <w:rPr>
          <w:sz w:val="20"/>
          <w:szCs w:val="20"/>
          <w:color w:val="auto"/>
        </w:rPr>
      </w:pPr>
      <w:r>
        <w:rPr>
          <w:rFonts w:ascii="Arial" w:cs="Arial" w:eastAsia="Arial" w:hAnsi="Arial"/>
          <w:sz w:val="13"/>
          <w:szCs w:val="13"/>
          <w:color w:val="auto"/>
        </w:rPr>
        <w:t>Cash interest is equal to interest expense calculated in accordance with GAAP plus capitalized interest, less amortization of loan fees and debt premiums (discounts). Refer to “Fixed-charge coverage ratio” in this section for a reconciliation of interest expense, the most directly comparable financial measure calculated and presented in accordance with GAAP, to cash interest.</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188595</wp:posOffset>
            </wp:positionV>
            <wp:extent cx="5584190" cy="53016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584190" cy="5301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40"/>
        <w:spacing w:after="0"/>
        <w:rPr>
          <w:sz w:val="20"/>
          <w:szCs w:val="20"/>
          <w:color w:val="auto"/>
        </w:rPr>
      </w:pPr>
      <w:r>
        <w:rPr>
          <w:rFonts w:ascii="Arial" w:cs="Arial" w:eastAsia="Arial" w:hAnsi="Arial"/>
          <w:sz w:val="13"/>
          <w:szCs w:val="13"/>
          <w:u w:val="single" w:color="auto"/>
          <w:color w:val="auto"/>
        </w:rPr>
        <w:t>Class A/A+ properties and AAA locations</w:t>
      </w:r>
    </w:p>
    <w:p>
      <w:pPr>
        <w:spacing w:after="0" w:line="162" w:lineRule="exact"/>
        <w:rPr>
          <w:sz w:val="20"/>
          <w:szCs w:val="20"/>
          <w:color w:val="auto"/>
        </w:rPr>
      </w:pPr>
    </w:p>
    <w:p>
      <w:pPr>
        <w:ind w:left="640" w:right="739" w:firstLine="516"/>
        <w:spacing w:after="0" w:line="285" w:lineRule="auto"/>
        <w:rPr>
          <w:sz w:val="20"/>
          <w:szCs w:val="20"/>
          <w:color w:val="auto"/>
        </w:rPr>
      </w:pPr>
      <w:r>
        <w:rPr>
          <w:rFonts w:ascii="Arial" w:cs="Arial" w:eastAsia="Arial" w:hAnsi="Arial"/>
          <w:sz w:val="12"/>
          <w:szCs w:val="12"/>
          <w:color w:val="auto"/>
        </w:rPr>
        <w:t>Class A/A+ properties are properties clustered in AAA locations that provide innovative tenants with highly dynamic and collaborative environments that enhance their ability to successfully recruit and retain world-class talent and inspire productivity, efficiency, creativity, and success. Class A/A+ properties generally command higher annual rental rates than other classes of similar properties. AAA locations are in close proximity to concentrations of specialized skills, knowledge, institutions, and related businesses.</w:t>
      </w:r>
    </w:p>
    <w:p>
      <w:pPr>
        <w:spacing w:after="0" w:line="118" w:lineRule="exact"/>
        <w:rPr>
          <w:sz w:val="20"/>
          <w:szCs w:val="20"/>
          <w:color w:val="auto"/>
        </w:rPr>
      </w:pPr>
    </w:p>
    <w:p>
      <w:pPr>
        <w:ind w:left="640"/>
        <w:spacing w:after="0"/>
        <w:rPr>
          <w:sz w:val="20"/>
          <w:szCs w:val="20"/>
          <w:color w:val="auto"/>
        </w:rPr>
      </w:pPr>
      <w:r>
        <w:rPr>
          <w:rFonts w:ascii="Arial" w:cs="Arial" w:eastAsia="Arial" w:hAnsi="Arial"/>
          <w:sz w:val="13"/>
          <w:szCs w:val="13"/>
          <w:u w:val="single" w:color="auto"/>
          <w:color w:val="auto"/>
        </w:rPr>
        <w:t>Development, redevelopment, and pre-construction</w:t>
      </w:r>
    </w:p>
    <w:p>
      <w:pPr>
        <w:spacing w:after="0" w:line="162" w:lineRule="exact"/>
        <w:rPr>
          <w:sz w:val="20"/>
          <w:szCs w:val="20"/>
          <w:color w:val="auto"/>
        </w:rPr>
      </w:pPr>
    </w:p>
    <w:p>
      <w:pPr>
        <w:ind w:left="640" w:right="679" w:firstLine="516"/>
        <w:spacing w:after="0" w:line="252" w:lineRule="auto"/>
        <w:rPr>
          <w:sz w:val="20"/>
          <w:szCs w:val="20"/>
          <w:color w:val="auto"/>
        </w:rPr>
      </w:pPr>
      <w:r>
        <w:rPr>
          <w:rFonts w:ascii="Arial" w:cs="Arial" w:eastAsia="Arial" w:hAnsi="Arial"/>
          <w:sz w:val="13"/>
          <w:szCs w:val="13"/>
          <w:color w:val="auto"/>
        </w:rPr>
        <w:t>A key component of our business model is our disciplined allocation of capital to the development and redevelopment of new Class A/A+ properties, and property enhancements identified during the underwriting of certain acquired properties, located in collaborative life science mega campuses in AAA innovation clusters. These projects are generally focused on providing high-quality, generic, and reusable spaces that meet the real estate requirements of a wide range of tenants. Upon completion, each value-creation project is expected to generate increases in rental income, net operating income, and cash flows. Our development and redevelopment projects are generally in locations that are highly desirable to high-quality entities, which we believe results in higher occupancy levels, longer lease terms, higher rental income, higher returns, and greater long-term asset value.</w:t>
      </w:r>
    </w:p>
    <w:p>
      <w:pPr>
        <w:spacing w:after="0" w:line="136" w:lineRule="exact"/>
        <w:rPr>
          <w:sz w:val="20"/>
          <w:szCs w:val="20"/>
          <w:color w:val="auto"/>
        </w:rPr>
      </w:pPr>
    </w:p>
    <w:p>
      <w:pPr>
        <w:jc w:val="center"/>
        <w:ind w:right="199"/>
        <w:spacing w:after="0"/>
        <w:rPr>
          <w:sz w:val="20"/>
          <w:szCs w:val="20"/>
          <w:color w:val="auto"/>
        </w:rPr>
      </w:pPr>
      <w:r>
        <w:rPr>
          <w:rFonts w:ascii="Arial" w:cs="Arial" w:eastAsia="Arial" w:hAnsi="Arial"/>
          <w:sz w:val="13"/>
          <w:szCs w:val="13"/>
          <w:color w:val="auto"/>
        </w:rPr>
        <w:t>Development projects generally consist of the ground-up development of generic and reusable laboratory facilities.</w:t>
      </w:r>
    </w:p>
    <w:p>
      <w:pPr>
        <w:spacing w:after="0" w:line="13" w:lineRule="exact"/>
        <w:rPr>
          <w:sz w:val="20"/>
          <w:szCs w:val="20"/>
          <w:color w:val="auto"/>
        </w:rPr>
      </w:pPr>
    </w:p>
    <w:p>
      <w:pPr>
        <w:ind w:left="640" w:right="779"/>
        <w:spacing w:after="0" w:line="287" w:lineRule="auto"/>
        <w:rPr>
          <w:sz w:val="20"/>
          <w:szCs w:val="20"/>
          <w:color w:val="auto"/>
        </w:rPr>
      </w:pPr>
      <w:r>
        <w:rPr>
          <w:rFonts w:ascii="Arial" w:cs="Arial" w:eastAsia="Arial" w:hAnsi="Arial"/>
          <w:sz w:val="12"/>
          <w:szCs w:val="12"/>
          <w:color w:val="auto"/>
        </w:rPr>
        <w:t>Redevelopment projects consist of the permanent change in use of acquired office, warehouse, or shell space into laboratory space. We generally will not commence new development projects for aboveground construction of new Class A/A+ laboratory space without first securing significant pre-leasing for such space, except when there is solid market demand for high-quality Class A/A+ properties.</w:t>
      </w:r>
    </w:p>
    <w:p>
      <w:pPr>
        <w:spacing w:after="0" w:line="116" w:lineRule="exact"/>
        <w:rPr>
          <w:sz w:val="20"/>
          <w:szCs w:val="20"/>
          <w:color w:val="auto"/>
        </w:rPr>
      </w:pPr>
    </w:p>
    <w:p>
      <w:pPr>
        <w:ind w:left="640" w:right="899" w:firstLine="516"/>
        <w:spacing w:after="0" w:line="314" w:lineRule="auto"/>
        <w:rPr>
          <w:sz w:val="20"/>
          <w:szCs w:val="20"/>
          <w:color w:val="auto"/>
        </w:rPr>
      </w:pPr>
      <w:r>
        <w:rPr>
          <w:rFonts w:ascii="Arial" w:cs="Arial" w:eastAsia="Arial" w:hAnsi="Arial"/>
          <w:sz w:val="12"/>
          <w:szCs w:val="12"/>
          <w:color w:val="auto"/>
        </w:rPr>
        <w:t>Priority anticipated projects are those most likely to commence future ground-up development or first-time conversion from non-laboratory space to laboratory space prior to our other future projects, pending market conditions and leasing negotiations.</w:t>
      </w:r>
    </w:p>
    <w:p>
      <w:pPr>
        <w:spacing w:after="0" w:line="101" w:lineRule="exact"/>
        <w:rPr>
          <w:sz w:val="20"/>
          <w:szCs w:val="20"/>
          <w:color w:val="auto"/>
        </w:rPr>
      </w:pPr>
    </w:p>
    <w:p>
      <w:pPr>
        <w:ind w:left="640" w:right="719" w:firstLine="516"/>
        <w:spacing w:after="0" w:line="257" w:lineRule="auto"/>
        <w:rPr>
          <w:sz w:val="20"/>
          <w:szCs w:val="20"/>
          <w:color w:val="auto"/>
        </w:rPr>
      </w:pPr>
      <w:r>
        <w:rPr>
          <w:rFonts w:ascii="Arial" w:cs="Arial" w:eastAsia="Arial" w:hAnsi="Arial"/>
          <w:sz w:val="13"/>
          <w:szCs w:val="13"/>
          <w:color w:val="auto"/>
        </w:rPr>
        <w:t>Pre-construction activities include entitlements, permitting, design, site work, and other activities preceding commencement of construction of aboveground building improvements. The advancement of pre-construction efforts is focused on reducing the time required to deliver projects to prospective tenants. These critical activities add significant value for future ground-up development and are required for the vertical construction of buildings. Ultimately, these projects will provide high-quality facilities and are expected to generate significant revenue and cash flows.</w:t>
      </w:r>
    </w:p>
    <w:p>
      <w:pPr>
        <w:spacing w:after="0" w:line="123" w:lineRule="exact"/>
        <w:rPr>
          <w:sz w:val="20"/>
          <w:szCs w:val="20"/>
          <w:color w:val="auto"/>
        </w:rPr>
      </w:pPr>
    </w:p>
    <w:p>
      <w:pPr>
        <w:ind w:left="640" w:right="719" w:firstLine="516"/>
        <w:spacing w:after="0" w:line="263" w:lineRule="auto"/>
        <w:rPr>
          <w:sz w:val="20"/>
          <w:szCs w:val="20"/>
          <w:color w:val="auto"/>
        </w:rPr>
      </w:pPr>
      <w:r>
        <w:rPr>
          <w:rFonts w:ascii="Arial" w:cs="Arial" w:eastAsia="Arial" w:hAnsi="Arial"/>
          <w:sz w:val="13"/>
          <w:szCs w:val="13"/>
          <w:color w:val="auto"/>
        </w:rPr>
        <w:t>Development, redevelopment, and pre-construction spending also includes the following costs: (i) amounts to bring certain acquired properties up to market standard and/or other costs identified during the acquisition process (generally within two years of acquisition) and (ii) permanent conversion of space for highly flexible, move-in-ready laboratory space to foster the growth of promising early- and growth-stage life science companies.</w:t>
      </w:r>
    </w:p>
    <w:p>
      <w:pPr>
        <w:spacing w:after="0" w:line="118" w:lineRule="exact"/>
        <w:rPr>
          <w:sz w:val="20"/>
          <w:szCs w:val="20"/>
          <w:color w:val="auto"/>
        </w:rPr>
      </w:pPr>
    </w:p>
    <w:p>
      <w:pPr>
        <w:ind w:left="640" w:right="719" w:firstLine="516"/>
        <w:spacing w:after="0" w:line="289" w:lineRule="auto"/>
        <w:rPr>
          <w:sz w:val="20"/>
          <w:szCs w:val="20"/>
          <w:color w:val="auto"/>
        </w:rPr>
      </w:pPr>
      <w:r>
        <w:rPr>
          <w:rFonts w:ascii="Arial" w:cs="Arial" w:eastAsia="Arial" w:hAnsi="Arial"/>
          <w:sz w:val="13"/>
          <w:szCs w:val="13"/>
          <w:color w:val="auto"/>
        </w:rPr>
        <w:t>Revenue-enhancing and repositioning capital expenditures represent spending to reposition or significantly change the use of a property, including through improvement in the asset quality from Class B to Class A/A+.</w:t>
      </w:r>
    </w:p>
    <w:p>
      <w:pPr>
        <w:spacing w:after="0" w:line="112" w:lineRule="exact"/>
        <w:rPr>
          <w:sz w:val="20"/>
          <w:szCs w:val="20"/>
          <w:color w:val="auto"/>
        </w:rPr>
      </w:pPr>
    </w:p>
    <w:p>
      <w:pPr>
        <w:ind w:left="640" w:right="1159" w:firstLine="516"/>
        <w:spacing w:after="0" w:line="272" w:lineRule="auto"/>
        <w:rPr>
          <w:sz w:val="20"/>
          <w:szCs w:val="20"/>
          <w:color w:val="auto"/>
        </w:rPr>
      </w:pPr>
      <w:r>
        <w:rPr>
          <w:rFonts w:ascii="Arial" w:cs="Arial" w:eastAsia="Arial" w:hAnsi="Arial"/>
          <w:sz w:val="13"/>
          <w:szCs w:val="13"/>
          <w:color w:val="auto"/>
        </w:rPr>
        <w:t>Non-revenue-enhancing capital expenditures represent costs required to maintain the current revenues of a stabilized property, including the associated costs for renewed and re-leased space.</w:t>
      </w:r>
    </w:p>
    <w:p>
      <w:pPr>
        <w:spacing w:after="0" w:line="123" w:lineRule="exact"/>
        <w:rPr>
          <w:sz w:val="20"/>
          <w:szCs w:val="20"/>
          <w:color w:val="auto"/>
        </w:rPr>
      </w:pPr>
    </w:p>
    <w:p>
      <w:pPr>
        <w:ind w:left="640"/>
        <w:spacing w:after="0"/>
        <w:rPr>
          <w:sz w:val="20"/>
          <w:szCs w:val="20"/>
          <w:color w:val="auto"/>
        </w:rPr>
      </w:pPr>
      <w:r>
        <w:rPr>
          <w:rFonts w:ascii="Arial" w:cs="Arial" w:eastAsia="Arial" w:hAnsi="Arial"/>
          <w:sz w:val="13"/>
          <w:szCs w:val="13"/>
          <w:u w:val="single" w:color="auto"/>
          <w:color w:val="auto"/>
        </w:rPr>
        <w:t>Dividend payout ratio (common stock)</w:t>
      </w:r>
    </w:p>
    <w:p>
      <w:pPr>
        <w:spacing w:after="0" w:line="108" w:lineRule="exact"/>
        <w:rPr>
          <w:sz w:val="20"/>
          <w:szCs w:val="20"/>
          <w:color w:val="auto"/>
        </w:rPr>
      </w:pPr>
    </w:p>
    <w:p>
      <w:pPr>
        <w:ind w:left="640" w:right="779" w:firstLine="516"/>
        <w:spacing w:after="0" w:line="265" w:lineRule="auto"/>
        <w:rPr>
          <w:sz w:val="20"/>
          <w:szCs w:val="20"/>
          <w:color w:val="auto"/>
        </w:rPr>
      </w:pPr>
      <w:r>
        <w:rPr>
          <w:rFonts w:ascii="Arial" w:cs="Arial" w:eastAsia="Arial" w:hAnsi="Arial"/>
          <w:sz w:val="13"/>
          <w:szCs w:val="13"/>
          <w:color w:val="auto"/>
        </w:rPr>
        <w:t>Dividend payout ratio (common stock) is the ratio of the absolute dollar amount of dividends on our common stock (shares of common stock outstanding on the respective record dates multiplied by the related dividend per share) to funds from operations attributable to Alexandria’s common stockholders – diluted, as adjusted.</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3"/>
          <w:szCs w:val="13"/>
          <w:u w:val="single" w:color="auto"/>
          <w:color w:val="auto"/>
        </w:rPr>
        <w:t>Dividend yield</w:t>
      </w:r>
    </w:p>
    <w:p>
      <w:pPr>
        <w:sectPr>
          <w:pgSz w:w="11900" w:h="16838" w:orient="portrait"/>
          <w:cols w:equalWidth="0" w:num="1">
            <w:col w:w="9019"/>
          </w:cols>
          <w:pgMar w:left="1440" w:top="161" w:right="1440" w:bottom="0" w:gutter="0" w:footer="0" w:header="0"/>
        </w:sectPr>
      </w:pPr>
    </w:p>
    <w:bookmarkStart w:id="68" w:name="page69"/>
    <w:bookmarkEnd w:id="68"/>
    <w:p>
      <w:pPr>
        <w:ind w:left="640" w:right="679" w:firstLine="516"/>
        <w:spacing w:after="0" w:line="289"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982345</wp:posOffset>
            </wp:positionH>
            <wp:positionV relativeFrom="page">
              <wp:posOffset>88900</wp:posOffset>
            </wp:positionV>
            <wp:extent cx="5584190" cy="191262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584190" cy="1912620"/>
                    </a:xfrm>
                    <a:prstGeom prst="rect">
                      <a:avLst/>
                    </a:prstGeom>
                    <a:noFill/>
                  </pic:spPr>
                </pic:pic>
              </a:graphicData>
            </a:graphic>
          </wp:anchor>
        </w:drawing>
        <w:t>Dividend yield for the quarter represents the annualized quarter dividend divided by the closing common stock price at the end of the quarter.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188595</wp:posOffset>
            </wp:positionV>
            <wp:extent cx="5584190" cy="722058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40"/>
        <w:spacing w:after="0"/>
        <w:rPr>
          <w:sz w:val="20"/>
          <w:szCs w:val="20"/>
          <w:color w:val="auto"/>
        </w:rPr>
      </w:pPr>
      <w:r>
        <w:rPr>
          <w:rFonts w:ascii="Arial" w:cs="Arial" w:eastAsia="Arial" w:hAnsi="Arial"/>
          <w:sz w:val="13"/>
          <w:szCs w:val="13"/>
          <w:u w:val="single" w:color="auto"/>
          <w:color w:val="auto"/>
        </w:rPr>
        <w:t>Fixed-charge coverage ratio</w:t>
      </w:r>
    </w:p>
    <w:p>
      <w:pPr>
        <w:spacing w:after="0" w:line="162" w:lineRule="exact"/>
        <w:rPr>
          <w:sz w:val="20"/>
          <w:szCs w:val="20"/>
          <w:color w:val="auto"/>
        </w:rPr>
      </w:pPr>
    </w:p>
    <w:p>
      <w:pPr>
        <w:ind w:left="640" w:right="739" w:firstLine="516"/>
        <w:spacing w:after="0" w:line="257" w:lineRule="auto"/>
        <w:rPr>
          <w:sz w:val="20"/>
          <w:szCs w:val="20"/>
          <w:color w:val="auto"/>
        </w:rPr>
      </w:pPr>
      <w:r>
        <w:rPr>
          <w:rFonts w:ascii="Arial" w:cs="Arial" w:eastAsia="Arial" w:hAnsi="Arial"/>
          <w:sz w:val="13"/>
          <w:szCs w:val="13"/>
          <w:color w:val="auto"/>
        </w:rPr>
        <w:t>Fixed-charge coverage ratio is a non-GAAP financial measure representing the ratio of Adjusted EBITDA to cash interest and fixed charges. We believe that this ratio is useful to investors as a supplemental measure of our ability to satisfy fixed financing obligations and preferred stock dividends. Cash interest is equal to interest expense calculated in accordance with GAAP plus capitalized interest, less amortization of loan fees and debt premiums (discounts).</w:t>
      </w:r>
    </w:p>
    <w:p>
      <w:pPr>
        <w:spacing w:after="0" w:line="133" w:lineRule="exact"/>
        <w:rPr>
          <w:sz w:val="20"/>
          <w:szCs w:val="20"/>
          <w:color w:val="auto"/>
        </w:rPr>
      </w:pPr>
    </w:p>
    <w:p>
      <w:pPr>
        <w:jc w:val="both"/>
        <w:ind w:left="640" w:right="799" w:firstLine="516"/>
        <w:spacing w:after="0" w:line="265" w:lineRule="auto"/>
        <w:rPr>
          <w:sz w:val="20"/>
          <w:szCs w:val="20"/>
          <w:color w:val="auto"/>
        </w:rPr>
      </w:pPr>
      <w:r>
        <w:rPr>
          <w:rFonts w:ascii="Arial" w:cs="Arial" w:eastAsia="Arial" w:hAnsi="Arial"/>
          <w:sz w:val="13"/>
          <w:szCs w:val="13"/>
          <w:color w:val="auto"/>
        </w:rPr>
        <w:t>The following table reconciles interest expense, the most directly comparable financial measure calculated and presented in accordance with GAAP, to cash interest and computes fixed-charge coverage ratio for the three and six months ended June 30, 2024 and 2023 (dollars in thousands):</w:t>
      </w:r>
    </w:p>
    <w:p>
      <w:pPr>
        <w:spacing w:after="0" w:line="117"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3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20" w:type="dxa"/>
            <w:vAlign w:val="bottom"/>
            <w:gridSpan w:val="5"/>
          </w:tcPr>
          <w:p>
            <w:pPr>
              <w:ind w:left="80"/>
              <w:spacing w:after="0"/>
              <w:rPr>
                <w:sz w:val="20"/>
                <w:szCs w:val="20"/>
                <w:color w:val="auto"/>
              </w:rPr>
            </w:pPr>
            <w:r>
              <w:rPr>
                <w:rFonts w:ascii="Arial" w:cs="Arial" w:eastAsia="Arial" w:hAnsi="Arial"/>
                <w:sz w:val="13"/>
                <w:szCs w:val="13"/>
                <w:color w:val="auto"/>
              </w:rPr>
              <w:t>Three Months Ended June 30,</w:t>
            </w:r>
          </w:p>
        </w:tc>
        <w:tc>
          <w:tcPr>
            <w:tcW w:w="240" w:type="dxa"/>
            <w:vAlign w:val="bottom"/>
          </w:tcPr>
          <w:p>
            <w:pPr>
              <w:spacing w:after="0"/>
              <w:rPr>
                <w:sz w:val="13"/>
                <w:szCs w:val="13"/>
                <w:color w:val="auto"/>
              </w:rPr>
            </w:pPr>
          </w:p>
        </w:tc>
        <w:tc>
          <w:tcPr>
            <w:tcW w:w="2080" w:type="dxa"/>
            <w:vAlign w:val="bottom"/>
            <w:gridSpan w:val="4"/>
          </w:tcPr>
          <w:p>
            <w:pPr>
              <w:jc w:val="right"/>
              <w:ind w:right="316"/>
              <w:spacing w:after="0"/>
              <w:rPr>
                <w:sz w:val="20"/>
                <w:szCs w:val="20"/>
                <w:color w:val="auto"/>
              </w:rPr>
            </w:pPr>
            <w:r>
              <w:rPr>
                <w:rFonts w:ascii="Arial" w:cs="Arial" w:eastAsia="Arial" w:hAnsi="Arial"/>
                <w:sz w:val="13"/>
                <w:szCs w:val="13"/>
                <w:color w:val="auto"/>
              </w:rPr>
              <w:t>Six Months Ended June 30,</w:t>
            </w:r>
          </w:p>
        </w:tc>
      </w:tr>
      <w:tr>
        <w:trPr>
          <w:trHeight w:val="184"/>
        </w:trPr>
        <w:tc>
          <w:tcPr>
            <w:tcW w:w="30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56"/>
              <w:spacing w:after="0"/>
              <w:rPr>
                <w:sz w:val="20"/>
                <w:szCs w:val="20"/>
                <w:color w:val="auto"/>
              </w:rPr>
            </w:pPr>
            <w:r>
              <w:rPr>
                <w:rFonts w:ascii="Arial" w:cs="Arial" w:eastAsia="Arial" w:hAnsi="Arial"/>
                <w:sz w:val="13"/>
                <w:szCs w:val="13"/>
                <w:color w:val="auto"/>
              </w:rPr>
              <w:t>2024</w:t>
            </w:r>
          </w:p>
        </w:tc>
        <w:tc>
          <w:tcPr>
            <w:tcW w:w="60" w:type="dxa"/>
            <w:vAlign w:val="bottom"/>
            <w:tcBorders>
              <w:top w:val="single" w:sz="8" w:color="auto"/>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356"/>
              <w:spacing w:after="0"/>
              <w:rPr>
                <w:sz w:val="20"/>
                <w:szCs w:val="20"/>
                <w:color w:val="auto"/>
              </w:rPr>
            </w:pPr>
            <w:r>
              <w:rPr>
                <w:rFonts w:ascii="Arial" w:cs="Arial" w:eastAsia="Arial" w:hAnsi="Arial"/>
                <w:sz w:val="13"/>
                <w:szCs w:val="13"/>
                <w:color w:val="auto"/>
              </w:rPr>
              <w:t>2023</w:t>
            </w:r>
          </w:p>
        </w:tc>
        <w:tc>
          <w:tcPr>
            <w:tcW w:w="12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356"/>
              <w:spacing w:after="0"/>
              <w:rPr>
                <w:sz w:val="20"/>
                <w:szCs w:val="20"/>
                <w:color w:val="auto"/>
              </w:rPr>
            </w:pPr>
            <w:r>
              <w:rPr>
                <w:rFonts w:ascii="Arial" w:cs="Arial" w:eastAsia="Arial" w:hAnsi="Arial"/>
                <w:sz w:val="13"/>
                <w:szCs w:val="13"/>
                <w:color w:val="auto"/>
              </w:rPr>
              <w:t>2024</w:t>
            </w:r>
          </w:p>
        </w:tc>
        <w:tc>
          <w:tcPr>
            <w:tcW w:w="60" w:type="dxa"/>
            <w:vAlign w:val="bottom"/>
            <w:tcBorders>
              <w:top w:val="single" w:sz="8" w:color="auto"/>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376"/>
              <w:spacing w:after="0"/>
              <w:rPr>
                <w:sz w:val="20"/>
                <w:szCs w:val="20"/>
                <w:color w:val="auto"/>
              </w:rPr>
            </w:pPr>
            <w:r>
              <w:rPr>
                <w:rFonts w:ascii="Arial" w:cs="Arial" w:eastAsia="Arial" w:hAnsi="Arial"/>
                <w:sz w:val="13"/>
                <w:szCs w:val="13"/>
                <w:color w:val="auto"/>
              </w:rPr>
              <w:t>2023</w:t>
            </w:r>
          </w:p>
        </w:tc>
      </w:tr>
      <w:tr>
        <w:trPr>
          <w:trHeight w:val="188"/>
        </w:trPr>
        <w:tc>
          <w:tcPr>
            <w:tcW w:w="3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Adjusted EBITDA</w:t>
            </w: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554,036</w:t>
            </w:r>
          </w:p>
        </w:tc>
        <w:tc>
          <w:tcPr>
            <w:tcW w:w="6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496,690</w:t>
            </w: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1,105,643</w:t>
            </w:r>
          </w:p>
        </w:tc>
        <w:tc>
          <w:tcPr>
            <w:tcW w:w="6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980,911</w:t>
            </w: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124"/>
        </w:trPr>
        <w:tc>
          <w:tcPr>
            <w:tcW w:w="30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r>
      <w:tr>
        <w:trPr>
          <w:trHeight w:val="204"/>
        </w:trPr>
        <w:tc>
          <w:tcPr>
            <w:tcW w:w="3000" w:type="dxa"/>
            <w:vAlign w:val="bottom"/>
            <w:shd w:val="clear" w:color="auto" w:fill="CCEEFF"/>
          </w:tcPr>
          <w:p>
            <w:pPr>
              <w:ind w:left="40"/>
              <w:spacing w:after="0"/>
              <w:rPr>
                <w:sz w:val="20"/>
                <w:szCs w:val="20"/>
                <w:color w:val="auto"/>
              </w:rPr>
            </w:pPr>
            <w:r>
              <w:rPr>
                <w:rFonts w:ascii="Arial" w:cs="Arial" w:eastAsia="Arial" w:hAnsi="Arial"/>
                <w:sz w:val="13"/>
                <w:szCs w:val="13"/>
                <w:color w:val="auto"/>
              </w:rPr>
              <w:t>Interest expense</w:t>
            </w:r>
          </w:p>
        </w:tc>
        <w:tc>
          <w:tcPr>
            <w:tcW w:w="2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45,789</w:t>
            </w: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17,072</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86,629</w:t>
            </w: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30,826</w:t>
            </w:r>
          </w:p>
        </w:tc>
      </w:tr>
      <w:tr>
        <w:trPr>
          <w:trHeight w:val="204"/>
        </w:trPr>
        <w:tc>
          <w:tcPr>
            <w:tcW w:w="3000" w:type="dxa"/>
            <w:vAlign w:val="bottom"/>
          </w:tcPr>
          <w:p>
            <w:pPr>
              <w:ind w:left="40"/>
              <w:spacing w:after="0"/>
              <w:rPr>
                <w:sz w:val="20"/>
                <w:szCs w:val="20"/>
                <w:color w:val="auto"/>
              </w:rPr>
            </w:pPr>
            <w:r>
              <w:rPr>
                <w:rFonts w:ascii="Arial" w:cs="Arial" w:eastAsia="Arial" w:hAnsi="Arial"/>
                <w:sz w:val="13"/>
                <w:szCs w:val="13"/>
                <w:color w:val="auto"/>
              </w:rPr>
              <w:t>Capitalized interest</w:t>
            </w: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81,039</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91,674</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162,879</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178,744</w:t>
            </w:r>
          </w:p>
        </w:tc>
      </w:tr>
      <w:tr>
        <w:trPr>
          <w:trHeight w:val="204"/>
        </w:trPr>
        <w:tc>
          <w:tcPr>
            <w:tcW w:w="3000" w:type="dxa"/>
            <w:vAlign w:val="bottom"/>
            <w:shd w:val="clear" w:color="auto" w:fill="CCEEFF"/>
          </w:tcPr>
          <w:p>
            <w:pPr>
              <w:ind w:left="40"/>
              <w:spacing w:after="0"/>
              <w:rPr>
                <w:sz w:val="20"/>
                <w:szCs w:val="20"/>
                <w:color w:val="auto"/>
              </w:rPr>
            </w:pPr>
            <w:r>
              <w:rPr>
                <w:rFonts w:ascii="Arial" w:cs="Arial" w:eastAsia="Arial" w:hAnsi="Arial"/>
                <w:sz w:val="13"/>
                <w:szCs w:val="13"/>
                <w:color w:val="auto"/>
              </w:rPr>
              <w:t>Amortization of loan fees</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(4,146)</w:t>
            </w: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(3,729)</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(8,288)</w:t>
            </w: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(7,368)</w:t>
            </w:r>
          </w:p>
        </w:tc>
      </w:tr>
      <w:tr>
        <w:trPr>
          <w:trHeight w:val="204"/>
        </w:trPr>
        <w:tc>
          <w:tcPr>
            <w:tcW w:w="300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Amortization of debt discounts</w:t>
            </w: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(328)</w:t>
            </w:r>
          </w:p>
        </w:tc>
        <w:tc>
          <w:tcPr>
            <w:tcW w:w="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(304)</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(646)</w:t>
            </w:r>
          </w:p>
        </w:tc>
        <w:tc>
          <w:tcPr>
            <w:tcW w:w="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(592)</w:t>
            </w:r>
          </w:p>
        </w:tc>
      </w:tr>
      <w:tr>
        <w:trPr>
          <w:trHeight w:val="188"/>
        </w:trPr>
        <w:tc>
          <w:tcPr>
            <w:tcW w:w="3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Cash interest and fixed charges</w:t>
            </w: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122,354</w:t>
            </w:r>
          </w:p>
        </w:tc>
        <w:tc>
          <w:tcPr>
            <w:tcW w:w="6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104,713</w:t>
            </w: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240,574</w:t>
            </w:r>
          </w:p>
        </w:tc>
        <w:tc>
          <w:tcPr>
            <w:tcW w:w="6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201,610</w:t>
            </w: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124"/>
        </w:trPr>
        <w:tc>
          <w:tcPr>
            <w:tcW w:w="30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r>
      <w:tr>
        <w:trPr>
          <w:trHeight w:val="204"/>
        </w:trPr>
        <w:tc>
          <w:tcPr>
            <w:tcW w:w="3000" w:type="dxa"/>
            <w:vAlign w:val="bottom"/>
            <w:shd w:val="clear" w:color="auto" w:fill="CCEEFF"/>
          </w:tcPr>
          <w:p>
            <w:pPr>
              <w:ind w:left="40"/>
              <w:spacing w:after="0"/>
              <w:rPr>
                <w:sz w:val="20"/>
                <w:szCs w:val="20"/>
                <w:color w:val="auto"/>
              </w:rPr>
            </w:pPr>
            <w:r>
              <w:rPr>
                <w:rFonts w:ascii="Arial" w:cs="Arial" w:eastAsia="Arial" w:hAnsi="Arial"/>
                <w:sz w:val="13"/>
                <w:szCs w:val="13"/>
                <w:color w:val="auto"/>
              </w:rPr>
              <w:t>Fixed-charge coverage ratio:</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04"/>
        </w:trPr>
        <w:tc>
          <w:tcPr>
            <w:tcW w:w="3000" w:type="dxa"/>
            <w:vAlign w:val="bottom"/>
          </w:tcPr>
          <w:p>
            <w:pPr>
              <w:ind w:left="140"/>
              <w:spacing w:after="0"/>
              <w:rPr>
                <w:sz w:val="20"/>
                <w:szCs w:val="20"/>
                <w:color w:val="auto"/>
              </w:rPr>
            </w:pPr>
            <w:r>
              <w:rPr>
                <w:rFonts w:ascii="Arial" w:cs="Arial" w:eastAsia="Arial" w:hAnsi="Arial"/>
                <w:sz w:val="13"/>
                <w:szCs w:val="13"/>
                <w:color w:val="auto"/>
              </w:rPr>
              <w:t>– quarter annualized</w:t>
            </w:r>
          </w:p>
        </w:tc>
        <w:tc>
          <w:tcPr>
            <w:tcW w:w="200" w:type="dxa"/>
            <w:vAlign w:val="bottom"/>
          </w:tcPr>
          <w:p>
            <w:pPr>
              <w:spacing w:after="0"/>
              <w:rPr>
                <w:sz w:val="17"/>
                <w:szCs w:val="17"/>
                <w:color w:val="auto"/>
              </w:rPr>
            </w:pPr>
          </w:p>
        </w:tc>
        <w:tc>
          <w:tcPr>
            <w:tcW w:w="980" w:type="dxa"/>
            <w:vAlign w:val="bottom"/>
            <w:gridSpan w:val="2"/>
          </w:tcPr>
          <w:p>
            <w:pPr>
              <w:ind w:left="640"/>
              <w:spacing w:after="0"/>
              <w:rPr>
                <w:sz w:val="20"/>
                <w:szCs w:val="20"/>
                <w:color w:val="auto"/>
              </w:rPr>
            </w:pPr>
            <w:r>
              <w:rPr>
                <w:rFonts w:ascii="Arial" w:cs="Arial" w:eastAsia="Arial" w:hAnsi="Arial"/>
                <w:sz w:val="13"/>
                <w:szCs w:val="13"/>
                <w:color w:val="auto"/>
              </w:rPr>
              <w:t>4.5x</w:t>
            </w:r>
          </w:p>
        </w:tc>
        <w:tc>
          <w:tcPr>
            <w:tcW w:w="260" w:type="dxa"/>
            <w:vAlign w:val="bottom"/>
          </w:tcPr>
          <w:p>
            <w:pPr>
              <w:spacing w:after="0"/>
              <w:rPr>
                <w:sz w:val="17"/>
                <w:szCs w:val="17"/>
                <w:color w:val="auto"/>
              </w:rPr>
            </w:pPr>
          </w:p>
        </w:tc>
        <w:tc>
          <w:tcPr>
            <w:tcW w:w="980" w:type="dxa"/>
            <w:vAlign w:val="bottom"/>
            <w:gridSpan w:val="2"/>
          </w:tcPr>
          <w:p>
            <w:pPr>
              <w:ind w:left="580"/>
              <w:spacing w:after="0"/>
              <w:rPr>
                <w:sz w:val="20"/>
                <w:szCs w:val="20"/>
                <w:color w:val="auto"/>
              </w:rPr>
            </w:pPr>
            <w:r>
              <w:rPr>
                <w:rFonts w:ascii="Arial" w:cs="Arial" w:eastAsia="Arial" w:hAnsi="Arial"/>
                <w:sz w:val="13"/>
                <w:szCs w:val="13"/>
                <w:color w:val="auto"/>
              </w:rPr>
              <w:t>4.7x</w:t>
            </w:r>
          </w:p>
        </w:tc>
        <w:tc>
          <w:tcPr>
            <w:tcW w:w="240" w:type="dxa"/>
            <w:vAlign w:val="bottom"/>
          </w:tcPr>
          <w:p>
            <w:pPr>
              <w:spacing w:after="0"/>
              <w:rPr>
                <w:sz w:val="17"/>
                <w:szCs w:val="17"/>
                <w:color w:val="auto"/>
              </w:rPr>
            </w:pPr>
          </w:p>
        </w:tc>
        <w:tc>
          <w:tcPr>
            <w:tcW w:w="940" w:type="dxa"/>
            <w:vAlign w:val="bottom"/>
            <w:gridSpan w:val="2"/>
          </w:tcPr>
          <w:p>
            <w:pPr>
              <w:ind w:left="600"/>
              <w:spacing w:after="0"/>
              <w:rPr>
                <w:sz w:val="20"/>
                <w:szCs w:val="20"/>
                <w:color w:val="auto"/>
              </w:rPr>
            </w:pPr>
            <w:r>
              <w:rPr>
                <w:rFonts w:ascii="Arial" w:cs="Arial" w:eastAsia="Arial" w:hAnsi="Arial"/>
                <w:sz w:val="13"/>
                <w:szCs w:val="13"/>
                <w:color w:val="auto"/>
              </w:rPr>
              <w:t>4.6x</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4.9x</w:t>
            </w:r>
          </w:p>
        </w:tc>
      </w:tr>
      <w:tr>
        <w:trPr>
          <w:trHeight w:val="204"/>
        </w:trPr>
        <w:tc>
          <w:tcPr>
            <w:tcW w:w="3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 trailing 12 months</w:t>
            </w: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640"/>
              <w:spacing w:after="0"/>
              <w:rPr>
                <w:sz w:val="20"/>
                <w:szCs w:val="20"/>
                <w:color w:val="auto"/>
              </w:rPr>
            </w:pPr>
            <w:r>
              <w:rPr>
                <w:rFonts w:ascii="Arial" w:cs="Arial" w:eastAsia="Arial" w:hAnsi="Arial"/>
                <w:sz w:val="13"/>
                <w:szCs w:val="13"/>
                <w:color w:val="auto"/>
              </w:rPr>
              <w:t>4.6x</w:t>
            </w:r>
          </w:p>
        </w:tc>
        <w:tc>
          <w:tcPr>
            <w:tcW w:w="2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4.9x</w:t>
            </w:r>
          </w:p>
        </w:tc>
        <w:tc>
          <w:tcPr>
            <w:tcW w:w="2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600"/>
              <w:spacing w:after="0"/>
              <w:rPr>
                <w:sz w:val="20"/>
                <w:szCs w:val="20"/>
                <w:color w:val="auto"/>
              </w:rPr>
            </w:pPr>
            <w:r>
              <w:rPr>
                <w:rFonts w:ascii="Arial" w:cs="Arial" w:eastAsia="Arial" w:hAnsi="Arial"/>
                <w:sz w:val="13"/>
                <w:szCs w:val="13"/>
                <w:color w:val="auto"/>
              </w:rPr>
              <w:t>4.6x</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4.9x</w:t>
            </w:r>
          </w:p>
        </w:tc>
      </w:tr>
    </w:tbl>
    <w:p>
      <w:pPr>
        <w:spacing w:after="0" w:line="204" w:lineRule="exact"/>
        <w:rPr>
          <w:sz w:val="20"/>
          <w:szCs w:val="20"/>
          <w:color w:val="auto"/>
        </w:rPr>
      </w:pPr>
    </w:p>
    <w:p>
      <w:pPr>
        <w:ind w:left="640" w:right="699" w:firstLine="516"/>
        <w:spacing w:after="0" w:line="254" w:lineRule="auto"/>
        <w:rPr>
          <w:sz w:val="20"/>
          <w:szCs w:val="20"/>
          <w:color w:val="auto"/>
        </w:rPr>
      </w:pPr>
      <w:r>
        <w:rPr>
          <w:rFonts w:ascii="Arial" w:cs="Arial" w:eastAsia="Arial" w:hAnsi="Arial"/>
          <w:sz w:val="13"/>
          <w:szCs w:val="13"/>
          <w:color w:val="auto"/>
        </w:rPr>
        <w:t>We are not able to forecast fourth quarter net income without unreasonable effort and therefore do not provide a reconciliation for fixed-charge coverage ratio on a forward-looking basis. This is due to the inherent difficulty of forecasting the timing and/or amount of items that depend on market conditions outside of our control, including the timing of dispositions, capital events, and financing decisions, as well as quarterly components such as gain on sales of real estate, unrealized gains or losses on non-real estate investments, impairment of real estate, and impairment of non-real estate investments. Our attempt to predict these amounts may produce significant but inaccurate estimates, which would be potentially misleading for our investors.</w:t>
      </w:r>
    </w:p>
    <w:p>
      <w:pPr>
        <w:spacing w:after="0" w:line="146" w:lineRule="exact"/>
        <w:rPr>
          <w:sz w:val="20"/>
          <w:szCs w:val="20"/>
          <w:color w:val="auto"/>
        </w:rPr>
      </w:pPr>
    </w:p>
    <w:p>
      <w:pPr>
        <w:ind w:left="640"/>
        <w:spacing w:after="0"/>
        <w:rPr>
          <w:sz w:val="20"/>
          <w:szCs w:val="20"/>
          <w:color w:val="auto"/>
        </w:rPr>
      </w:pPr>
      <w:r>
        <w:rPr>
          <w:rFonts w:ascii="Arial" w:cs="Arial" w:eastAsia="Arial" w:hAnsi="Arial"/>
          <w:sz w:val="13"/>
          <w:szCs w:val="13"/>
          <w:u w:val="single" w:color="auto"/>
          <w:color w:val="auto"/>
        </w:rPr>
        <w:t>Gross assets</w:t>
      </w:r>
    </w:p>
    <w:p>
      <w:pPr>
        <w:spacing w:after="0" w:line="162" w:lineRule="exact"/>
        <w:rPr>
          <w:sz w:val="20"/>
          <w:szCs w:val="20"/>
          <w:color w:val="auto"/>
        </w:rPr>
      </w:pPr>
    </w:p>
    <w:p>
      <w:pPr>
        <w:ind w:left="640" w:right="879" w:firstLine="516"/>
        <w:spacing w:after="0" w:line="272" w:lineRule="auto"/>
        <w:rPr>
          <w:sz w:val="20"/>
          <w:szCs w:val="20"/>
          <w:color w:val="auto"/>
        </w:rPr>
      </w:pPr>
      <w:r>
        <w:rPr>
          <w:rFonts w:ascii="Arial" w:cs="Arial" w:eastAsia="Arial" w:hAnsi="Arial"/>
          <w:sz w:val="13"/>
          <w:szCs w:val="13"/>
          <w:color w:val="auto"/>
        </w:rPr>
        <w:t>Gross assets are calculated as total assets plus accumulated depreciation as of June 30, 2024 and December 31, 2023 (in thousands):</w:t>
      </w:r>
    </w:p>
    <w:p>
      <w:pPr>
        <w:spacing w:after="0" w:line="101"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4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gridSpan w:val="2"/>
          </w:tcPr>
          <w:p>
            <w:pPr>
              <w:ind w:left="100"/>
              <w:spacing w:after="0"/>
              <w:rPr>
                <w:sz w:val="20"/>
                <w:szCs w:val="20"/>
                <w:color w:val="auto"/>
              </w:rPr>
            </w:pPr>
            <w:r>
              <w:rPr>
                <w:rFonts w:ascii="Arial" w:cs="Arial" w:eastAsia="Arial" w:hAnsi="Arial"/>
                <w:sz w:val="13"/>
                <w:szCs w:val="13"/>
                <w:color w:val="auto"/>
              </w:rPr>
              <w:t>June 30, 2024</w:t>
            </w:r>
          </w:p>
        </w:tc>
        <w:tc>
          <w:tcPr>
            <w:tcW w:w="140" w:type="dxa"/>
            <w:vAlign w:val="bottom"/>
          </w:tcPr>
          <w:p>
            <w:pPr>
              <w:spacing w:after="0"/>
              <w:rPr>
                <w:sz w:val="13"/>
                <w:szCs w:val="13"/>
                <w:color w:val="auto"/>
              </w:rPr>
            </w:pPr>
          </w:p>
        </w:tc>
        <w:tc>
          <w:tcPr>
            <w:tcW w:w="1300" w:type="dxa"/>
            <w:vAlign w:val="bottom"/>
          </w:tcPr>
          <w:p>
            <w:pPr>
              <w:jc w:val="right"/>
              <w:ind w:right="96"/>
              <w:spacing w:after="0"/>
              <w:rPr>
                <w:sz w:val="20"/>
                <w:szCs w:val="20"/>
                <w:color w:val="auto"/>
              </w:rPr>
            </w:pPr>
            <w:r>
              <w:rPr>
                <w:rFonts w:ascii="Arial" w:cs="Arial" w:eastAsia="Arial" w:hAnsi="Arial"/>
                <w:sz w:val="13"/>
                <w:szCs w:val="13"/>
                <w:color w:val="auto"/>
                <w:w w:val="98"/>
              </w:rPr>
              <w:t>December 31, 2023</w:t>
            </w:r>
          </w:p>
        </w:tc>
      </w:tr>
      <w:tr>
        <w:trPr>
          <w:trHeight w:val="184"/>
        </w:trPr>
        <w:tc>
          <w:tcPr>
            <w:tcW w:w="48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Total assets</w:t>
            </w: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37,847,865</w:t>
            </w:r>
          </w:p>
        </w:tc>
        <w:tc>
          <w:tcPr>
            <w:tcW w:w="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36,771,402</w:t>
            </w:r>
          </w:p>
        </w:tc>
      </w:tr>
      <w:tr>
        <w:trPr>
          <w:trHeight w:val="204"/>
        </w:trPr>
        <w:tc>
          <w:tcPr>
            <w:tcW w:w="484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Accumulated depreciation</w:t>
            </w: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5,457,414</w:t>
            </w:r>
          </w:p>
        </w:tc>
        <w:tc>
          <w:tcPr>
            <w:tcW w:w="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4,985,019</w:t>
            </w:r>
          </w:p>
        </w:tc>
      </w:tr>
      <w:tr>
        <w:trPr>
          <w:trHeight w:val="188"/>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Gross assets</w:t>
            </w: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43,305,279</w:t>
            </w:r>
          </w:p>
        </w:tc>
        <w:tc>
          <w:tcPr>
            <w:tcW w:w="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41,756,421</w:t>
            </w: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26" w:lineRule="exact"/>
        <w:rPr>
          <w:sz w:val="20"/>
          <w:szCs w:val="20"/>
          <w:color w:val="auto"/>
        </w:rPr>
      </w:pPr>
    </w:p>
    <w:p>
      <w:pPr>
        <w:ind w:left="640"/>
        <w:spacing w:after="0"/>
        <w:rPr>
          <w:sz w:val="20"/>
          <w:szCs w:val="20"/>
          <w:color w:val="auto"/>
        </w:rPr>
      </w:pPr>
      <w:r>
        <w:rPr>
          <w:rFonts w:ascii="Arial" w:cs="Arial" w:eastAsia="Arial" w:hAnsi="Arial"/>
          <w:sz w:val="13"/>
          <w:szCs w:val="13"/>
          <w:u w:val="single" w:color="auto"/>
          <w:color w:val="auto"/>
        </w:rPr>
        <w:t>Initial stabilized yield (unlevered)</w:t>
      </w:r>
    </w:p>
    <w:p>
      <w:pPr>
        <w:spacing w:after="0" w:line="162" w:lineRule="exact"/>
        <w:rPr>
          <w:sz w:val="20"/>
          <w:szCs w:val="20"/>
          <w:color w:val="auto"/>
        </w:rPr>
      </w:pPr>
    </w:p>
    <w:p>
      <w:pPr>
        <w:ind w:left="640" w:right="659" w:firstLine="516"/>
        <w:spacing w:after="0" w:line="250" w:lineRule="auto"/>
        <w:rPr>
          <w:sz w:val="20"/>
          <w:szCs w:val="20"/>
          <w:color w:val="auto"/>
        </w:rPr>
      </w:pPr>
      <w:r>
        <w:rPr>
          <w:rFonts w:ascii="Arial" w:cs="Arial" w:eastAsia="Arial" w:hAnsi="Arial"/>
          <w:sz w:val="13"/>
          <w:szCs w:val="13"/>
          <w:color w:val="auto"/>
        </w:rPr>
        <w:t>Initial stabilized yield is calculated as the estimated amounts of net operating income at stabilization divided by our investment in the property. Our initial stabilized yield excludes the benefit of leverage. Our cash rents related to our value-creation projects are generally expected to increase over time due to contractual annual rent escalations. Our estimates for initial stabilized yields, initial stabilized yields (cash basis), and total costs at completion represent our initial estimates at the commencement of the project. We expect to update this information upon completion of the project, or sooner if there are significant changes to the expected project yields or costs.</w:t>
      </w:r>
    </w:p>
    <w:p>
      <w:pPr>
        <w:spacing w:after="0" w:line="1" w:lineRule="exact"/>
        <w:rPr>
          <w:sz w:val="20"/>
          <w:szCs w:val="20"/>
          <w:color w:val="auto"/>
        </w:rPr>
      </w:pPr>
    </w:p>
    <w:p>
      <w:pPr>
        <w:ind w:left="1420" w:right="999" w:hanging="267"/>
        <w:spacing w:after="0" w:line="246" w:lineRule="auto"/>
        <w:tabs>
          <w:tab w:leader="none" w:pos="1420" w:val="left"/>
        </w:tabs>
        <w:numPr>
          <w:ilvl w:val="0"/>
          <w:numId w:val="118"/>
        </w:numPr>
        <w:rPr>
          <w:rFonts w:ascii="Arial" w:cs="Arial" w:eastAsia="Arial" w:hAnsi="Arial"/>
          <w:sz w:val="13"/>
          <w:szCs w:val="13"/>
          <w:color w:val="auto"/>
        </w:rPr>
      </w:pPr>
      <w:r>
        <w:rPr>
          <w:rFonts w:ascii="Arial" w:cs="Arial" w:eastAsia="Arial" w:hAnsi="Arial"/>
          <w:sz w:val="13"/>
          <w:szCs w:val="13"/>
          <w:color w:val="auto"/>
        </w:rPr>
        <w:t>Initial stabilized yield reflects rental income, including contractual rent escalations and any rent concessions over the term(s) of the lease(s), calculated on a straight-line basis.</w:t>
      </w:r>
    </w:p>
    <w:p>
      <w:pPr>
        <w:ind w:left="1420" w:right="819" w:hanging="267"/>
        <w:spacing w:after="0" w:line="259" w:lineRule="auto"/>
        <w:tabs>
          <w:tab w:leader="none" w:pos="1420" w:val="left"/>
        </w:tabs>
        <w:numPr>
          <w:ilvl w:val="0"/>
          <w:numId w:val="118"/>
        </w:numPr>
        <w:rPr>
          <w:rFonts w:ascii="Arial" w:cs="Arial" w:eastAsia="Arial" w:hAnsi="Arial"/>
          <w:sz w:val="13"/>
          <w:szCs w:val="13"/>
          <w:color w:val="auto"/>
        </w:rPr>
      </w:pPr>
      <w:r>
        <w:rPr>
          <w:rFonts w:ascii="Arial" w:cs="Arial" w:eastAsia="Arial" w:hAnsi="Arial"/>
          <w:sz w:val="13"/>
          <w:szCs w:val="13"/>
          <w:color w:val="auto"/>
        </w:rPr>
        <w:t>Initial stabilized yield (cash basis) reflects cash rents at the stabilization date after initial rental concessions, if any, have elapsed and our total cash investment in the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188595</wp:posOffset>
            </wp:positionV>
            <wp:extent cx="5584190" cy="12579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584190" cy="1257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640"/>
        <w:spacing w:after="0"/>
        <w:rPr>
          <w:sz w:val="20"/>
          <w:szCs w:val="20"/>
          <w:color w:val="auto"/>
        </w:rPr>
      </w:pPr>
      <w:r>
        <w:rPr>
          <w:rFonts w:ascii="Arial" w:cs="Arial" w:eastAsia="Arial" w:hAnsi="Arial"/>
          <w:sz w:val="13"/>
          <w:szCs w:val="13"/>
          <w:u w:val="single" w:color="auto"/>
          <w:color w:val="auto"/>
        </w:rPr>
        <w:t>Investment-grade or publicly traded large cap tenants</w:t>
      </w:r>
    </w:p>
    <w:p>
      <w:pPr>
        <w:spacing w:after="0" w:line="162" w:lineRule="exact"/>
        <w:rPr>
          <w:sz w:val="20"/>
          <w:szCs w:val="20"/>
          <w:color w:val="auto"/>
        </w:rPr>
      </w:pPr>
    </w:p>
    <w:p>
      <w:pPr>
        <w:ind w:left="640" w:right="699" w:firstLine="516"/>
        <w:spacing w:after="0" w:line="285" w:lineRule="auto"/>
        <w:rPr>
          <w:sz w:val="20"/>
          <w:szCs w:val="20"/>
          <w:color w:val="auto"/>
        </w:rPr>
      </w:pPr>
      <w:r>
        <w:rPr>
          <w:rFonts w:ascii="Arial" w:cs="Arial" w:eastAsia="Arial" w:hAnsi="Arial"/>
          <w:sz w:val="12"/>
          <w:szCs w:val="12"/>
          <w:color w:val="auto"/>
        </w:rPr>
        <w:t>Investment-grade or publicly traded large cap tenants represent tenants that are investment-grade rated or publicly traded companies with an average daily market capitalization greater than $10 billion for the twelve months ended June 30, 2024, as reported by Bloomberg Professional Services. Credit ratings from Moody’s Investors Service and S&amp;P Global Ratings reflect credit ratings of the tenant’s parent entity, and there can be no assurance that a tenant’s parent entity will satisfy the tenant’s lease obligation upon such</w:t>
      </w:r>
    </w:p>
    <w:p>
      <w:pPr>
        <w:sectPr>
          <w:pgSz w:w="11900" w:h="16838" w:orient="portrait"/>
          <w:cols w:equalWidth="0" w:num="1">
            <w:col w:w="9019"/>
          </w:cols>
          <w:pgMar w:left="1440" w:top="172" w:right="1440" w:bottom="0" w:gutter="0" w:footer="0" w:header="0"/>
        </w:sectPr>
      </w:pPr>
    </w:p>
    <w:bookmarkStart w:id="69" w:name="page70"/>
    <w:bookmarkEnd w:id="69"/>
    <w:p>
      <w:pPr>
        <w:spacing w:after="0" w:line="91" w:lineRule="exact"/>
        <w:rPr>
          <w:sz w:val="20"/>
          <w:szCs w:val="20"/>
          <w:color w:val="auto"/>
        </w:rPr>
      </w:pPr>
    </w:p>
    <w:p>
      <w:pPr>
        <w:ind w:left="640" w:right="679"/>
        <w:spacing w:after="0" w:line="180" w:lineRule="auto"/>
        <w:rPr>
          <w:sz w:val="20"/>
          <w:szCs w:val="20"/>
          <w:color w:val="auto"/>
        </w:rPr>
      </w:pPr>
      <w:r>
        <w:rPr>
          <w:rFonts w:ascii="Arial" w:cs="Arial" w:eastAsia="Arial" w:hAnsi="Arial"/>
          <w:sz w:val="21"/>
          <w:szCs w:val="21"/>
          <w:color w:val="auto"/>
          <w:vertAlign w:val="superscript"/>
        </w:rPr>
        <w:t>tenant’s</w:t>
      </w:r>
      <w:r>
        <w:rPr>
          <w:rFonts w:ascii="Arial" w:cs="Arial" w:eastAsia="Arial" w:hAnsi="Arial"/>
          <w:sz w:val="11"/>
          <w:szCs w:val="11"/>
          <w:color w:val="auto"/>
        </w:rPr>
        <w:t>marketcapitalization</w:t>
      </w:r>
      <w:r>
        <w:rPr>
          <w:rFonts w:ascii="Arial" w:cs="Arial" w:eastAsia="Arial" w:hAnsi="Arial"/>
          <w:sz w:val="21"/>
          <w:szCs w:val="21"/>
          <w:color w:val="auto"/>
          <w:vertAlign w:val="superscript"/>
        </w:rPr>
        <w:t>default.We</w:t>
      </w:r>
      <w:r>
        <w:rPr>
          <w:rFonts w:ascii="Arial" w:cs="Arial" w:eastAsia="Arial" w:hAnsi="Arial"/>
          <w:sz w:val="11"/>
          <w:szCs w:val="11"/>
          <w:color w:val="auto"/>
        </w:rPr>
        <w:t>monitordecrease</w:t>
      </w:r>
      <w:r>
        <w:rPr>
          <w:rFonts w:ascii="Arial" w:cs="Arial" w:eastAsia="Arial" w:hAnsi="Arial"/>
          <w:sz w:val="21"/>
          <w:szCs w:val="21"/>
          <w:color w:val="auto"/>
          <w:vertAlign w:val="superscript"/>
        </w:rPr>
        <w:t>thecredit</w:t>
      </w:r>
      <w:r>
        <w:rPr>
          <w:rFonts w:ascii="Arial" w:cs="Arial" w:eastAsia="Arial" w:hAnsi="Arial"/>
          <w:sz w:val="11"/>
          <w:szCs w:val="11"/>
          <w:color w:val="auto"/>
        </w:rPr>
        <w:t>below</w:t>
      </w:r>
      <w:r>
        <w:rPr>
          <w:rFonts w:ascii="Arial" w:cs="Arial" w:eastAsia="Arial" w:hAnsi="Arial"/>
          <w:sz w:val="21"/>
          <w:szCs w:val="21"/>
          <w:color w:val="auto"/>
          <w:vertAlign w:val="superscript"/>
        </w:rPr>
        <w:t>quality</w:t>
      </w:r>
      <w:r>
        <w:rPr>
          <w:rFonts w:ascii="Arial" w:cs="Arial" w:eastAsia="Arial" w:hAnsi="Arial"/>
          <w:sz w:val="11"/>
          <w:szCs w:val="11"/>
          <w:color w:val="auto"/>
        </w:rPr>
        <w:t>$10billion,</w:t>
      </w:r>
      <w:r>
        <w:rPr>
          <w:rFonts w:ascii="Arial" w:cs="Arial" w:eastAsia="Arial" w:hAnsi="Arial"/>
          <w:sz w:val="21"/>
          <w:szCs w:val="21"/>
          <w:color w:val="auto"/>
          <w:vertAlign w:val="superscript"/>
        </w:rPr>
        <w:t>andrelated</w:t>
      </w:r>
      <w:r>
        <w:rPr>
          <w:rFonts w:ascii="Arial" w:cs="Arial" w:eastAsia="Arial" w:hAnsi="Arial"/>
          <w:sz w:val="11"/>
          <w:szCs w:val="11"/>
          <w:color w:val="auto"/>
        </w:rPr>
        <w:t xml:space="preserve">which </w:t>
      </w:r>
      <w:r>
        <w:rPr>
          <w:rFonts w:ascii="Arial" w:cs="Arial" w:eastAsia="Arial" w:hAnsi="Arial"/>
          <w:sz w:val="21"/>
          <w:szCs w:val="21"/>
          <w:color w:val="auto"/>
          <w:vertAlign w:val="superscript"/>
        </w:rPr>
        <w:t>material</w:t>
      </w:r>
      <w:r>
        <w:rPr>
          <w:rFonts w:ascii="Arial" w:cs="Arial" w:eastAsia="Arial" w:hAnsi="Arial"/>
          <w:sz w:val="11"/>
          <w:szCs w:val="11"/>
          <w:color w:val="auto"/>
        </w:rPr>
        <w:t>arenotimmediately</w:t>
      </w:r>
      <w:r>
        <w:rPr>
          <w:rFonts w:ascii="Arial" w:cs="Arial" w:eastAsia="Arial" w:hAnsi="Arial"/>
          <w:sz w:val="21"/>
          <w:szCs w:val="21"/>
          <w:color w:val="auto"/>
          <w:vertAlign w:val="superscript"/>
        </w:rPr>
        <w:t>changesof our</w:t>
      </w:r>
      <w:r>
        <w:rPr>
          <w:rFonts w:ascii="Arial" w:cs="Arial" w:eastAsia="Arial" w:hAnsi="Arial"/>
          <w:sz w:val="11"/>
          <w:szCs w:val="11"/>
          <w:color w:val="auto"/>
        </w:rPr>
        <w:t>reflected</w:t>
      </w:r>
      <w:r>
        <w:rPr>
          <w:rFonts w:ascii="Arial" w:cs="Arial" w:eastAsia="Arial" w:hAnsi="Arial"/>
          <w:sz w:val="21"/>
          <w:szCs w:val="21"/>
          <w:color w:val="auto"/>
          <w:vertAlign w:val="superscript"/>
        </w:rPr>
        <w:t>tenants</w:t>
      </w:r>
      <w:r>
        <w:rPr>
          <w:rFonts w:ascii="Arial" w:cs="Arial" w:eastAsia="Arial" w:hAnsi="Arial"/>
          <w:sz w:val="11"/>
          <w:szCs w:val="11"/>
          <w:color w:val="auto"/>
        </w:rPr>
        <w:t>in</w:t>
      </w:r>
      <w:r>
        <w:rPr>
          <w:rFonts w:ascii="Arial" w:cs="Arial" w:eastAsia="Arial" w:hAnsi="Arial"/>
          <w:sz w:val="21"/>
          <w:szCs w:val="21"/>
          <w:color w:val="auto"/>
          <w:vertAlign w:val="superscript"/>
        </w:rPr>
        <w:t>.</w:t>
      </w:r>
      <w:r>
        <w:rPr>
          <w:rFonts w:ascii="Arial" w:cs="Arial" w:eastAsia="Arial" w:hAnsi="Arial"/>
          <w:sz w:val="11"/>
          <w:szCs w:val="11"/>
          <w:color w:val="auto"/>
        </w:rPr>
        <w:t xml:space="preserve"> the</w:t>
      </w:r>
      <w:r>
        <w:rPr>
          <w:rFonts w:ascii="Arial" w:cs="Arial" w:eastAsia="Arial" w:hAnsi="Arial"/>
          <w:sz w:val="21"/>
          <w:szCs w:val="21"/>
          <w:color w:val="auto"/>
          <w:vertAlign w:val="superscript"/>
        </w:rPr>
        <w:t>Material</w:t>
      </w:r>
      <w:r>
        <w:rPr>
          <w:rFonts w:ascii="Arial" w:cs="Arial" w:eastAsia="Arial" w:hAnsi="Arial"/>
          <w:sz w:val="11"/>
          <w:szCs w:val="11"/>
          <w:color w:val="auto"/>
        </w:rPr>
        <w:t>twelve</w:t>
      </w:r>
      <w:r>
        <w:rPr>
          <w:rFonts w:ascii="Arial" w:cs="Arial" w:eastAsia="Arial" w:hAnsi="Arial"/>
          <w:sz w:val="21"/>
          <w:szCs w:val="21"/>
          <w:color w:val="auto"/>
          <w:vertAlign w:val="superscript"/>
        </w:rPr>
        <w:t>changes</w:t>
      </w:r>
      <w:r>
        <w:rPr>
          <w:rFonts w:ascii="Arial" w:cs="Arial" w:eastAsia="Arial" w:hAnsi="Arial"/>
          <w:sz w:val="11"/>
          <w:szCs w:val="11"/>
          <w:color w:val="auto"/>
        </w:rPr>
        <w:t>-month average,</w:t>
      </w:r>
      <w:r>
        <w:rPr>
          <w:rFonts w:ascii="Arial" w:cs="Arial" w:eastAsia="Arial" w:hAnsi="Arial"/>
          <w:sz w:val="21"/>
          <w:szCs w:val="21"/>
          <w:color w:val="auto"/>
          <w:vertAlign w:val="superscript"/>
        </w:rPr>
        <w:t>thatcause</w:t>
      </w:r>
      <w:r>
        <w:rPr>
          <w:rFonts w:ascii="Arial" w:cs="Arial" w:eastAsia="Arial" w:hAnsi="Arial"/>
          <w:sz w:val="11"/>
          <w:szCs w:val="11"/>
          <w:color w:val="auto"/>
        </w:rPr>
        <w:t>may</w:t>
      </w:r>
      <w:r>
        <w:rPr>
          <w:rFonts w:ascii="Arial" w:cs="Arial" w:eastAsia="Arial" w:hAnsi="Arial"/>
          <w:sz w:val="21"/>
          <w:szCs w:val="21"/>
          <w:color w:val="auto"/>
          <w:vertAlign w:val="superscript"/>
        </w:rPr>
        <w:t>tenant’s</w:t>
      </w:r>
      <w:r>
        <w:rPr>
          <w:rFonts w:ascii="Arial" w:cs="Arial" w:eastAsia="Arial" w:hAnsi="Arial"/>
          <w:sz w:val="11"/>
          <w:szCs w:val="11"/>
          <w:color w:val="auto"/>
        </w:rPr>
        <w:t>resultin their exclusion from this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-215265</wp:posOffset>
            </wp:positionV>
            <wp:extent cx="5584190" cy="59563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584190" cy="5956300"/>
                    </a:xfrm>
                    <a:prstGeom prst="rect">
                      <a:avLst/>
                    </a:prstGeom>
                    <a:noFill/>
                  </pic:spPr>
                </pic:pic>
              </a:graphicData>
            </a:graphic>
          </wp:anchor>
        </w:drawing>
      </w:r>
    </w:p>
    <w:p>
      <w:pPr>
        <w:spacing w:after="0" w:line="113" w:lineRule="exact"/>
        <w:rPr>
          <w:sz w:val="20"/>
          <w:szCs w:val="20"/>
          <w:color w:val="auto"/>
        </w:rPr>
      </w:pPr>
    </w:p>
    <w:p>
      <w:pPr>
        <w:ind w:left="640"/>
        <w:spacing w:after="0"/>
        <w:rPr>
          <w:sz w:val="20"/>
          <w:szCs w:val="20"/>
          <w:color w:val="auto"/>
        </w:rPr>
      </w:pPr>
      <w:r>
        <w:rPr>
          <w:rFonts w:ascii="Arial" w:cs="Arial" w:eastAsia="Arial" w:hAnsi="Arial"/>
          <w:sz w:val="13"/>
          <w:szCs w:val="13"/>
          <w:u w:val="single" w:color="auto"/>
          <w:color w:val="auto"/>
        </w:rPr>
        <w:t>Investments in real estate</w:t>
      </w:r>
    </w:p>
    <w:p>
      <w:pPr>
        <w:spacing w:after="0" w:line="162" w:lineRule="exact"/>
        <w:rPr>
          <w:sz w:val="20"/>
          <w:szCs w:val="20"/>
          <w:color w:val="auto"/>
        </w:rPr>
      </w:pPr>
    </w:p>
    <w:p>
      <w:pPr>
        <w:ind w:left="640" w:right="1179" w:firstLine="516"/>
        <w:spacing w:after="0" w:line="289" w:lineRule="auto"/>
        <w:rPr>
          <w:sz w:val="20"/>
          <w:szCs w:val="20"/>
          <w:color w:val="auto"/>
        </w:rPr>
      </w:pPr>
      <w:r>
        <w:rPr>
          <w:rFonts w:ascii="Arial" w:cs="Arial" w:eastAsia="Arial" w:hAnsi="Arial"/>
          <w:sz w:val="13"/>
          <w:szCs w:val="13"/>
          <w:color w:val="auto"/>
        </w:rPr>
        <w:t>The following table presents our value-creation pipeline of new Class A/A+ development and redevelopment projects, excluding properties held for sale, as a percentage of gross assets as of June 30, 2024:</w:t>
      </w:r>
    </w:p>
    <w:tbl>
      <w:tblPr>
        <w:tblLayout w:type="fixed"/>
        <w:tblInd w:w="640" w:type="dxa"/>
        <w:tblCellMar>
          <w:top w:w="0" w:type="dxa"/>
          <w:left w:w="0" w:type="dxa"/>
          <w:bottom w:w="0" w:type="dxa"/>
          <w:right w:w="0" w:type="dxa"/>
        </w:tblCellMar>
      </w:tblPr>
      <w:tr>
        <w:trPr>
          <w:trHeight w:val="145"/>
        </w:trPr>
        <w:tc>
          <w:tcPr>
            <w:tcW w:w="6060" w:type="dxa"/>
            <w:vAlign w:val="bottom"/>
          </w:tcPr>
          <w:p>
            <w:pPr>
              <w:spacing w:after="0"/>
              <w:rPr>
                <w:sz w:val="12"/>
                <w:szCs w:val="12"/>
                <w:color w:val="auto"/>
              </w:rPr>
            </w:pPr>
          </w:p>
        </w:tc>
        <w:tc>
          <w:tcPr>
            <w:tcW w:w="1620" w:type="dxa"/>
            <w:vAlign w:val="bottom"/>
          </w:tcPr>
          <w:p>
            <w:pPr>
              <w:jc w:val="center"/>
              <w:spacing w:after="0" w:line="145" w:lineRule="exact"/>
              <w:rPr>
                <w:sz w:val="20"/>
                <w:szCs w:val="20"/>
                <w:color w:val="auto"/>
              </w:rPr>
            </w:pPr>
            <w:r>
              <w:rPr>
                <w:rFonts w:ascii="Arial" w:cs="Arial" w:eastAsia="Arial" w:hAnsi="Arial"/>
                <w:sz w:val="13"/>
                <w:szCs w:val="13"/>
                <w:color w:val="auto"/>
                <w:w w:val="98"/>
              </w:rPr>
              <w:t>Percentage of</w:t>
            </w:r>
          </w:p>
        </w:tc>
        <w:tc>
          <w:tcPr>
            <w:tcW w:w="0" w:type="dxa"/>
            <w:vAlign w:val="bottom"/>
          </w:tcPr>
          <w:p>
            <w:pPr>
              <w:spacing w:after="0"/>
              <w:rPr>
                <w:sz w:val="1"/>
                <w:szCs w:val="1"/>
                <w:color w:val="auto"/>
              </w:rPr>
            </w:pPr>
          </w:p>
        </w:tc>
      </w:tr>
      <w:tr>
        <w:trPr>
          <w:trHeight w:val="161"/>
        </w:trPr>
        <w:tc>
          <w:tcPr>
            <w:tcW w:w="6060" w:type="dxa"/>
            <w:vAlign w:val="bottom"/>
            <w:tcBorders>
              <w:bottom w:val="single" w:sz="8" w:color="CCEEFF"/>
            </w:tcBorders>
          </w:tcPr>
          <w:p>
            <w:pPr>
              <w:spacing w:after="0"/>
              <w:rPr>
                <w:sz w:val="13"/>
                <w:szCs w:val="13"/>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8"/>
              </w:rPr>
              <w:t>Gross Assets</w:t>
            </w:r>
          </w:p>
        </w:tc>
        <w:tc>
          <w:tcPr>
            <w:tcW w:w="0" w:type="dxa"/>
            <w:vAlign w:val="bottom"/>
          </w:tcPr>
          <w:p>
            <w:pPr>
              <w:spacing w:after="0"/>
              <w:rPr>
                <w:sz w:val="1"/>
                <w:szCs w:val="1"/>
                <w:color w:val="auto"/>
              </w:rPr>
            </w:pPr>
          </w:p>
        </w:tc>
      </w:tr>
      <w:tr>
        <w:trPr>
          <w:trHeight w:val="152"/>
        </w:trPr>
        <w:tc>
          <w:tcPr>
            <w:tcW w:w="6060" w:type="dxa"/>
            <w:vAlign w:val="bottom"/>
            <w:shd w:val="clear" w:color="auto" w:fill="CCEEFF"/>
          </w:tcPr>
          <w:p>
            <w:pPr>
              <w:ind w:left="40"/>
              <w:spacing w:after="0"/>
              <w:rPr>
                <w:sz w:val="20"/>
                <w:szCs w:val="20"/>
                <w:color w:val="auto"/>
              </w:rPr>
            </w:pPr>
            <w:r>
              <w:rPr>
                <w:rFonts w:ascii="Arial" w:cs="Arial" w:eastAsia="Arial" w:hAnsi="Arial"/>
                <w:sz w:val="13"/>
                <w:szCs w:val="13"/>
                <w:color w:val="auto"/>
              </w:rPr>
              <w:t>Under construction projects and one committed near-term project expected to commence construction</w:t>
            </w:r>
          </w:p>
        </w:tc>
        <w:tc>
          <w:tcPr>
            <w:tcW w:w="16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95"/>
              </w:rPr>
              <w:t>9%</w:t>
            </w:r>
          </w:p>
        </w:tc>
        <w:tc>
          <w:tcPr>
            <w:tcW w:w="0" w:type="dxa"/>
            <w:vAlign w:val="bottom"/>
          </w:tcPr>
          <w:p>
            <w:pPr>
              <w:spacing w:after="0"/>
              <w:rPr>
                <w:sz w:val="1"/>
                <w:szCs w:val="1"/>
                <w:color w:val="auto"/>
              </w:rPr>
            </w:pPr>
          </w:p>
        </w:tc>
      </w:tr>
      <w:tr>
        <w:trPr>
          <w:trHeight w:val="161"/>
        </w:trPr>
        <w:tc>
          <w:tcPr>
            <w:tcW w:w="6060" w:type="dxa"/>
            <w:vAlign w:val="bottom"/>
            <w:shd w:val="clear" w:color="auto" w:fill="CCEEFF"/>
          </w:tcPr>
          <w:p>
            <w:pPr>
              <w:ind w:left="160"/>
              <w:spacing w:after="0"/>
              <w:rPr>
                <w:sz w:val="20"/>
                <w:szCs w:val="20"/>
                <w:color w:val="auto"/>
              </w:rPr>
            </w:pPr>
            <w:r>
              <w:rPr>
                <w:rFonts w:ascii="Arial" w:cs="Arial" w:eastAsia="Arial" w:hAnsi="Arial"/>
                <w:sz w:val="13"/>
                <w:szCs w:val="13"/>
                <w:color w:val="auto"/>
              </w:rPr>
              <w:t>in the next two years (61% leased/negotiating)</w:t>
            </w:r>
          </w:p>
        </w:tc>
        <w:tc>
          <w:tcPr>
            <w:tcW w:w="162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6060" w:type="dxa"/>
            <w:vAlign w:val="bottom"/>
          </w:tcPr>
          <w:p>
            <w:pPr>
              <w:ind w:left="40"/>
              <w:spacing w:after="0" w:line="183" w:lineRule="exact"/>
              <w:rPr>
                <w:sz w:val="20"/>
                <w:szCs w:val="20"/>
                <w:color w:val="auto"/>
              </w:rPr>
            </w:pPr>
            <w:r>
              <w:rPr>
                <w:rFonts w:ascii="Arial" w:cs="Arial" w:eastAsia="Arial" w:hAnsi="Arial"/>
                <w:sz w:val="13"/>
                <w:szCs w:val="13"/>
                <w:color w:val="auto"/>
              </w:rPr>
              <w:t>Income-producing/potential cash flows/covered land play</w:t>
            </w:r>
            <w:r>
              <w:rPr>
                <w:rFonts w:ascii="Arial" w:cs="Arial" w:eastAsia="Arial" w:hAnsi="Arial"/>
                <w:sz w:val="16"/>
                <w:szCs w:val="16"/>
                <w:color w:val="auto"/>
                <w:vertAlign w:val="superscript"/>
              </w:rPr>
              <w:t>(1)</w:t>
            </w:r>
          </w:p>
        </w:tc>
        <w:tc>
          <w:tcPr>
            <w:tcW w:w="1620" w:type="dxa"/>
            <w:vAlign w:val="bottom"/>
          </w:tcPr>
          <w:p>
            <w:pPr>
              <w:jc w:val="center"/>
              <w:spacing w:after="0"/>
              <w:rPr>
                <w:sz w:val="20"/>
                <w:szCs w:val="20"/>
                <w:color w:val="auto"/>
              </w:rPr>
            </w:pPr>
            <w:r>
              <w:rPr>
                <w:rFonts w:ascii="Arial" w:cs="Arial" w:eastAsia="Arial" w:hAnsi="Arial"/>
                <w:sz w:val="13"/>
                <w:szCs w:val="13"/>
                <w:color w:val="auto"/>
                <w:w w:val="95"/>
              </w:rPr>
              <w:t>7%</w:t>
            </w:r>
          </w:p>
        </w:tc>
        <w:tc>
          <w:tcPr>
            <w:tcW w:w="0" w:type="dxa"/>
            <w:vAlign w:val="bottom"/>
          </w:tcPr>
          <w:p>
            <w:pPr>
              <w:spacing w:after="0"/>
              <w:rPr>
                <w:sz w:val="1"/>
                <w:szCs w:val="1"/>
                <w:color w:val="auto"/>
              </w:rPr>
            </w:pPr>
          </w:p>
        </w:tc>
      </w:tr>
      <w:tr>
        <w:trPr>
          <w:trHeight w:val="183"/>
        </w:trPr>
        <w:tc>
          <w:tcPr>
            <w:tcW w:w="6060" w:type="dxa"/>
            <w:vAlign w:val="bottom"/>
            <w:shd w:val="clear" w:color="auto" w:fill="CCEEFF"/>
          </w:tcPr>
          <w:p>
            <w:pPr>
              <w:ind w:left="40"/>
              <w:spacing w:after="0"/>
              <w:rPr>
                <w:sz w:val="20"/>
                <w:szCs w:val="20"/>
                <w:color w:val="auto"/>
              </w:rPr>
            </w:pPr>
            <w:r>
              <w:rPr>
                <w:rFonts w:ascii="Arial" w:cs="Arial" w:eastAsia="Arial" w:hAnsi="Arial"/>
                <w:sz w:val="13"/>
                <w:szCs w:val="13"/>
                <w:color w:val="auto"/>
              </w:rPr>
              <w:t>Land</w:t>
            </w:r>
          </w:p>
        </w:tc>
        <w:tc>
          <w:tcPr>
            <w:tcW w:w="16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5%</w:t>
            </w:r>
          </w:p>
        </w:tc>
        <w:tc>
          <w:tcPr>
            <w:tcW w:w="0" w:type="dxa"/>
            <w:vAlign w:val="bottom"/>
          </w:tcPr>
          <w:p>
            <w:pPr>
              <w:spacing w:after="0"/>
              <w:rPr>
                <w:sz w:val="1"/>
                <w:szCs w:val="1"/>
                <w:color w:val="auto"/>
              </w:rPr>
            </w:pPr>
          </w:p>
        </w:tc>
      </w:tr>
    </w:tbl>
    <w:p>
      <w:pPr>
        <w:spacing w:after="0" w:line="103" w:lineRule="exact"/>
        <w:rPr>
          <w:sz w:val="20"/>
          <w:szCs w:val="20"/>
          <w:color w:val="auto"/>
        </w:rPr>
      </w:pPr>
    </w:p>
    <w:p>
      <w:pPr>
        <w:jc w:val="both"/>
        <w:ind w:left="900" w:right="779" w:hanging="262"/>
        <w:spacing w:after="0" w:line="265" w:lineRule="auto"/>
        <w:tabs>
          <w:tab w:leader="none" w:pos="900" w:val="left"/>
        </w:tabs>
        <w:numPr>
          <w:ilvl w:val="0"/>
          <w:numId w:val="119"/>
        </w:numPr>
        <w:rPr>
          <w:rFonts w:ascii="Arial" w:cs="Arial" w:eastAsia="Arial" w:hAnsi="Arial"/>
          <w:sz w:val="10"/>
          <w:szCs w:val="10"/>
          <w:color w:val="auto"/>
        </w:rPr>
      </w:pPr>
      <w:r>
        <w:rPr>
          <w:rFonts w:ascii="Arial" w:cs="Arial" w:eastAsia="Arial" w:hAnsi="Arial"/>
          <w:sz w:val="10"/>
          <w:szCs w:val="10"/>
          <w:color w:val="auto"/>
        </w:rPr>
        <w:t>Includes projects with existing buildings that are generating or can generate operating cash flows. Also includes development rights associated with existing operating campuses. These projects aggregated 1.0% of annual rental revenue as of June 30, 2024 and are included in our industry mix chart as targeted for a future change in use. Refer to “High-quality and diverse client base” in Item 2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188595</wp:posOffset>
            </wp:positionV>
            <wp:extent cx="5584190" cy="449707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584190" cy="4497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640" w:right="839" w:firstLine="516"/>
        <w:spacing w:after="0" w:line="263" w:lineRule="auto"/>
        <w:rPr>
          <w:sz w:val="20"/>
          <w:szCs w:val="20"/>
          <w:color w:val="auto"/>
        </w:rPr>
      </w:pPr>
      <w:r>
        <w:rPr>
          <w:rFonts w:ascii="Arial" w:cs="Arial" w:eastAsia="Arial" w:hAnsi="Arial"/>
          <w:sz w:val="13"/>
          <w:szCs w:val="13"/>
          <w:color w:val="auto"/>
        </w:rPr>
        <w:t>The square footage presented in the table below is classified as operating as of June 30, 2024. These lease expirations or vacant space at recently acquired properties represent future opportunities for which we have the intent, subject to market conditions and leasing, to commence first-time conversion from non-laboratory space to laboratory space, or to commence future ground-up development:</w:t>
      </w:r>
    </w:p>
    <w:tbl>
      <w:tblPr>
        <w:tblLayout w:type="fixed"/>
        <w:tblInd w:w="680" w:type="dxa"/>
        <w:tblCellMar>
          <w:top w:w="0" w:type="dxa"/>
          <w:left w:w="0" w:type="dxa"/>
          <w:bottom w:w="0" w:type="dxa"/>
          <w:right w:w="0" w:type="dxa"/>
        </w:tblCellMar>
      </w:tblPr>
      <w:tr>
        <w:trPr>
          <w:trHeight w:val="139"/>
        </w:trPr>
        <w:tc>
          <w:tcPr>
            <w:tcW w:w="34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160" w:type="dxa"/>
            <w:vAlign w:val="bottom"/>
            <w:gridSpan w:val="4"/>
          </w:tcPr>
          <w:p>
            <w:pPr>
              <w:jc w:val="right"/>
              <w:ind w:right="396"/>
              <w:spacing w:after="0" w:line="139" w:lineRule="exact"/>
              <w:rPr>
                <w:sz w:val="20"/>
                <w:szCs w:val="20"/>
                <w:color w:val="auto"/>
              </w:rPr>
            </w:pPr>
            <w:r>
              <w:rPr>
                <w:rFonts w:ascii="Arial" w:cs="Arial" w:eastAsia="Arial" w:hAnsi="Arial"/>
                <w:sz w:val="13"/>
                <w:szCs w:val="13"/>
                <w:color w:val="auto"/>
              </w:rPr>
              <w:t>RSF of Lease Expirations Targeted for</w:t>
            </w:r>
          </w:p>
        </w:tc>
        <w:tc>
          <w:tcPr>
            <w:tcW w:w="0" w:type="dxa"/>
            <w:vAlign w:val="bottom"/>
          </w:tcPr>
          <w:p>
            <w:pPr>
              <w:spacing w:after="0"/>
              <w:rPr>
                <w:sz w:val="1"/>
                <w:szCs w:val="1"/>
                <w:color w:val="auto"/>
              </w:rPr>
            </w:pPr>
          </w:p>
        </w:tc>
      </w:tr>
      <w:tr>
        <w:trPr>
          <w:trHeight w:val="169"/>
        </w:trPr>
        <w:tc>
          <w:tcPr>
            <w:tcW w:w="3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0" w:type="dxa"/>
            <w:vAlign w:val="bottom"/>
            <w:gridSpan w:val="2"/>
          </w:tcPr>
          <w:p>
            <w:pPr>
              <w:jc w:val="right"/>
              <w:spacing w:after="0"/>
              <w:rPr>
                <w:sz w:val="20"/>
                <w:szCs w:val="20"/>
                <w:color w:val="auto"/>
              </w:rPr>
            </w:pPr>
            <w:r>
              <w:rPr>
                <w:rFonts w:ascii="Arial" w:cs="Arial" w:eastAsia="Arial" w:hAnsi="Arial"/>
                <w:sz w:val="13"/>
                <w:szCs w:val="13"/>
                <w:color w:val="auto"/>
                <w:w w:val="98"/>
              </w:rPr>
              <w:t>Development and Redevelopment</w:t>
            </w: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3480" w:type="dxa"/>
            <w:vAlign w:val="bottom"/>
          </w:tcPr>
          <w:p>
            <w:pPr>
              <w:spacing w:after="0"/>
              <w:rPr>
                <w:sz w:val="20"/>
                <w:szCs w:val="20"/>
                <w:color w:val="auto"/>
              </w:rPr>
            </w:pPr>
            <w:r>
              <w:rPr>
                <w:rFonts w:ascii="Arial" w:cs="Arial" w:eastAsia="Arial" w:hAnsi="Arial"/>
                <w:sz w:val="13"/>
                <w:szCs w:val="13"/>
                <w:color w:val="auto"/>
              </w:rPr>
              <w:t>Property/Submarket</w:t>
            </w:r>
          </w:p>
        </w:tc>
        <w:tc>
          <w:tcPr>
            <w:tcW w:w="1000" w:type="dxa"/>
            <w:vAlign w:val="bottom"/>
          </w:tcPr>
          <w:p>
            <w:pPr>
              <w:jc w:val="center"/>
              <w:ind w:left="16"/>
              <w:spacing w:after="0"/>
              <w:rPr>
                <w:sz w:val="20"/>
                <w:szCs w:val="20"/>
                <w:color w:val="auto"/>
              </w:rPr>
            </w:pPr>
            <w:r>
              <w:rPr>
                <w:rFonts w:ascii="Arial" w:cs="Arial" w:eastAsia="Arial" w:hAnsi="Arial"/>
                <w:sz w:val="13"/>
                <w:szCs w:val="13"/>
                <w:color w:val="auto"/>
                <w:w w:val="99"/>
              </w:rPr>
              <w:t>Dev/Redev</w:t>
            </w:r>
          </w:p>
        </w:tc>
        <w:tc>
          <w:tcPr>
            <w:tcW w:w="620" w:type="dxa"/>
            <w:vAlign w:val="bottom"/>
          </w:tcPr>
          <w:p>
            <w:pPr>
              <w:jc w:val="right"/>
              <w:ind w:right="96"/>
              <w:spacing w:after="0"/>
              <w:rPr>
                <w:sz w:val="20"/>
                <w:szCs w:val="20"/>
                <w:color w:val="auto"/>
              </w:rPr>
            </w:pPr>
            <w:r>
              <w:rPr>
                <w:rFonts w:ascii="Arial" w:cs="Arial" w:eastAsia="Arial" w:hAnsi="Arial"/>
                <w:sz w:val="13"/>
                <w:szCs w:val="13"/>
                <w:color w:val="auto"/>
              </w:rPr>
              <w:t>2024</w:t>
            </w:r>
          </w:p>
        </w:tc>
        <w:tc>
          <w:tcPr>
            <w:tcW w:w="860" w:type="dxa"/>
            <w:vAlign w:val="bottom"/>
          </w:tcPr>
          <w:p>
            <w:pPr>
              <w:jc w:val="right"/>
              <w:ind w:right="196"/>
              <w:spacing w:after="0"/>
              <w:rPr>
                <w:sz w:val="20"/>
                <w:szCs w:val="20"/>
                <w:color w:val="auto"/>
              </w:rPr>
            </w:pPr>
            <w:r>
              <w:rPr>
                <w:rFonts w:ascii="Arial" w:cs="Arial" w:eastAsia="Arial" w:hAnsi="Arial"/>
                <w:sz w:val="13"/>
                <w:szCs w:val="13"/>
                <w:color w:val="auto"/>
              </w:rPr>
              <w:t>2025</w:t>
            </w:r>
          </w:p>
        </w:tc>
        <w:tc>
          <w:tcPr>
            <w:tcW w:w="1140" w:type="dxa"/>
            <w:vAlign w:val="bottom"/>
          </w:tcPr>
          <w:p>
            <w:pPr>
              <w:jc w:val="right"/>
              <w:ind w:right="296"/>
              <w:spacing w:after="0"/>
              <w:rPr>
                <w:sz w:val="20"/>
                <w:szCs w:val="20"/>
                <w:color w:val="auto"/>
              </w:rPr>
            </w:pPr>
            <w:r>
              <w:rPr>
                <w:rFonts w:ascii="Arial" w:cs="Arial" w:eastAsia="Arial" w:hAnsi="Arial"/>
                <w:sz w:val="13"/>
                <w:szCs w:val="13"/>
                <w:color w:val="auto"/>
              </w:rPr>
              <w:t>Thereafter</w:t>
            </w:r>
            <w:r>
              <w:rPr>
                <w:rFonts w:ascii="Arial" w:cs="Arial" w:eastAsia="Arial" w:hAnsi="Arial"/>
                <w:sz w:val="16"/>
                <w:szCs w:val="16"/>
                <w:color w:val="auto"/>
                <w:vertAlign w:val="superscript"/>
              </w:rPr>
              <w:t>(1)</w:t>
            </w:r>
          </w:p>
        </w:tc>
        <w:tc>
          <w:tcPr>
            <w:tcW w:w="540" w:type="dxa"/>
            <w:vAlign w:val="bottom"/>
          </w:tcPr>
          <w:p>
            <w:pPr>
              <w:jc w:val="right"/>
              <w:ind w:right="156"/>
              <w:spacing w:after="0"/>
              <w:rPr>
                <w:sz w:val="20"/>
                <w:szCs w:val="20"/>
                <w:color w:val="auto"/>
              </w:rPr>
            </w:pPr>
            <w:r>
              <w:rPr>
                <w:rFonts w:ascii="Arial" w:cs="Arial" w:eastAsia="Arial" w:hAnsi="Arial"/>
                <w:sz w:val="13"/>
                <w:szCs w:val="13"/>
                <w:color w:val="auto"/>
              </w:rPr>
              <w:t>Total</w:t>
            </w:r>
          </w:p>
        </w:tc>
        <w:tc>
          <w:tcPr>
            <w:tcW w:w="0" w:type="dxa"/>
            <w:vAlign w:val="bottom"/>
          </w:tcPr>
          <w:p>
            <w:pPr>
              <w:spacing w:after="0"/>
              <w:rPr>
                <w:sz w:val="1"/>
                <w:szCs w:val="1"/>
                <w:color w:val="auto"/>
              </w:rPr>
            </w:pPr>
          </w:p>
        </w:tc>
      </w:tr>
      <w:tr>
        <w:trPr>
          <w:trHeight w:val="169"/>
        </w:trPr>
        <w:tc>
          <w:tcPr>
            <w:tcW w:w="3480" w:type="dxa"/>
            <w:vAlign w:val="bottom"/>
          </w:tcPr>
          <w:p>
            <w:pPr>
              <w:spacing w:after="0"/>
              <w:rPr>
                <w:sz w:val="20"/>
                <w:szCs w:val="20"/>
                <w:color w:val="auto"/>
              </w:rPr>
            </w:pPr>
            <w:r>
              <w:rPr>
                <w:rFonts w:ascii="Arial" w:cs="Arial" w:eastAsia="Arial" w:hAnsi="Arial"/>
                <w:sz w:val="13"/>
                <w:szCs w:val="13"/>
                <w:color w:val="auto"/>
              </w:rPr>
              <w:t>Committed near-term project:</w:t>
            </w:r>
          </w:p>
        </w:tc>
        <w:tc>
          <w:tcPr>
            <w:tcW w:w="1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3480" w:type="dxa"/>
            <w:vAlign w:val="bottom"/>
          </w:tcPr>
          <w:p>
            <w:pPr>
              <w:ind w:left="100"/>
              <w:spacing w:after="0"/>
              <w:rPr>
                <w:sz w:val="20"/>
                <w:szCs w:val="20"/>
                <w:color w:val="auto"/>
              </w:rPr>
            </w:pPr>
            <w:r>
              <w:rPr>
                <w:rFonts w:ascii="Arial" w:cs="Arial" w:eastAsia="Arial" w:hAnsi="Arial"/>
                <w:sz w:val="13"/>
                <w:szCs w:val="13"/>
                <w:color w:val="auto"/>
              </w:rPr>
              <w:t>4161 Campus Point Court/University Town Center</w:t>
            </w:r>
          </w:p>
        </w:tc>
        <w:tc>
          <w:tcPr>
            <w:tcW w:w="1000" w:type="dxa"/>
            <w:vAlign w:val="bottom"/>
          </w:tcPr>
          <w:p>
            <w:pPr>
              <w:jc w:val="center"/>
              <w:ind w:left="16"/>
              <w:spacing w:after="0"/>
              <w:rPr>
                <w:sz w:val="20"/>
                <w:szCs w:val="20"/>
                <w:color w:val="auto"/>
              </w:rPr>
            </w:pPr>
            <w:r>
              <w:rPr>
                <w:rFonts w:ascii="Arial" w:cs="Arial" w:eastAsia="Arial" w:hAnsi="Arial"/>
                <w:sz w:val="13"/>
                <w:szCs w:val="13"/>
                <w:color w:val="auto"/>
              </w:rPr>
              <w:t>Dev</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36"/>
              <w:spacing w:after="0"/>
              <w:rPr>
                <w:sz w:val="20"/>
                <w:szCs w:val="20"/>
                <w:color w:val="auto"/>
              </w:rPr>
            </w:pPr>
            <w:r>
              <w:rPr>
                <w:rFonts w:ascii="Arial" w:cs="Arial" w:eastAsia="Arial" w:hAnsi="Arial"/>
                <w:sz w:val="13"/>
                <w:szCs w:val="13"/>
                <w:color w:val="auto"/>
              </w:rPr>
              <w:t>159,884</w:t>
            </w:r>
          </w:p>
        </w:tc>
        <w:tc>
          <w:tcPr>
            <w:tcW w:w="1140" w:type="dxa"/>
            <w:vAlign w:val="bottom"/>
          </w:tcPr>
          <w:p>
            <w:pPr>
              <w:jc w:val="right"/>
              <w:ind w:right="276"/>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159,884</w:t>
            </w:r>
          </w:p>
        </w:tc>
        <w:tc>
          <w:tcPr>
            <w:tcW w:w="0" w:type="dxa"/>
            <w:vAlign w:val="bottom"/>
          </w:tcPr>
          <w:p>
            <w:pPr>
              <w:spacing w:after="0"/>
              <w:rPr>
                <w:sz w:val="1"/>
                <w:szCs w:val="1"/>
                <w:color w:val="auto"/>
              </w:rPr>
            </w:pPr>
          </w:p>
        </w:tc>
      </w:tr>
      <w:tr>
        <w:trPr>
          <w:trHeight w:val="408"/>
        </w:trPr>
        <w:tc>
          <w:tcPr>
            <w:tcW w:w="3480" w:type="dxa"/>
            <w:vAlign w:val="bottom"/>
          </w:tcPr>
          <w:p>
            <w:pPr>
              <w:spacing w:after="0"/>
              <w:rPr>
                <w:sz w:val="20"/>
                <w:szCs w:val="20"/>
                <w:color w:val="auto"/>
              </w:rPr>
            </w:pPr>
            <w:r>
              <w:rPr>
                <w:rFonts w:ascii="Arial" w:cs="Arial" w:eastAsia="Arial" w:hAnsi="Arial"/>
                <w:sz w:val="13"/>
                <w:szCs w:val="13"/>
                <w:color w:val="auto"/>
              </w:rPr>
              <w:t>Priority anticipated projects:</w:t>
            </w:r>
          </w:p>
        </w:tc>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3480" w:type="dxa"/>
            <w:vAlign w:val="bottom"/>
          </w:tcPr>
          <w:p>
            <w:pPr>
              <w:ind w:left="100"/>
              <w:spacing w:after="0"/>
              <w:rPr>
                <w:sz w:val="20"/>
                <w:szCs w:val="20"/>
                <w:color w:val="auto"/>
              </w:rPr>
            </w:pPr>
            <w:r>
              <w:rPr>
                <w:rFonts w:ascii="Arial" w:cs="Arial" w:eastAsia="Arial" w:hAnsi="Arial"/>
                <w:sz w:val="13"/>
                <w:szCs w:val="13"/>
                <w:color w:val="auto"/>
              </w:rPr>
              <w:t>311 Arsenal Street/Cambridge/Inner Suburbs</w:t>
            </w:r>
          </w:p>
        </w:tc>
        <w:tc>
          <w:tcPr>
            <w:tcW w:w="1000" w:type="dxa"/>
            <w:vAlign w:val="bottom"/>
          </w:tcPr>
          <w:p>
            <w:pPr>
              <w:jc w:val="center"/>
              <w:ind w:left="16"/>
              <w:spacing w:after="0"/>
              <w:rPr>
                <w:sz w:val="20"/>
                <w:szCs w:val="20"/>
                <w:color w:val="auto"/>
              </w:rPr>
            </w:pPr>
            <w:r>
              <w:rPr>
                <w:rFonts w:ascii="Arial" w:cs="Arial" w:eastAsia="Arial" w:hAnsi="Arial"/>
                <w:sz w:val="13"/>
                <w:szCs w:val="13"/>
                <w:color w:val="auto"/>
                <w:w w:val="95"/>
              </w:rPr>
              <w:t>Redev</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36"/>
              <w:spacing w:after="0"/>
              <w:rPr>
                <w:sz w:val="20"/>
                <w:szCs w:val="20"/>
                <w:color w:val="auto"/>
              </w:rPr>
            </w:pPr>
            <w:r>
              <w:rPr>
                <w:rFonts w:ascii="Arial" w:cs="Arial" w:eastAsia="Arial" w:hAnsi="Arial"/>
                <w:sz w:val="13"/>
                <w:szCs w:val="13"/>
                <w:color w:val="auto"/>
              </w:rPr>
              <w:t>25,312</w:t>
            </w:r>
          </w:p>
        </w:tc>
        <w:tc>
          <w:tcPr>
            <w:tcW w:w="1140" w:type="dxa"/>
            <w:vAlign w:val="bottom"/>
          </w:tcPr>
          <w:p>
            <w:pPr>
              <w:jc w:val="right"/>
              <w:ind w:right="276"/>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25,312</w:t>
            </w:r>
          </w:p>
        </w:tc>
        <w:tc>
          <w:tcPr>
            <w:tcW w:w="0" w:type="dxa"/>
            <w:vAlign w:val="bottom"/>
          </w:tcPr>
          <w:p>
            <w:pPr>
              <w:spacing w:after="0"/>
              <w:rPr>
                <w:sz w:val="1"/>
                <w:szCs w:val="1"/>
                <w:color w:val="auto"/>
              </w:rPr>
            </w:pPr>
          </w:p>
        </w:tc>
      </w:tr>
      <w:tr>
        <w:trPr>
          <w:trHeight w:val="204"/>
        </w:trPr>
        <w:tc>
          <w:tcPr>
            <w:tcW w:w="3480" w:type="dxa"/>
            <w:vAlign w:val="bottom"/>
          </w:tcPr>
          <w:p>
            <w:pPr>
              <w:ind w:left="100"/>
              <w:spacing w:after="0"/>
              <w:rPr>
                <w:sz w:val="20"/>
                <w:szCs w:val="20"/>
                <w:color w:val="auto"/>
              </w:rPr>
            </w:pPr>
            <w:r>
              <w:rPr>
                <w:rFonts w:ascii="Arial" w:cs="Arial" w:eastAsia="Arial" w:hAnsi="Arial"/>
                <w:sz w:val="13"/>
                <w:szCs w:val="13"/>
                <w:color w:val="auto"/>
              </w:rPr>
              <w:t>269 East Grand Avenue/South San Francisco</w:t>
            </w:r>
          </w:p>
        </w:tc>
        <w:tc>
          <w:tcPr>
            <w:tcW w:w="1000" w:type="dxa"/>
            <w:vAlign w:val="bottom"/>
          </w:tcPr>
          <w:p>
            <w:pPr>
              <w:jc w:val="center"/>
              <w:ind w:left="16"/>
              <w:spacing w:after="0"/>
              <w:rPr>
                <w:sz w:val="20"/>
                <w:szCs w:val="20"/>
                <w:color w:val="auto"/>
              </w:rPr>
            </w:pPr>
            <w:r>
              <w:rPr>
                <w:rFonts w:ascii="Arial" w:cs="Arial" w:eastAsia="Arial" w:hAnsi="Arial"/>
                <w:sz w:val="13"/>
                <w:szCs w:val="13"/>
                <w:color w:val="auto"/>
                <w:w w:val="95"/>
              </w:rPr>
              <w:t>Redev</w:t>
            </w:r>
          </w:p>
        </w:tc>
        <w:tc>
          <w:tcPr>
            <w:tcW w:w="620" w:type="dxa"/>
            <w:vAlign w:val="bottom"/>
          </w:tcPr>
          <w:p>
            <w:pPr>
              <w:jc w:val="right"/>
              <w:spacing w:after="0"/>
              <w:rPr>
                <w:sz w:val="20"/>
                <w:szCs w:val="20"/>
                <w:color w:val="auto"/>
              </w:rPr>
            </w:pPr>
            <w:r>
              <w:rPr>
                <w:rFonts w:ascii="Arial" w:cs="Arial" w:eastAsia="Arial" w:hAnsi="Arial"/>
                <w:sz w:val="13"/>
                <w:szCs w:val="13"/>
                <w:color w:val="auto"/>
              </w:rPr>
              <w:t>107,250</w:t>
            </w:r>
          </w:p>
        </w:tc>
        <w:tc>
          <w:tcPr>
            <w:tcW w:w="86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276"/>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107,250</w:t>
            </w:r>
          </w:p>
        </w:tc>
        <w:tc>
          <w:tcPr>
            <w:tcW w:w="0" w:type="dxa"/>
            <w:vAlign w:val="bottom"/>
          </w:tcPr>
          <w:p>
            <w:pPr>
              <w:spacing w:after="0"/>
              <w:rPr>
                <w:sz w:val="1"/>
                <w:szCs w:val="1"/>
                <w:color w:val="auto"/>
              </w:rPr>
            </w:pPr>
          </w:p>
        </w:tc>
      </w:tr>
      <w:tr>
        <w:trPr>
          <w:trHeight w:val="204"/>
        </w:trPr>
        <w:tc>
          <w:tcPr>
            <w:tcW w:w="3480" w:type="dxa"/>
            <w:vAlign w:val="bottom"/>
          </w:tcPr>
          <w:p>
            <w:pPr>
              <w:ind w:left="100"/>
              <w:spacing w:after="0"/>
              <w:rPr>
                <w:sz w:val="20"/>
                <w:szCs w:val="20"/>
                <w:color w:val="auto"/>
              </w:rPr>
            </w:pPr>
            <w:r>
              <w:rPr>
                <w:rFonts w:ascii="Arial" w:cs="Arial" w:eastAsia="Arial" w:hAnsi="Arial"/>
                <w:sz w:val="13"/>
                <w:szCs w:val="13"/>
                <w:color w:val="auto"/>
              </w:rPr>
              <w:t>3301 Monte Villa Parkway/Bothell</w:t>
            </w:r>
          </w:p>
        </w:tc>
        <w:tc>
          <w:tcPr>
            <w:tcW w:w="1000" w:type="dxa"/>
            <w:vAlign w:val="bottom"/>
          </w:tcPr>
          <w:p>
            <w:pPr>
              <w:jc w:val="center"/>
              <w:ind w:left="16"/>
              <w:spacing w:after="0"/>
              <w:rPr>
                <w:sz w:val="20"/>
                <w:szCs w:val="20"/>
                <w:color w:val="auto"/>
              </w:rPr>
            </w:pPr>
            <w:r>
              <w:rPr>
                <w:rFonts w:ascii="Arial" w:cs="Arial" w:eastAsia="Arial" w:hAnsi="Arial"/>
                <w:sz w:val="13"/>
                <w:szCs w:val="13"/>
                <w:color w:val="auto"/>
                <w:w w:val="95"/>
              </w:rPr>
              <w:t>Redev</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36"/>
              <w:spacing w:after="0"/>
              <w:rPr>
                <w:sz w:val="20"/>
                <w:szCs w:val="20"/>
                <w:color w:val="auto"/>
              </w:rPr>
            </w:pPr>
            <w:r>
              <w:rPr>
                <w:rFonts w:ascii="Arial" w:cs="Arial" w:eastAsia="Arial" w:hAnsi="Arial"/>
                <w:sz w:val="13"/>
                <w:szCs w:val="13"/>
                <w:color w:val="auto"/>
              </w:rPr>
              <w:t>50,552</w:t>
            </w:r>
          </w:p>
        </w:tc>
        <w:tc>
          <w:tcPr>
            <w:tcW w:w="1140" w:type="dxa"/>
            <w:vAlign w:val="bottom"/>
          </w:tcPr>
          <w:p>
            <w:pPr>
              <w:jc w:val="right"/>
              <w:ind w:right="276"/>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50,552</w:t>
            </w:r>
          </w:p>
        </w:tc>
        <w:tc>
          <w:tcPr>
            <w:tcW w:w="0" w:type="dxa"/>
            <w:vAlign w:val="bottom"/>
          </w:tcPr>
          <w:p>
            <w:pPr>
              <w:spacing w:after="0"/>
              <w:rPr>
                <w:sz w:val="1"/>
                <w:szCs w:val="1"/>
                <w:color w:val="auto"/>
              </w:rPr>
            </w:pPr>
          </w:p>
        </w:tc>
      </w:tr>
      <w:tr>
        <w:trPr>
          <w:trHeight w:val="204"/>
        </w:trPr>
        <w:tc>
          <w:tcPr>
            <w:tcW w:w="3480" w:type="dxa"/>
            <w:vAlign w:val="bottom"/>
          </w:tcPr>
          <w:p>
            <w:pPr>
              <w:ind w:left="100"/>
              <w:spacing w:after="0"/>
              <w:rPr>
                <w:sz w:val="20"/>
                <w:szCs w:val="20"/>
                <w:color w:val="auto"/>
              </w:rPr>
            </w:pPr>
            <w:r>
              <w:rPr>
                <w:rFonts w:ascii="Arial" w:cs="Arial" w:eastAsia="Arial" w:hAnsi="Arial"/>
                <w:sz w:val="13"/>
                <w:szCs w:val="13"/>
                <w:color w:val="auto"/>
              </w:rPr>
              <w:t>1020 Red River Street/Austin</w:t>
            </w:r>
          </w:p>
        </w:tc>
        <w:tc>
          <w:tcPr>
            <w:tcW w:w="1000" w:type="dxa"/>
            <w:vAlign w:val="bottom"/>
          </w:tcPr>
          <w:p>
            <w:pPr>
              <w:jc w:val="center"/>
              <w:ind w:left="16"/>
              <w:spacing w:after="0"/>
              <w:rPr>
                <w:sz w:val="20"/>
                <w:szCs w:val="20"/>
                <w:color w:val="auto"/>
              </w:rPr>
            </w:pPr>
            <w:r>
              <w:rPr>
                <w:rFonts w:ascii="Arial" w:cs="Arial" w:eastAsia="Arial" w:hAnsi="Arial"/>
                <w:sz w:val="13"/>
                <w:szCs w:val="13"/>
                <w:color w:val="auto"/>
                <w:w w:val="95"/>
              </w:rPr>
              <w:t>Redev</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36"/>
              <w:spacing w:after="0"/>
              <w:rPr>
                <w:sz w:val="20"/>
                <w:szCs w:val="20"/>
                <w:color w:val="auto"/>
              </w:rPr>
            </w:pPr>
            <w:r>
              <w:rPr>
                <w:rFonts w:ascii="Arial" w:cs="Arial" w:eastAsia="Arial" w:hAnsi="Arial"/>
                <w:sz w:val="13"/>
                <w:szCs w:val="13"/>
                <w:color w:val="auto"/>
              </w:rPr>
              <w:t>126,034</w:t>
            </w:r>
          </w:p>
        </w:tc>
        <w:tc>
          <w:tcPr>
            <w:tcW w:w="1140" w:type="dxa"/>
            <w:vAlign w:val="bottom"/>
          </w:tcPr>
          <w:p>
            <w:pPr>
              <w:jc w:val="right"/>
              <w:ind w:right="276"/>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126,034</w:t>
            </w:r>
          </w:p>
        </w:tc>
        <w:tc>
          <w:tcPr>
            <w:tcW w:w="0" w:type="dxa"/>
            <w:vAlign w:val="bottom"/>
          </w:tcPr>
          <w:p>
            <w:pPr>
              <w:spacing w:after="0"/>
              <w:rPr>
                <w:sz w:val="1"/>
                <w:szCs w:val="1"/>
                <w:color w:val="auto"/>
              </w:rPr>
            </w:pPr>
          </w:p>
        </w:tc>
      </w:tr>
      <w:tr>
        <w:trPr>
          <w:trHeight w:val="204"/>
        </w:trPr>
        <w:tc>
          <w:tcPr>
            <w:tcW w:w="3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107,250</w:t>
            </w:r>
          </w:p>
        </w:tc>
        <w:tc>
          <w:tcPr>
            <w:tcW w:w="860" w:type="dxa"/>
            <w:vAlign w:val="bottom"/>
          </w:tcPr>
          <w:p>
            <w:pPr>
              <w:jc w:val="right"/>
              <w:ind w:right="36"/>
              <w:spacing w:after="0"/>
              <w:rPr>
                <w:sz w:val="20"/>
                <w:szCs w:val="20"/>
                <w:color w:val="auto"/>
              </w:rPr>
            </w:pPr>
            <w:r>
              <w:rPr>
                <w:rFonts w:ascii="Arial" w:cs="Arial" w:eastAsia="Arial" w:hAnsi="Arial"/>
                <w:sz w:val="13"/>
                <w:szCs w:val="13"/>
                <w:color w:val="auto"/>
              </w:rPr>
              <w:t>201,898</w:t>
            </w:r>
          </w:p>
        </w:tc>
        <w:tc>
          <w:tcPr>
            <w:tcW w:w="1140" w:type="dxa"/>
            <w:vAlign w:val="bottom"/>
          </w:tcPr>
          <w:p>
            <w:pPr>
              <w:jc w:val="right"/>
              <w:ind w:right="276"/>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309,148</w:t>
            </w:r>
          </w:p>
        </w:tc>
        <w:tc>
          <w:tcPr>
            <w:tcW w:w="0" w:type="dxa"/>
            <w:vAlign w:val="bottom"/>
          </w:tcPr>
          <w:p>
            <w:pPr>
              <w:spacing w:after="0"/>
              <w:rPr>
                <w:sz w:val="1"/>
                <w:szCs w:val="1"/>
                <w:color w:val="auto"/>
              </w:rPr>
            </w:pPr>
          </w:p>
        </w:tc>
      </w:tr>
      <w:tr>
        <w:trPr>
          <w:trHeight w:val="204"/>
        </w:trPr>
        <w:tc>
          <w:tcPr>
            <w:tcW w:w="3480" w:type="dxa"/>
            <w:vAlign w:val="bottom"/>
          </w:tcPr>
          <w:p>
            <w:pPr>
              <w:spacing w:after="0"/>
              <w:rPr>
                <w:sz w:val="20"/>
                <w:szCs w:val="20"/>
                <w:color w:val="auto"/>
              </w:rPr>
            </w:pPr>
            <w:r>
              <w:rPr>
                <w:rFonts w:ascii="Arial" w:cs="Arial" w:eastAsia="Arial" w:hAnsi="Arial"/>
                <w:sz w:val="13"/>
                <w:szCs w:val="13"/>
                <w:color w:val="auto"/>
              </w:rPr>
              <w:t>Future projects:</w:t>
            </w:r>
          </w:p>
        </w:tc>
        <w:tc>
          <w:tcPr>
            <w:tcW w:w="10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480" w:type="dxa"/>
            <w:vAlign w:val="bottom"/>
          </w:tcPr>
          <w:p>
            <w:pPr>
              <w:ind w:left="80"/>
              <w:spacing w:after="0"/>
              <w:rPr>
                <w:sz w:val="20"/>
                <w:szCs w:val="20"/>
                <w:color w:val="auto"/>
              </w:rPr>
            </w:pPr>
            <w:r>
              <w:rPr>
                <w:rFonts w:ascii="Arial" w:cs="Arial" w:eastAsia="Arial" w:hAnsi="Arial"/>
                <w:sz w:val="13"/>
                <w:szCs w:val="13"/>
                <w:color w:val="auto"/>
              </w:rPr>
              <w:t>100 Edwin H. Land Boulevard/Cambridge</w:t>
            </w:r>
          </w:p>
        </w:tc>
        <w:tc>
          <w:tcPr>
            <w:tcW w:w="1000" w:type="dxa"/>
            <w:vAlign w:val="bottom"/>
          </w:tcPr>
          <w:p>
            <w:pPr>
              <w:jc w:val="center"/>
              <w:ind w:left="16"/>
              <w:spacing w:after="0"/>
              <w:rPr>
                <w:sz w:val="20"/>
                <w:szCs w:val="20"/>
                <w:color w:val="auto"/>
              </w:rPr>
            </w:pPr>
            <w:r>
              <w:rPr>
                <w:rFonts w:ascii="Arial" w:cs="Arial" w:eastAsia="Arial" w:hAnsi="Arial"/>
                <w:sz w:val="13"/>
                <w:szCs w:val="13"/>
                <w:color w:val="auto"/>
              </w:rPr>
              <w:t>Dev</w:t>
            </w:r>
          </w:p>
        </w:tc>
        <w:tc>
          <w:tcPr>
            <w:tcW w:w="620" w:type="dxa"/>
            <w:vAlign w:val="bottom"/>
          </w:tcPr>
          <w:p>
            <w:pPr>
              <w:jc w:val="right"/>
              <w:spacing w:after="0"/>
              <w:rPr>
                <w:sz w:val="20"/>
                <w:szCs w:val="20"/>
                <w:color w:val="auto"/>
              </w:rPr>
            </w:pPr>
            <w:r>
              <w:rPr>
                <w:rFonts w:ascii="Arial" w:cs="Arial" w:eastAsia="Arial" w:hAnsi="Arial"/>
                <w:sz w:val="13"/>
                <w:szCs w:val="13"/>
                <w:color w:val="auto"/>
              </w:rPr>
              <w:t>104,500</w:t>
            </w:r>
          </w:p>
        </w:tc>
        <w:tc>
          <w:tcPr>
            <w:tcW w:w="86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276"/>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104,500</w:t>
            </w:r>
          </w:p>
        </w:tc>
        <w:tc>
          <w:tcPr>
            <w:tcW w:w="0" w:type="dxa"/>
            <w:vAlign w:val="bottom"/>
          </w:tcPr>
          <w:p>
            <w:pPr>
              <w:spacing w:after="0"/>
              <w:rPr>
                <w:sz w:val="1"/>
                <w:szCs w:val="1"/>
                <w:color w:val="auto"/>
              </w:rPr>
            </w:pPr>
          </w:p>
        </w:tc>
      </w:tr>
      <w:tr>
        <w:trPr>
          <w:trHeight w:val="164"/>
        </w:trPr>
        <w:tc>
          <w:tcPr>
            <w:tcW w:w="3480" w:type="dxa"/>
            <w:vAlign w:val="bottom"/>
          </w:tcPr>
          <w:p>
            <w:pPr>
              <w:ind w:left="80"/>
              <w:spacing w:after="0"/>
              <w:rPr>
                <w:sz w:val="20"/>
                <w:szCs w:val="20"/>
                <w:color w:val="auto"/>
              </w:rPr>
            </w:pPr>
            <w:r>
              <w:rPr>
                <w:rFonts w:ascii="Arial" w:cs="Arial" w:eastAsia="Arial" w:hAnsi="Arial"/>
                <w:sz w:val="13"/>
                <w:szCs w:val="13"/>
                <w:color w:val="auto"/>
              </w:rPr>
              <w:t>446, 458, 500, and 550 Arsenal Street/Cambridge/Inner</w:t>
            </w:r>
          </w:p>
        </w:tc>
        <w:tc>
          <w:tcPr>
            <w:tcW w:w="1000" w:type="dxa"/>
            <w:vAlign w:val="bottom"/>
            <w:vMerge w:val="restart"/>
          </w:tcPr>
          <w:p>
            <w:pPr>
              <w:jc w:val="center"/>
              <w:ind w:left="16"/>
              <w:spacing w:after="0"/>
              <w:rPr>
                <w:sz w:val="20"/>
                <w:szCs w:val="20"/>
                <w:color w:val="auto"/>
              </w:rPr>
            </w:pPr>
            <w:r>
              <w:rPr>
                <w:rFonts w:ascii="Arial" w:cs="Arial" w:eastAsia="Arial" w:hAnsi="Arial"/>
                <w:sz w:val="13"/>
                <w:szCs w:val="13"/>
                <w:color w:val="auto"/>
              </w:rPr>
              <w:t>Dev</w:t>
            </w: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60" w:type="dxa"/>
            <w:vAlign w:val="bottom"/>
            <w:vMerge w:val="restart"/>
          </w:tcPr>
          <w:p>
            <w:pPr>
              <w:jc w:val="right"/>
              <w:ind w:right="36"/>
              <w:spacing w:after="0"/>
              <w:rPr>
                <w:sz w:val="20"/>
                <w:szCs w:val="20"/>
                <w:color w:val="auto"/>
              </w:rPr>
            </w:pPr>
            <w:r>
              <w:rPr>
                <w:rFonts w:ascii="Arial" w:cs="Arial" w:eastAsia="Arial" w:hAnsi="Arial"/>
                <w:sz w:val="13"/>
                <w:szCs w:val="13"/>
                <w:color w:val="auto"/>
              </w:rPr>
              <w:t>—</w:t>
            </w:r>
          </w:p>
        </w:tc>
        <w:tc>
          <w:tcPr>
            <w:tcW w:w="1140" w:type="dxa"/>
            <w:vAlign w:val="bottom"/>
            <w:vMerge w:val="restart"/>
          </w:tcPr>
          <w:p>
            <w:pPr>
              <w:jc w:val="right"/>
              <w:ind w:right="276"/>
              <w:spacing w:after="0"/>
              <w:rPr>
                <w:sz w:val="20"/>
                <w:szCs w:val="20"/>
                <w:color w:val="auto"/>
              </w:rPr>
            </w:pPr>
            <w:r>
              <w:rPr>
                <w:rFonts w:ascii="Arial" w:cs="Arial" w:eastAsia="Arial" w:hAnsi="Arial"/>
                <w:sz w:val="13"/>
                <w:szCs w:val="13"/>
                <w:color w:val="auto"/>
              </w:rPr>
              <w:t>376,698</w:t>
            </w: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376,698</w:t>
            </w:r>
          </w:p>
        </w:tc>
        <w:tc>
          <w:tcPr>
            <w:tcW w:w="0" w:type="dxa"/>
            <w:vAlign w:val="bottom"/>
          </w:tcPr>
          <w:p>
            <w:pPr>
              <w:spacing w:after="0"/>
              <w:rPr>
                <w:sz w:val="1"/>
                <w:szCs w:val="1"/>
                <w:color w:val="auto"/>
              </w:rPr>
            </w:pPr>
          </w:p>
        </w:tc>
      </w:tr>
      <w:tr>
        <w:trPr>
          <w:trHeight w:val="169"/>
        </w:trPr>
        <w:tc>
          <w:tcPr>
            <w:tcW w:w="3480" w:type="dxa"/>
            <w:vAlign w:val="bottom"/>
          </w:tcPr>
          <w:p>
            <w:pPr>
              <w:ind w:left="220"/>
              <w:spacing w:after="0"/>
              <w:rPr>
                <w:sz w:val="20"/>
                <w:szCs w:val="20"/>
                <w:color w:val="auto"/>
              </w:rPr>
            </w:pPr>
            <w:r>
              <w:rPr>
                <w:rFonts w:ascii="Arial" w:cs="Arial" w:eastAsia="Arial" w:hAnsi="Arial"/>
                <w:sz w:val="13"/>
                <w:szCs w:val="13"/>
                <w:color w:val="auto"/>
              </w:rPr>
              <w:t>Suburbs</w:t>
            </w:r>
          </w:p>
        </w:tc>
        <w:tc>
          <w:tcPr>
            <w:tcW w:w="100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3480" w:type="dxa"/>
            <w:vAlign w:val="bottom"/>
          </w:tcPr>
          <w:p>
            <w:pPr>
              <w:ind w:left="100"/>
              <w:spacing w:after="0"/>
              <w:rPr>
                <w:sz w:val="20"/>
                <w:szCs w:val="20"/>
                <w:color w:val="auto"/>
              </w:rPr>
            </w:pPr>
            <w:r>
              <w:rPr>
                <w:rFonts w:ascii="Arial" w:cs="Arial" w:eastAsia="Arial" w:hAnsi="Arial"/>
                <w:sz w:val="13"/>
                <w:szCs w:val="13"/>
                <w:color w:val="auto"/>
              </w:rPr>
              <w:t>Other/Greater Boston</w:t>
            </w:r>
          </w:p>
        </w:tc>
        <w:tc>
          <w:tcPr>
            <w:tcW w:w="1000" w:type="dxa"/>
            <w:vAlign w:val="bottom"/>
          </w:tcPr>
          <w:p>
            <w:pPr>
              <w:jc w:val="center"/>
              <w:ind w:left="16"/>
              <w:spacing w:after="0"/>
              <w:rPr>
                <w:sz w:val="20"/>
                <w:szCs w:val="20"/>
                <w:color w:val="auto"/>
              </w:rPr>
            </w:pPr>
            <w:r>
              <w:rPr>
                <w:rFonts w:ascii="Arial" w:cs="Arial" w:eastAsia="Arial" w:hAnsi="Arial"/>
                <w:sz w:val="13"/>
                <w:szCs w:val="13"/>
                <w:color w:val="auto"/>
                <w:w w:val="95"/>
              </w:rPr>
              <w:t>Redev</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276"/>
              <w:spacing w:after="0"/>
              <w:rPr>
                <w:sz w:val="20"/>
                <w:szCs w:val="20"/>
                <w:color w:val="auto"/>
              </w:rPr>
            </w:pPr>
            <w:r>
              <w:rPr>
                <w:rFonts w:ascii="Arial" w:cs="Arial" w:eastAsia="Arial" w:hAnsi="Arial"/>
                <w:sz w:val="13"/>
                <w:szCs w:val="13"/>
                <w:color w:val="auto"/>
              </w:rPr>
              <w:t>167,549</w:t>
            </w:r>
          </w:p>
        </w:tc>
        <w:tc>
          <w:tcPr>
            <w:tcW w:w="540" w:type="dxa"/>
            <w:vAlign w:val="bottom"/>
          </w:tcPr>
          <w:p>
            <w:pPr>
              <w:jc w:val="right"/>
              <w:spacing w:after="0"/>
              <w:rPr>
                <w:sz w:val="20"/>
                <w:szCs w:val="20"/>
                <w:color w:val="auto"/>
              </w:rPr>
            </w:pPr>
            <w:r>
              <w:rPr>
                <w:rFonts w:ascii="Arial" w:cs="Arial" w:eastAsia="Arial" w:hAnsi="Arial"/>
                <w:sz w:val="13"/>
                <w:szCs w:val="13"/>
                <w:color w:val="auto"/>
              </w:rPr>
              <w:t>167,549</w:t>
            </w:r>
          </w:p>
        </w:tc>
        <w:tc>
          <w:tcPr>
            <w:tcW w:w="0" w:type="dxa"/>
            <w:vAlign w:val="bottom"/>
          </w:tcPr>
          <w:p>
            <w:pPr>
              <w:spacing w:after="0"/>
              <w:rPr>
                <w:sz w:val="1"/>
                <w:szCs w:val="1"/>
                <w:color w:val="auto"/>
              </w:rPr>
            </w:pPr>
          </w:p>
        </w:tc>
      </w:tr>
      <w:tr>
        <w:trPr>
          <w:trHeight w:val="204"/>
        </w:trPr>
        <w:tc>
          <w:tcPr>
            <w:tcW w:w="3480" w:type="dxa"/>
            <w:vAlign w:val="bottom"/>
          </w:tcPr>
          <w:p>
            <w:pPr>
              <w:ind w:left="100"/>
              <w:spacing w:after="0"/>
              <w:rPr>
                <w:sz w:val="20"/>
                <w:szCs w:val="20"/>
                <w:color w:val="auto"/>
              </w:rPr>
            </w:pPr>
            <w:r>
              <w:rPr>
                <w:rFonts w:ascii="Arial" w:cs="Arial" w:eastAsia="Arial" w:hAnsi="Arial"/>
                <w:sz w:val="13"/>
                <w:szCs w:val="13"/>
                <w:color w:val="auto"/>
              </w:rPr>
              <w:t>1122 and 1150 El Camino Real/South San Francisco</w:t>
            </w:r>
          </w:p>
        </w:tc>
        <w:tc>
          <w:tcPr>
            <w:tcW w:w="1000" w:type="dxa"/>
            <w:vAlign w:val="bottom"/>
          </w:tcPr>
          <w:p>
            <w:pPr>
              <w:jc w:val="center"/>
              <w:ind w:left="16"/>
              <w:spacing w:after="0"/>
              <w:rPr>
                <w:sz w:val="20"/>
                <w:szCs w:val="20"/>
                <w:color w:val="auto"/>
              </w:rPr>
            </w:pPr>
            <w:r>
              <w:rPr>
                <w:rFonts w:ascii="Arial" w:cs="Arial" w:eastAsia="Arial" w:hAnsi="Arial"/>
                <w:sz w:val="13"/>
                <w:szCs w:val="13"/>
                <w:color w:val="auto"/>
              </w:rPr>
              <w:t>Dev</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276"/>
              <w:spacing w:after="0"/>
              <w:rPr>
                <w:sz w:val="20"/>
                <w:szCs w:val="20"/>
                <w:color w:val="auto"/>
              </w:rPr>
            </w:pPr>
            <w:r>
              <w:rPr>
                <w:rFonts w:ascii="Arial" w:cs="Arial" w:eastAsia="Arial" w:hAnsi="Arial"/>
                <w:sz w:val="13"/>
                <w:szCs w:val="13"/>
                <w:color w:val="auto"/>
              </w:rPr>
              <w:t>375,232</w:t>
            </w:r>
          </w:p>
        </w:tc>
        <w:tc>
          <w:tcPr>
            <w:tcW w:w="540" w:type="dxa"/>
            <w:vAlign w:val="bottom"/>
          </w:tcPr>
          <w:p>
            <w:pPr>
              <w:jc w:val="right"/>
              <w:spacing w:after="0"/>
              <w:rPr>
                <w:sz w:val="20"/>
                <w:szCs w:val="20"/>
                <w:color w:val="auto"/>
              </w:rPr>
            </w:pPr>
            <w:r>
              <w:rPr>
                <w:rFonts w:ascii="Arial" w:cs="Arial" w:eastAsia="Arial" w:hAnsi="Arial"/>
                <w:sz w:val="13"/>
                <w:szCs w:val="13"/>
                <w:color w:val="auto"/>
              </w:rPr>
              <w:t>375,232</w:t>
            </w:r>
          </w:p>
        </w:tc>
        <w:tc>
          <w:tcPr>
            <w:tcW w:w="0" w:type="dxa"/>
            <w:vAlign w:val="bottom"/>
          </w:tcPr>
          <w:p>
            <w:pPr>
              <w:spacing w:after="0"/>
              <w:rPr>
                <w:sz w:val="1"/>
                <w:szCs w:val="1"/>
                <w:color w:val="auto"/>
              </w:rPr>
            </w:pPr>
          </w:p>
        </w:tc>
      </w:tr>
      <w:tr>
        <w:trPr>
          <w:trHeight w:val="204"/>
        </w:trPr>
        <w:tc>
          <w:tcPr>
            <w:tcW w:w="3480" w:type="dxa"/>
            <w:vAlign w:val="bottom"/>
          </w:tcPr>
          <w:p>
            <w:pPr>
              <w:ind w:left="100"/>
              <w:spacing w:after="0"/>
              <w:rPr>
                <w:sz w:val="20"/>
                <w:szCs w:val="20"/>
                <w:color w:val="auto"/>
              </w:rPr>
            </w:pPr>
            <w:r>
              <w:rPr>
                <w:rFonts w:ascii="Arial" w:cs="Arial" w:eastAsia="Arial" w:hAnsi="Arial"/>
                <w:sz w:val="13"/>
                <w:szCs w:val="13"/>
                <w:color w:val="auto"/>
              </w:rPr>
              <w:t>3875 Fabian Way/Greater Stanford</w:t>
            </w:r>
          </w:p>
        </w:tc>
        <w:tc>
          <w:tcPr>
            <w:tcW w:w="1000" w:type="dxa"/>
            <w:vAlign w:val="bottom"/>
          </w:tcPr>
          <w:p>
            <w:pPr>
              <w:jc w:val="center"/>
              <w:ind w:left="16"/>
              <w:spacing w:after="0"/>
              <w:rPr>
                <w:sz w:val="20"/>
                <w:szCs w:val="20"/>
                <w:color w:val="auto"/>
              </w:rPr>
            </w:pPr>
            <w:r>
              <w:rPr>
                <w:rFonts w:ascii="Arial" w:cs="Arial" w:eastAsia="Arial" w:hAnsi="Arial"/>
                <w:sz w:val="13"/>
                <w:szCs w:val="13"/>
                <w:color w:val="auto"/>
              </w:rPr>
              <w:t>Dev</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276"/>
              <w:spacing w:after="0"/>
              <w:rPr>
                <w:sz w:val="20"/>
                <w:szCs w:val="20"/>
                <w:color w:val="auto"/>
              </w:rPr>
            </w:pPr>
            <w:r>
              <w:rPr>
                <w:rFonts w:ascii="Arial" w:cs="Arial" w:eastAsia="Arial" w:hAnsi="Arial"/>
                <w:sz w:val="13"/>
                <w:szCs w:val="13"/>
                <w:color w:val="auto"/>
              </w:rPr>
              <w:t>228,000</w:t>
            </w:r>
          </w:p>
        </w:tc>
        <w:tc>
          <w:tcPr>
            <w:tcW w:w="540" w:type="dxa"/>
            <w:vAlign w:val="bottom"/>
          </w:tcPr>
          <w:p>
            <w:pPr>
              <w:jc w:val="right"/>
              <w:spacing w:after="0"/>
              <w:rPr>
                <w:sz w:val="20"/>
                <w:szCs w:val="20"/>
                <w:color w:val="auto"/>
              </w:rPr>
            </w:pPr>
            <w:r>
              <w:rPr>
                <w:rFonts w:ascii="Arial" w:cs="Arial" w:eastAsia="Arial" w:hAnsi="Arial"/>
                <w:sz w:val="13"/>
                <w:szCs w:val="13"/>
                <w:color w:val="auto"/>
              </w:rPr>
              <w:t>228,000</w:t>
            </w:r>
          </w:p>
        </w:tc>
        <w:tc>
          <w:tcPr>
            <w:tcW w:w="0" w:type="dxa"/>
            <w:vAlign w:val="bottom"/>
          </w:tcPr>
          <w:p>
            <w:pPr>
              <w:spacing w:after="0"/>
              <w:rPr>
                <w:sz w:val="1"/>
                <w:szCs w:val="1"/>
                <w:color w:val="auto"/>
              </w:rPr>
            </w:pPr>
          </w:p>
        </w:tc>
      </w:tr>
      <w:tr>
        <w:trPr>
          <w:trHeight w:val="204"/>
        </w:trPr>
        <w:tc>
          <w:tcPr>
            <w:tcW w:w="3480" w:type="dxa"/>
            <w:vAlign w:val="bottom"/>
          </w:tcPr>
          <w:p>
            <w:pPr>
              <w:ind w:left="100"/>
              <w:spacing w:after="0"/>
              <w:rPr>
                <w:sz w:val="20"/>
                <w:szCs w:val="20"/>
                <w:color w:val="auto"/>
              </w:rPr>
            </w:pPr>
            <w:r>
              <w:rPr>
                <w:rFonts w:ascii="Arial" w:cs="Arial" w:eastAsia="Arial" w:hAnsi="Arial"/>
                <w:sz w:val="13"/>
                <w:szCs w:val="13"/>
                <w:color w:val="auto"/>
              </w:rPr>
              <w:t>2100, 2200, and 2400 Geng Road/Greater Stanford</w:t>
            </w:r>
          </w:p>
        </w:tc>
        <w:tc>
          <w:tcPr>
            <w:tcW w:w="1000" w:type="dxa"/>
            <w:vAlign w:val="bottom"/>
          </w:tcPr>
          <w:p>
            <w:pPr>
              <w:jc w:val="center"/>
              <w:ind w:left="16"/>
              <w:spacing w:after="0"/>
              <w:rPr>
                <w:sz w:val="20"/>
                <w:szCs w:val="20"/>
                <w:color w:val="auto"/>
              </w:rPr>
            </w:pPr>
            <w:r>
              <w:rPr>
                <w:rFonts w:ascii="Arial" w:cs="Arial" w:eastAsia="Arial" w:hAnsi="Arial"/>
                <w:sz w:val="13"/>
                <w:szCs w:val="13"/>
                <w:color w:val="auto"/>
              </w:rPr>
              <w:t>Dev</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276"/>
              <w:spacing w:after="0"/>
              <w:rPr>
                <w:sz w:val="20"/>
                <w:szCs w:val="20"/>
                <w:color w:val="auto"/>
              </w:rPr>
            </w:pPr>
            <w:r>
              <w:rPr>
                <w:rFonts w:ascii="Arial" w:cs="Arial" w:eastAsia="Arial" w:hAnsi="Arial"/>
                <w:sz w:val="13"/>
                <w:szCs w:val="13"/>
                <w:color w:val="auto"/>
              </w:rPr>
              <w:t>78,501</w:t>
            </w:r>
          </w:p>
        </w:tc>
        <w:tc>
          <w:tcPr>
            <w:tcW w:w="540" w:type="dxa"/>
            <w:vAlign w:val="bottom"/>
          </w:tcPr>
          <w:p>
            <w:pPr>
              <w:jc w:val="right"/>
              <w:spacing w:after="0"/>
              <w:rPr>
                <w:sz w:val="20"/>
                <w:szCs w:val="20"/>
                <w:color w:val="auto"/>
              </w:rPr>
            </w:pPr>
            <w:r>
              <w:rPr>
                <w:rFonts w:ascii="Arial" w:cs="Arial" w:eastAsia="Arial" w:hAnsi="Arial"/>
                <w:sz w:val="13"/>
                <w:szCs w:val="13"/>
                <w:color w:val="auto"/>
              </w:rPr>
              <w:t>78,501</w:t>
            </w:r>
          </w:p>
        </w:tc>
        <w:tc>
          <w:tcPr>
            <w:tcW w:w="0" w:type="dxa"/>
            <w:vAlign w:val="bottom"/>
          </w:tcPr>
          <w:p>
            <w:pPr>
              <w:spacing w:after="0"/>
              <w:rPr>
                <w:sz w:val="1"/>
                <w:szCs w:val="1"/>
                <w:color w:val="auto"/>
              </w:rPr>
            </w:pPr>
          </w:p>
        </w:tc>
      </w:tr>
      <w:tr>
        <w:trPr>
          <w:trHeight w:val="204"/>
        </w:trPr>
        <w:tc>
          <w:tcPr>
            <w:tcW w:w="3480" w:type="dxa"/>
            <w:vAlign w:val="bottom"/>
          </w:tcPr>
          <w:p>
            <w:pPr>
              <w:ind w:left="100"/>
              <w:spacing w:after="0"/>
              <w:rPr>
                <w:sz w:val="20"/>
                <w:szCs w:val="20"/>
                <w:color w:val="auto"/>
              </w:rPr>
            </w:pPr>
            <w:r>
              <w:rPr>
                <w:rFonts w:ascii="Arial" w:cs="Arial" w:eastAsia="Arial" w:hAnsi="Arial"/>
                <w:sz w:val="13"/>
                <w:szCs w:val="13"/>
                <w:color w:val="auto"/>
              </w:rPr>
              <w:t>960 Industrial Road/Greater Stanford</w:t>
            </w:r>
          </w:p>
        </w:tc>
        <w:tc>
          <w:tcPr>
            <w:tcW w:w="1000" w:type="dxa"/>
            <w:vAlign w:val="bottom"/>
          </w:tcPr>
          <w:p>
            <w:pPr>
              <w:jc w:val="center"/>
              <w:ind w:left="16"/>
              <w:spacing w:after="0"/>
              <w:rPr>
                <w:sz w:val="20"/>
                <w:szCs w:val="20"/>
                <w:color w:val="auto"/>
              </w:rPr>
            </w:pPr>
            <w:r>
              <w:rPr>
                <w:rFonts w:ascii="Arial" w:cs="Arial" w:eastAsia="Arial" w:hAnsi="Arial"/>
                <w:sz w:val="13"/>
                <w:szCs w:val="13"/>
                <w:color w:val="auto"/>
              </w:rPr>
              <w:t>Dev</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276"/>
              <w:spacing w:after="0"/>
              <w:rPr>
                <w:sz w:val="20"/>
                <w:szCs w:val="20"/>
                <w:color w:val="auto"/>
              </w:rPr>
            </w:pPr>
            <w:r>
              <w:rPr>
                <w:rFonts w:ascii="Arial" w:cs="Arial" w:eastAsia="Arial" w:hAnsi="Arial"/>
                <w:sz w:val="13"/>
                <w:szCs w:val="13"/>
                <w:color w:val="auto"/>
              </w:rPr>
              <w:t>112,590</w:t>
            </w:r>
          </w:p>
        </w:tc>
        <w:tc>
          <w:tcPr>
            <w:tcW w:w="540" w:type="dxa"/>
            <w:vAlign w:val="bottom"/>
          </w:tcPr>
          <w:p>
            <w:pPr>
              <w:jc w:val="right"/>
              <w:spacing w:after="0"/>
              <w:rPr>
                <w:sz w:val="20"/>
                <w:szCs w:val="20"/>
                <w:color w:val="auto"/>
              </w:rPr>
            </w:pPr>
            <w:r>
              <w:rPr>
                <w:rFonts w:ascii="Arial" w:cs="Arial" w:eastAsia="Arial" w:hAnsi="Arial"/>
                <w:sz w:val="13"/>
                <w:szCs w:val="13"/>
                <w:color w:val="auto"/>
              </w:rPr>
              <w:t>112,590</w:t>
            </w:r>
          </w:p>
        </w:tc>
        <w:tc>
          <w:tcPr>
            <w:tcW w:w="0" w:type="dxa"/>
            <w:vAlign w:val="bottom"/>
          </w:tcPr>
          <w:p>
            <w:pPr>
              <w:spacing w:after="0"/>
              <w:rPr>
                <w:sz w:val="1"/>
                <w:szCs w:val="1"/>
                <w:color w:val="auto"/>
              </w:rPr>
            </w:pPr>
          </w:p>
        </w:tc>
      </w:tr>
      <w:tr>
        <w:trPr>
          <w:trHeight w:val="204"/>
        </w:trPr>
        <w:tc>
          <w:tcPr>
            <w:tcW w:w="3480" w:type="dxa"/>
            <w:vAlign w:val="bottom"/>
          </w:tcPr>
          <w:p>
            <w:pPr>
              <w:ind w:left="100"/>
              <w:spacing w:after="0"/>
              <w:rPr>
                <w:sz w:val="20"/>
                <w:szCs w:val="20"/>
                <w:color w:val="auto"/>
              </w:rPr>
            </w:pPr>
            <w:r>
              <w:rPr>
                <w:rFonts w:ascii="Arial" w:cs="Arial" w:eastAsia="Arial" w:hAnsi="Arial"/>
                <w:sz w:val="13"/>
                <w:szCs w:val="13"/>
                <w:color w:val="auto"/>
              </w:rPr>
              <w:t>Campus Point by Alexandria/University Town Center</w:t>
            </w:r>
          </w:p>
        </w:tc>
        <w:tc>
          <w:tcPr>
            <w:tcW w:w="1000" w:type="dxa"/>
            <w:vAlign w:val="bottom"/>
          </w:tcPr>
          <w:p>
            <w:pPr>
              <w:jc w:val="center"/>
              <w:ind w:left="16"/>
              <w:spacing w:after="0"/>
              <w:rPr>
                <w:sz w:val="20"/>
                <w:szCs w:val="20"/>
                <w:color w:val="auto"/>
              </w:rPr>
            </w:pPr>
            <w:r>
              <w:rPr>
                <w:rFonts w:ascii="Arial" w:cs="Arial" w:eastAsia="Arial" w:hAnsi="Arial"/>
                <w:sz w:val="13"/>
                <w:szCs w:val="13"/>
                <w:color w:val="auto"/>
              </w:rPr>
              <w:t>Dev</w:t>
            </w:r>
          </w:p>
        </w:tc>
        <w:tc>
          <w:tcPr>
            <w:tcW w:w="620" w:type="dxa"/>
            <w:vAlign w:val="bottom"/>
          </w:tcPr>
          <w:p>
            <w:pPr>
              <w:jc w:val="right"/>
              <w:spacing w:after="0"/>
              <w:rPr>
                <w:sz w:val="20"/>
                <w:szCs w:val="20"/>
                <w:color w:val="auto"/>
              </w:rPr>
            </w:pPr>
            <w:r>
              <w:rPr>
                <w:rFonts w:ascii="Arial" w:cs="Arial" w:eastAsia="Arial" w:hAnsi="Arial"/>
                <w:sz w:val="13"/>
                <w:szCs w:val="13"/>
                <w:color w:val="auto"/>
              </w:rPr>
              <w:t>226,144</w:t>
            </w:r>
          </w:p>
        </w:tc>
        <w:tc>
          <w:tcPr>
            <w:tcW w:w="860" w:type="dxa"/>
            <w:vAlign w:val="bottom"/>
          </w:tcPr>
          <w:p>
            <w:pPr>
              <w:jc w:val="right"/>
              <w:ind w:right="36"/>
              <w:spacing w:after="0"/>
              <w:rPr>
                <w:sz w:val="20"/>
                <w:szCs w:val="20"/>
                <w:color w:val="auto"/>
              </w:rPr>
            </w:pPr>
            <w:r>
              <w:rPr>
                <w:rFonts w:ascii="Arial" w:cs="Arial" w:eastAsia="Arial" w:hAnsi="Arial"/>
                <w:sz w:val="13"/>
                <w:szCs w:val="13"/>
                <w:color w:val="auto"/>
              </w:rPr>
              <w:t>109,164</w:t>
            </w:r>
          </w:p>
        </w:tc>
        <w:tc>
          <w:tcPr>
            <w:tcW w:w="1140" w:type="dxa"/>
            <w:vAlign w:val="bottom"/>
          </w:tcPr>
          <w:p>
            <w:pPr>
              <w:jc w:val="right"/>
              <w:ind w:right="276"/>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335,308</w:t>
            </w:r>
          </w:p>
        </w:tc>
        <w:tc>
          <w:tcPr>
            <w:tcW w:w="0" w:type="dxa"/>
            <w:vAlign w:val="bottom"/>
          </w:tcPr>
          <w:p>
            <w:pPr>
              <w:spacing w:after="0"/>
              <w:rPr>
                <w:sz w:val="1"/>
                <w:szCs w:val="1"/>
                <w:color w:val="auto"/>
              </w:rPr>
            </w:pPr>
          </w:p>
        </w:tc>
      </w:tr>
      <w:tr>
        <w:trPr>
          <w:trHeight w:val="204"/>
        </w:trPr>
        <w:tc>
          <w:tcPr>
            <w:tcW w:w="3480" w:type="dxa"/>
            <w:vAlign w:val="bottom"/>
          </w:tcPr>
          <w:p>
            <w:pPr>
              <w:ind w:left="100"/>
              <w:spacing w:after="0"/>
              <w:rPr>
                <w:sz w:val="20"/>
                <w:szCs w:val="20"/>
                <w:color w:val="auto"/>
              </w:rPr>
            </w:pPr>
            <w:r>
              <w:rPr>
                <w:rFonts w:ascii="Arial" w:cs="Arial" w:eastAsia="Arial" w:hAnsi="Arial"/>
                <w:sz w:val="13"/>
                <w:szCs w:val="13"/>
                <w:color w:val="auto"/>
              </w:rPr>
              <w:t>Sequence District by Alexandria/Sorrento Mesa</w:t>
            </w:r>
          </w:p>
        </w:tc>
        <w:tc>
          <w:tcPr>
            <w:tcW w:w="1000" w:type="dxa"/>
            <w:vAlign w:val="bottom"/>
          </w:tcPr>
          <w:p>
            <w:pPr>
              <w:jc w:val="center"/>
              <w:ind w:left="16"/>
              <w:spacing w:after="0"/>
              <w:rPr>
                <w:sz w:val="20"/>
                <w:szCs w:val="20"/>
                <w:color w:val="auto"/>
              </w:rPr>
            </w:pPr>
            <w:r>
              <w:rPr>
                <w:rFonts w:ascii="Arial" w:cs="Arial" w:eastAsia="Arial" w:hAnsi="Arial"/>
                <w:sz w:val="13"/>
                <w:szCs w:val="13"/>
                <w:color w:val="auto"/>
                <w:w w:val="99"/>
              </w:rPr>
              <w:t>Dev/Redev</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276"/>
              <w:spacing w:after="0"/>
              <w:rPr>
                <w:sz w:val="20"/>
                <w:szCs w:val="20"/>
                <w:color w:val="auto"/>
              </w:rPr>
            </w:pPr>
            <w:r>
              <w:rPr>
                <w:rFonts w:ascii="Arial" w:cs="Arial" w:eastAsia="Arial" w:hAnsi="Arial"/>
                <w:sz w:val="13"/>
                <w:szCs w:val="13"/>
                <w:color w:val="auto"/>
              </w:rPr>
              <w:t>686,290</w:t>
            </w:r>
          </w:p>
        </w:tc>
        <w:tc>
          <w:tcPr>
            <w:tcW w:w="540" w:type="dxa"/>
            <w:vAlign w:val="bottom"/>
          </w:tcPr>
          <w:p>
            <w:pPr>
              <w:jc w:val="right"/>
              <w:spacing w:after="0"/>
              <w:rPr>
                <w:sz w:val="20"/>
                <w:szCs w:val="20"/>
                <w:color w:val="auto"/>
              </w:rPr>
            </w:pPr>
            <w:r>
              <w:rPr>
                <w:rFonts w:ascii="Arial" w:cs="Arial" w:eastAsia="Arial" w:hAnsi="Arial"/>
                <w:sz w:val="13"/>
                <w:szCs w:val="13"/>
                <w:color w:val="auto"/>
              </w:rPr>
              <w:t>686,290</w:t>
            </w:r>
          </w:p>
        </w:tc>
        <w:tc>
          <w:tcPr>
            <w:tcW w:w="0" w:type="dxa"/>
            <w:vAlign w:val="bottom"/>
          </w:tcPr>
          <w:p>
            <w:pPr>
              <w:spacing w:after="0"/>
              <w:rPr>
                <w:sz w:val="1"/>
                <w:szCs w:val="1"/>
                <w:color w:val="auto"/>
              </w:rPr>
            </w:pPr>
          </w:p>
        </w:tc>
      </w:tr>
      <w:tr>
        <w:trPr>
          <w:trHeight w:val="204"/>
        </w:trPr>
        <w:tc>
          <w:tcPr>
            <w:tcW w:w="3480" w:type="dxa"/>
            <w:vAlign w:val="bottom"/>
          </w:tcPr>
          <w:p>
            <w:pPr>
              <w:ind w:left="100"/>
              <w:spacing w:after="0"/>
              <w:rPr>
                <w:sz w:val="20"/>
                <w:szCs w:val="20"/>
                <w:color w:val="auto"/>
              </w:rPr>
            </w:pPr>
            <w:r>
              <w:rPr>
                <w:rFonts w:ascii="Arial" w:cs="Arial" w:eastAsia="Arial" w:hAnsi="Arial"/>
                <w:sz w:val="13"/>
                <w:szCs w:val="13"/>
                <w:color w:val="auto"/>
              </w:rPr>
              <w:t>830 4th Avenue South/SoDo</w:t>
            </w:r>
          </w:p>
        </w:tc>
        <w:tc>
          <w:tcPr>
            <w:tcW w:w="1000" w:type="dxa"/>
            <w:vAlign w:val="bottom"/>
          </w:tcPr>
          <w:p>
            <w:pPr>
              <w:jc w:val="center"/>
              <w:ind w:left="16"/>
              <w:spacing w:after="0"/>
              <w:rPr>
                <w:sz w:val="20"/>
                <w:szCs w:val="20"/>
                <w:color w:val="auto"/>
              </w:rPr>
            </w:pPr>
            <w:r>
              <w:rPr>
                <w:rFonts w:ascii="Arial" w:cs="Arial" w:eastAsia="Arial" w:hAnsi="Arial"/>
                <w:sz w:val="13"/>
                <w:szCs w:val="13"/>
                <w:color w:val="auto"/>
              </w:rPr>
              <w:t>Dev</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276"/>
              <w:spacing w:after="0"/>
              <w:rPr>
                <w:sz w:val="20"/>
                <w:szCs w:val="20"/>
                <w:color w:val="auto"/>
              </w:rPr>
            </w:pPr>
            <w:r>
              <w:rPr>
                <w:rFonts w:ascii="Arial" w:cs="Arial" w:eastAsia="Arial" w:hAnsi="Arial"/>
                <w:sz w:val="13"/>
                <w:szCs w:val="13"/>
                <w:color w:val="auto"/>
              </w:rPr>
              <w:t>42,380</w:t>
            </w:r>
          </w:p>
        </w:tc>
        <w:tc>
          <w:tcPr>
            <w:tcW w:w="540" w:type="dxa"/>
            <w:vAlign w:val="bottom"/>
          </w:tcPr>
          <w:p>
            <w:pPr>
              <w:jc w:val="right"/>
              <w:spacing w:after="0"/>
              <w:rPr>
                <w:sz w:val="20"/>
                <w:szCs w:val="20"/>
                <w:color w:val="auto"/>
              </w:rPr>
            </w:pPr>
            <w:r>
              <w:rPr>
                <w:rFonts w:ascii="Arial" w:cs="Arial" w:eastAsia="Arial" w:hAnsi="Arial"/>
                <w:sz w:val="13"/>
                <w:szCs w:val="13"/>
                <w:color w:val="auto"/>
              </w:rPr>
              <w:t>42,380</w:t>
            </w:r>
          </w:p>
        </w:tc>
        <w:tc>
          <w:tcPr>
            <w:tcW w:w="0" w:type="dxa"/>
            <w:vAlign w:val="bottom"/>
          </w:tcPr>
          <w:p>
            <w:pPr>
              <w:spacing w:after="0"/>
              <w:rPr>
                <w:sz w:val="1"/>
                <w:szCs w:val="1"/>
                <w:color w:val="auto"/>
              </w:rPr>
            </w:pPr>
          </w:p>
        </w:tc>
      </w:tr>
      <w:tr>
        <w:trPr>
          <w:trHeight w:val="204"/>
        </w:trPr>
        <w:tc>
          <w:tcPr>
            <w:tcW w:w="3480" w:type="dxa"/>
            <w:vAlign w:val="bottom"/>
          </w:tcPr>
          <w:p>
            <w:pPr>
              <w:ind w:left="100"/>
              <w:spacing w:after="0"/>
              <w:rPr>
                <w:sz w:val="20"/>
                <w:szCs w:val="20"/>
                <w:color w:val="auto"/>
              </w:rPr>
            </w:pPr>
            <w:r>
              <w:rPr>
                <w:rFonts w:ascii="Arial" w:cs="Arial" w:eastAsia="Arial" w:hAnsi="Arial"/>
                <w:sz w:val="13"/>
                <w:szCs w:val="13"/>
                <w:color w:val="auto"/>
              </w:rPr>
              <w:t>Other/Seattle</w:t>
            </w:r>
          </w:p>
        </w:tc>
        <w:tc>
          <w:tcPr>
            <w:tcW w:w="1000" w:type="dxa"/>
            <w:vAlign w:val="bottom"/>
          </w:tcPr>
          <w:p>
            <w:pPr>
              <w:jc w:val="center"/>
              <w:ind w:left="16"/>
              <w:spacing w:after="0"/>
              <w:rPr>
                <w:sz w:val="20"/>
                <w:szCs w:val="20"/>
                <w:color w:val="auto"/>
              </w:rPr>
            </w:pPr>
            <w:r>
              <w:rPr>
                <w:rFonts w:ascii="Arial" w:cs="Arial" w:eastAsia="Arial" w:hAnsi="Arial"/>
                <w:sz w:val="13"/>
                <w:szCs w:val="13"/>
                <w:color w:val="auto"/>
              </w:rPr>
              <w:t>Dev</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276"/>
              <w:spacing w:after="0"/>
              <w:rPr>
                <w:sz w:val="20"/>
                <w:szCs w:val="20"/>
                <w:color w:val="auto"/>
              </w:rPr>
            </w:pPr>
            <w:r>
              <w:rPr>
                <w:rFonts w:ascii="Arial" w:cs="Arial" w:eastAsia="Arial" w:hAnsi="Arial"/>
                <w:sz w:val="13"/>
                <w:szCs w:val="13"/>
                <w:color w:val="auto"/>
              </w:rPr>
              <w:t>76,559</w:t>
            </w:r>
          </w:p>
        </w:tc>
        <w:tc>
          <w:tcPr>
            <w:tcW w:w="540" w:type="dxa"/>
            <w:vAlign w:val="bottom"/>
          </w:tcPr>
          <w:p>
            <w:pPr>
              <w:jc w:val="right"/>
              <w:spacing w:after="0"/>
              <w:rPr>
                <w:sz w:val="20"/>
                <w:szCs w:val="20"/>
                <w:color w:val="auto"/>
              </w:rPr>
            </w:pPr>
            <w:r>
              <w:rPr>
                <w:rFonts w:ascii="Arial" w:cs="Arial" w:eastAsia="Arial" w:hAnsi="Arial"/>
                <w:sz w:val="13"/>
                <w:szCs w:val="13"/>
                <w:color w:val="auto"/>
              </w:rPr>
              <w:t>76,559</w:t>
            </w:r>
          </w:p>
        </w:tc>
        <w:tc>
          <w:tcPr>
            <w:tcW w:w="0" w:type="dxa"/>
            <w:vAlign w:val="bottom"/>
          </w:tcPr>
          <w:p>
            <w:pPr>
              <w:spacing w:after="0"/>
              <w:rPr>
                <w:sz w:val="1"/>
                <w:szCs w:val="1"/>
                <w:color w:val="auto"/>
              </w:rPr>
            </w:pPr>
          </w:p>
        </w:tc>
      </w:tr>
      <w:tr>
        <w:trPr>
          <w:trHeight w:val="204"/>
        </w:trPr>
        <w:tc>
          <w:tcPr>
            <w:tcW w:w="3480" w:type="dxa"/>
            <w:vAlign w:val="bottom"/>
          </w:tcPr>
          <w:p>
            <w:pPr>
              <w:ind w:left="100"/>
              <w:spacing w:after="0"/>
              <w:rPr>
                <w:sz w:val="20"/>
                <w:szCs w:val="20"/>
                <w:color w:val="auto"/>
              </w:rPr>
            </w:pPr>
            <w:r>
              <w:rPr>
                <w:rFonts w:ascii="Arial" w:cs="Arial" w:eastAsia="Arial" w:hAnsi="Arial"/>
                <w:sz w:val="13"/>
                <w:szCs w:val="13"/>
                <w:color w:val="auto"/>
              </w:rPr>
              <w:t>100 Capitola Drive/Research Triangle</w:t>
            </w:r>
          </w:p>
        </w:tc>
        <w:tc>
          <w:tcPr>
            <w:tcW w:w="1000" w:type="dxa"/>
            <w:vAlign w:val="bottom"/>
          </w:tcPr>
          <w:p>
            <w:pPr>
              <w:jc w:val="center"/>
              <w:ind w:left="16"/>
              <w:spacing w:after="0"/>
              <w:rPr>
                <w:sz w:val="20"/>
                <w:szCs w:val="20"/>
                <w:color w:val="auto"/>
              </w:rPr>
            </w:pPr>
            <w:r>
              <w:rPr>
                <w:rFonts w:ascii="Arial" w:cs="Arial" w:eastAsia="Arial" w:hAnsi="Arial"/>
                <w:sz w:val="13"/>
                <w:szCs w:val="13"/>
                <w:color w:val="auto"/>
              </w:rPr>
              <w:t>Dev</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276"/>
              <w:spacing w:after="0"/>
              <w:rPr>
                <w:sz w:val="20"/>
                <w:szCs w:val="20"/>
                <w:color w:val="auto"/>
              </w:rPr>
            </w:pPr>
            <w:r>
              <w:rPr>
                <w:rFonts w:ascii="Arial" w:cs="Arial" w:eastAsia="Arial" w:hAnsi="Arial"/>
                <w:sz w:val="13"/>
                <w:szCs w:val="13"/>
                <w:color w:val="auto"/>
              </w:rPr>
              <w:t>34,527</w:t>
            </w:r>
          </w:p>
        </w:tc>
        <w:tc>
          <w:tcPr>
            <w:tcW w:w="540" w:type="dxa"/>
            <w:vAlign w:val="bottom"/>
          </w:tcPr>
          <w:p>
            <w:pPr>
              <w:jc w:val="right"/>
              <w:spacing w:after="0"/>
              <w:rPr>
                <w:sz w:val="20"/>
                <w:szCs w:val="20"/>
                <w:color w:val="auto"/>
              </w:rPr>
            </w:pPr>
            <w:r>
              <w:rPr>
                <w:rFonts w:ascii="Arial" w:cs="Arial" w:eastAsia="Arial" w:hAnsi="Arial"/>
                <w:sz w:val="13"/>
                <w:szCs w:val="13"/>
                <w:color w:val="auto"/>
              </w:rPr>
              <w:t>34,527</w:t>
            </w:r>
          </w:p>
        </w:tc>
        <w:tc>
          <w:tcPr>
            <w:tcW w:w="0" w:type="dxa"/>
            <w:vAlign w:val="bottom"/>
          </w:tcPr>
          <w:p>
            <w:pPr>
              <w:spacing w:after="0"/>
              <w:rPr>
                <w:sz w:val="1"/>
                <w:szCs w:val="1"/>
                <w:color w:val="auto"/>
              </w:rPr>
            </w:pPr>
          </w:p>
        </w:tc>
      </w:tr>
      <w:tr>
        <w:trPr>
          <w:trHeight w:val="204"/>
        </w:trPr>
        <w:tc>
          <w:tcPr>
            <w:tcW w:w="3480" w:type="dxa"/>
            <w:vAlign w:val="bottom"/>
          </w:tcPr>
          <w:p>
            <w:pPr>
              <w:ind w:left="100"/>
              <w:spacing w:after="0"/>
              <w:rPr>
                <w:sz w:val="20"/>
                <w:szCs w:val="20"/>
                <w:color w:val="auto"/>
              </w:rPr>
            </w:pPr>
            <w:r>
              <w:rPr>
                <w:rFonts w:ascii="Arial" w:cs="Arial" w:eastAsia="Arial" w:hAnsi="Arial"/>
                <w:sz w:val="13"/>
                <w:szCs w:val="13"/>
                <w:color w:val="auto"/>
              </w:rPr>
              <w:t>1001 Trinity Street/Austin</w:t>
            </w:r>
          </w:p>
        </w:tc>
        <w:tc>
          <w:tcPr>
            <w:tcW w:w="1000" w:type="dxa"/>
            <w:vAlign w:val="bottom"/>
          </w:tcPr>
          <w:p>
            <w:pPr>
              <w:jc w:val="center"/>
              <w:ind w:left="16"/>
              <w:spacing w:after="0"/>
              <w:rPr>
                <w:sz w:val="20"/>
                <w:szCs w:val="20"/>
                <w:color w:val="auto"/>
              </w:rPr>
            </w:pPr>
            <w:r>
              <w:rPr>
                <w:rFonts w:ascii="Arial" w:cs="Arial" w:eastAsia="Arial" w:hAnsi="Arial"/>
                <w:sz w:val="13"/>
                <w:szCs w:val="13"/>
                <w:color w:val="auto"/>
              </w:rPr>
              <w:t>Dev</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36"/>
              <w:spacing w:after="0"/>
              <w:rPr>
                <w:sz w:val="20"/>
                <w:szCs w:val="20"/>
                <w:color w:val="auto"/>
              </w:rPr>
            </w:pPr>
            <w:r>
              <w:rPr>
                <w:rFonts w:ascii="Arial" w:cs="Arial" w:eastAsia="Arial" w:hAnsi="Arial"/>
                <w:sz w:val="13"/>
                <w:szCs w:val="13"/>
                <w:color w:val="auto"/>
              </w:rPr>
              <w:t>72,938</w:t>
            </w:r>
          </w:p>
        </w:tc>
        <w:tc>
          <w:tcPr>
            <w:tcW w:w="1140" w:type="dxa"/>
            <w:vAlign w:val="bottom"/>
          </w:tcPr>
          <w:p>
            <w:pPr>
              <w:jc w:val="right"/>
              <w:ind w:right="276"/>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72,938</w:t>
            </w:r>
          </w:p>
        </w:tc>
        <w:tc>
          <w:tcPr>
            <w:tcW w:w="0" w:type="dxa"/>
            <w:vAlign w:val="bottom"/>
          </w:tcPr>
          <w:p>
            <w:pPr>
              <w:spacing w:after="0"/>
              <w:rPr>
                <w:sz w:val="1"/>
                <w:szCs w:val="1"/>
                <w:color w:val="auto"/>
              </w:rPr>
            </w:pPr>
          </w:p>
        </w:tc>
      </w:tr>
      <w:tr>
        <w:trPr>
          <w:trHeight w:val="204"/>
        </w:trPr>
        <w:tc>
          <w:tcPr>
            <w:tcW w:w="3480" w:type="dxa"/>
            <w:vAlign w:val="bottom"/>
          </w:tcPr>
          <w:p>
            <w:pPr>
              <w:ind w:left="100"/>
              <w:spacing w:after="0"/>
              <w:rPr>
                <w:sz w:val="20"/>
                <w:szCs w:val="20"/>
                <w:color w:val="auto"/>
              </w:rPr>
            </w:pPr>
            <w:r>
              <w:rPr>
                <w:rFonts w:ascii="Arial" w:cs="Arial" w:eastAsia="Arial" w:hAnsi="Arial"/>
                <w:sz w:val="13"/>
                <w:szCs w:val="13"/>
                <w:color w:val="auto"/>
              </w:rPr>
              <w:t>Canada</w:t>
            </w:r>
          </w:p>
        </w:tc>
        <w:tc>
          <w:tcPr>
            <w:tcW w:w="1000" w:type="dxa"/>
            <w:vAlign w:val="bottom"/>
          </w:tcPr>
          <w:p>
            <w:pPr>
              <w:jc w:val="center"/>
              <w:ind w:left="16"/>
              <w:spacing w:after="0"/>
              <w:rPr>
                <w:sz w:val="20"/>
                <w:szCs w:val="20"/>
                <w:color w:val="auto"/>
              </w:rPr>
            </w:pPr>
            <w:r>
              <w:rPr>
                <w:rFonts w:ascii="Arial" w:cs="Arial" w:eastAsia="Arial" w:hAnsi="Arial"/>
                <w:sz w:val="13"/>
                <w:szCs w:val="13"/>
                <w:color w:val="auto"/>
                <w:w w:val="95"/>
              </w:rPr>
              <w:t>Redev</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276"/>
              <w:spacing w:after="0"/>
              <w:rPr>
                <w:sz w:val="20"/>
                <w:szCs w:val="20"/>
                <w:color w:val="auto"/>
              </w:rPr>
            </w:pPr>
            <w:r>
              <w:rPr>
                <w:rFonts w:ascii="Arial" w:cs="Arial" w:eastAsia="Arial" w:hAnsi="Arial"/>
                <w:sz w:val="13"/>
                <w:szCs w:val="13"/>
                <w:color w:val="auto"/>
              </w:rPr>
              <w:t>247,743</w:t>
            </w:r>
          </w:p>
        </w:tc>
        <w:tc>
          <w:tcPr>
            <w:tcW w:w="540" w:type="dxa"/>
            <w:vAlign w:val="bottom"/>
          </w:tcPr>
          <w:p>
            <w:pPr>
              <w:jc w:val="right"/>
              <w:spacing w:after="0"/>
              <w:rPr>
                <w:sz w:val="20"/>
                <w:szCs w:val="20"/>
                <w:color w:val="auto"/>
              </w:rPr>
            </w:pPr>
            <w:r>
              <w:rPr>
                <w:rFonts w:ascii="Arial" w:cs="Arial" w:eastAsia="Arial" w:hAnsi="Arial"/>
                <w:sz w:val="13"/>
                <w:szCs w:val="13"/>
                <w:color w:val="auto"/>
              </w:rPr>
              <w:t>247,743</w:t>
            </w:r>
          </w:p>
        </w:tc>
        <w:tc>
          <w:tcPr>
            <w:tcW w:w="0" w:type="dxa"/>
            <w:vAlign w:val="bottom"/>
          </w:tcPr>
          <w:p>
            <w:pPr>
              <w:spacing w:after="0"/>
              <w:rPr>
                <w:sz w:val="1"/>
                <w:szCs w:val="1"/>
                <w:color w:val="auto"/>
              </w:rPr>
            </w:pPr>
          </w:p>
        </w:tc>
      </w:tr>
    </w:tbl>
    <w:p>
      <w:pPr>
        <w:sectPr>
          <w:pgSz w:w="11900" w:h="16929" w:orient="portrait"/>
          <w:cols w:equalWidth="0" w:num="1">
            <w:col w:w="9019"/>
          </w:cols>
          <w:pgMar w:left="1440" w:top="118" w:right="1440" w:bottom="0" w:gutter="0" w:footer="0" w:header="0"/>
        </w:sectPr>
      </w:pPr>
    </w:p>
    <w:bookmarkStart w:id="70" w:name="page71"/>
    <w:bookmarkEnd w:id="7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982345</wp:posOffset>
            </wp:positionH>
            <wp:positionV relativeFrom="page">
              <wp:posOffset>88900</wp:posOffset>
            </wp:positionV>
            <wp:extent cx="5584190" cy="271716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584190" cy="2717165"/>
                    </a:xfrm>
                    <a:prstGeom prst="rect">
                      <a:avLst/>
                    </a:prstGeom>
                    <a:noFill/>
                  </pic:spPr>
                </pic:pic>
              </a:graphicData>
            </a:graphic>
          </wp:anchor>
        </w:drawing>
      </w:r>
    </w:p>
    <w:tbl>
      <w:tblPr>
        <w:tblLayout w:type="fixed"/>
        <w:tblInd w:w="5120" w:type="dxa"/>
        <w:tblCellMar>
          <w:top w:w="0" w:type="dxa"/>
          <w:left w:w="0" w:type="dxa"/>
          <w:bottom w:w="0" w:type="dxa"/>
          <w:right w:w="0" w:type="dxa"/>
        </w:tblCellMar>
      </w:tblPr>
      <w:tr>
        <w:trPr>
          <w:trHeight w:val="169"/>
        </w:trPr>
        <w:tc>
          <w:tcPr>
            <w:tcW w:w="820" w:type="dxa"/>
            <w:vAlign w:val="bottom"/>
          </w:tcPr>
          <w:p>
            <w:pPr>
              <w:jc w:val="right"/>
              <w:ind w:right="96"/>
              <w:spacing w:after="0"/>
              <w:rPr>
                <w:sz w:val="20"/>
                <w:szCs w:val="20"/>
                <w:color w:val="auto"/>
              </w:rPr>
            </w:pPr>
            <w:r>
              <w:rPr>
                <w:rFonts w:ascii="Arial" w:cs="Arial" w:eastAsia="Arial" w:hAnsi="Arial"/>
                <w:sz w:val="13"/>
                <w:szCs w:val="13"/>
                <w:color w:val="auto"/>
              </w:rPr>
              <w:t>330,644</w:t>
            </w:r>
          </w:p>
        </w:tc>
        <w:tc>
          <w:tcPr>
            <w:tcW w:w="760" w:type="dxa"/>
            <w:vAlign w:val="bottom"/>
          </w:tcPr>
          <w:p>
            <w:pPr>
              <w:jc w:val="right"/>
              <w:ind w:right="96"/>
              <w:spacing w:after="0"/>
              <w:rPr>
                <w:sz w:val="20"/>
                <w:szCs w:val="20"/>
                <w:color w:val="auto"/>
              </w:rPr>
            </w:pPr>
            <w:r>
              <w:rPr>
                <w:rFonts w:ascii="Arial" w:cs="Arial" w:eastAsia="Arial" w:hAnsi="Arial"/>
                <w:sz w:val="13"/>
                <w:szCs w:val="13"/>
                <w:color w:val="auto"/>
              </w:rPr>
              <w:t>182,102</w:t>
            </w:r>
          </w:p>
        </w:tc>
        <w:tc>
          <w:tcPr>
            <w:tcW w:w="900" w:type="dxa"/>
            <w:vAlign w:val="bottom"/>
          </w:tcPr>
          <w:p>
            <w:pPr>
              <w:jc w:val="right"/>
              <w:ind w:right="96"/>
              <w:spacing w:after="0"/>
              <w:rPr>
                <w:sz w:val="20"/>
                <w:szCs w:val="20"/>
                <w:color w:val="auto"/>
              </w:rPr>
            </w:pPr>
            <w:r>
              <w:rPr>
                <w:rFonts w:ascii="Arial" w:cs="Arial" w:eastAsia="Arial" w:hAnsi="Arial"/>
                <w:sz w:val="13"/>
                <w:szCs w:val="13"/>
                <w:color w:val="auto"/>
              </w:rPr>
              <w:t>2,426,069</w:t>
            </w:r>
          </w:p>
        </w:tc>
        <w:tc>
          <w:tcPr>
            <w:tcW w:w="780" w:type="dxa"/>
            <w:vAlign w:val="bottom"/>
          </w:tcPr>
          <w:p>
            <w:pPr>
              <w:jc w:val="right"/>
              <w:spacing w:after="0"/>
              <w:rPr>
                <w:sz w:val="20"/>
                <w:szCs w:val="20"/>
                <w:color w:val="auto"/>
              </w:rPr>
            </w:pPr>
            <w:r>
              <w:rPr>
                <w:rFonts w:ascii="Arial" w:cs="Arial" w:eastAsia="Arial" w:hAnsi="Arial"/>
                <w:sz w:val="13"/>
                <w:szCs w:val="13"/>
                <w:color w:val="auto"/>
              </w:rPr>
              <w:t>2,938,815</w:t>
            </w:r>
          </w:p>
        </w:tc>
      </w:tr>
      <w:tr>
        <w:trPr>
          <w:trHeight w:val="204"/>
        </w:trPr>
        <w:tc>
          <w:tcPr>
            <w:tcW w:w="820" w:type="dxa"/>
            <w:vAlign w:val="bottom"/>
          </w:tcPr>
          <w:p>
            <w:pPr>
              <w:jc w:val="right"/>
              <w:ind w:right="96"/>
              <w:spacing w:after="0"/>
              <w:rPr>
                <w:sz w:val="20"/>
                <w:szCs w:val="20"/>
                <w:color w:val="auto"/>
              </w:rPr>
            </w:pPr>
            <w:r>
              <w:rPr>
                <w:rFonts w:ascii="Arial" w:cs="Arial" w:eastAsia="Arial" w:hAnsi="Arial"/>
                <w:sz w:val="13"/>
                <w:szCs w:val="13"/>
                <w:color w:val="auto"/>
              </w:rPr>
              <w:t>437,894</w:t>
            </w:r>
          </w:p>
        </w:tc>
        <w:tc>
          <w:tcPr>
            <w:tcW w:w="760" w:type="dxa"/>
            <w:vAlign w:val="bottom"/>
          </w:tcPr>
          <w:p>
            <w:pPr>
              <w:jc w:val="right"/>
              <w:ind w:right="96"/>
              <w:spacing w:after="0"/>
              <w:rPr>
                <w:sz w:val="20"/>
                <w:szCs w:val="20"/>
                <w:color w:val="auto"/>
              </w:rPr>
            </w:pPr>
            <w:r>
              <w:rPr>
                <w:rFonts w:ascii="Arial" w:cs="Arial" w:eastAsia="Arial" w:hAnsi="Arial"/>
                <w:sz w:val="13"/>
                <w:szCs w:val="13"/>
                <w:color w:val="auto"/>
              </w:rPr>
              <w:t>543,884</w:t>
            </w:r>
          </w:p>
        </w:tc>
        <w:tc>
          <w:tcPr>
            <w:tcW w:w="900" w:type="dxa"/>
            <w:vAlign w:val="bottom"/>
          </w:tcPr>
          <w:p>
            <w:pPr>
              <w:jc w:val="right"/>
              <w:ind w:right="96"/>
              <w:spacing w:after="0"/>
              <w:rPr>
                <w:sz w:val="20"/>
                <w:szCs w:val="20"/>
                <w:color w:val="auto"/>
              </w:rPr>
            </w:pPr>
            <w:r>
              <w:rPr>
                <w:rFonts w:ascii="Arial" w:cs="Arial" w:eastAsia="Arial" w:hAnsi="Arial"/>
                <w:sz w:val="13"/>
                <w:szCs w:val="13"/>
                <w:color w:val="auto"/>
              </w:rPr>
              <w:t>2,426,069</w:t>
            </w:r>
          </w:p>
        </w:tc>
        <w:tc>
          <w:tcPr>
            <w:tcW w:w="780" w:type="dxa"/>
            <w:vAlign w:val="bottom"/>
          </w:tcPr>
          <w:p>
            <w:pPr>
              <w:jc w:val="right"/>
              <w:spacing w:after="0"/>
              <w:rPr>
                <w:sz w:val="20"/>
                <w:szCs w:val="20"/>
                <w:color w:val="auto"/>
              </w:rPr>
            </w:pPr>
            <w:r>
              <w:rPr>
                <w:rFonts w:ascii="Arial" w:cs="Arial" w:eastAsia="Arial" w:hAnsi="Arial"/>
                <w:sz w:val="13"/>
                <w:szCs w:val="13"/>
                <w:color w:val="auto"/>
              </w:rPr>
              <w:t>3,407,847</w:t>
            </w:r>
          </w:p>
        </w:tc>
      </w:tr>
    </w:tbl>
    <w:p>
      <w:pPr>
        <w:spacing w:after="0" w:line="42" w:lineRule="exact"/>
        <w:rPr>
          <w:sz w:val="20"/>
          <w:szCs w:val="20"/>
          <w:color w:val="auto"/>
        </w:rPr>
      </w:pPr>
    </w:p>
    <w:p>
      <w:pPr>
        <w:ind w:left="900" w:hanging="262"/>
        <w:spacing w:after="0"/>
        <w:tabs>
          <w:tab w:leader="none" w:pos="900" w:val="left"/>
        </w:tabs>
        <w:numPr>
          <w:ilvl w:val="0"/>
          <w:numId w:val="120"/>
        </w:numPr>
        <w:rPr>
          <w:rFonts w:ascii="Arial" w:cs="Arial" w:eastAsia="Arial" w:hAnsi="Arial"/>
          <w:sz w:val="10"/>
          <w:szCs w:val="10"/>
          <w:color w:val="auto"/>
        </w:rPr>
      </w:pPr>
      <w:r>
        <w:rPr>
          <w:rFonts w:ascii="Arial" w:cs="Arial" w:eastAsia="Arial" w:hAnsi="Arial"/>
          <w:sz w:val="10"/>
          <w:szCs w:val="10"/>
          <w:color w:val="auto"/>
        </w:rPr>
        <w:t>Includes vacant square footage as of June 30,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188595</wp:posOffset>
            </wp:positionV>
            <wp:extent cx="5584190" cy="722058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40"/>
        <w:spacing w:after="0"/>
        <w:rPr>
          <w:sz w:val="20"/>
          <w:szCs w:val="20"/>
          <w:color w:val="auto"/>
        </w:rPr>
      </w:pPr>
      <w:r>
        <w:rPr>
          <w:rFonts w:ascii="Arial" w:cs="Arial" w:eastAsia="Arial" w:hAnsi="Arial"/>
          <w:sz w:val="13"/>
          <w:szCs w:val="13"/>
          <w:u w:val="single" w:color="auto"/>
          <w:color w:val="auto"/>
        </w:rPr>
        <w:t>Joint venture financial information</w:t>
      </w:r>
    </w:p>
    <w:p>
      <w:pPr>
        <w:spacing w:after="0" w:line="162" w:lineRule="exact"/>
        <w:rPr>
          <w:sz w:val="20"/>
          <w:szCs w:val="20"/>
          <w:color w:val="auto"/>
        </w:rPr>
      </w:pPr>
    </w:p>
    <w:p>
      <w:pPr>
        <w:ind w:left="640" w:right="659" w:firstLine="516"/>
        <w:spacing w:after="0" w:line="253" w:lineRule="auto"/>
        <w:rPr>
          <w:sz w:val="20"/>
          <w:szCs w:val="20"/>
          <w:color w:val="auto"/>
        </w:rPr>
      </w:pPr>
      <w:r>
        <w:rPr>
          <w:rFonts w:ascii="Arial" w:cs="Arial" w:eastAsia="Arial" w:hAnsi="Arial"/>
          <w:sz w:val="13"/>
          <w:szCs w:val="13"/>
          <w:color w:val="auto"/>
        </w:rPr>
        <w:t>We present components of balance sheet and operating results information related to our real estate joint ventures, which are not presented, or intended to be presented, in accordance with GAAP. We present the proportionate share of certain financial line items as follows: (i) for each real estate joint venture that we consolidate in our financial statements, which are controlled by us through contractual rights or majority voting rights, but of which we own less than 100%, we apply the noncontrolling interest economic ownership percentage to each financial item to arrive at the amount of such cumulative noncontrolling interest share of each component presented; and (ii) for each real estate joint venture that we do not control and do not consolidate, and are instead controlled jointly or by our joint venture partners through contractual rights or majority voting rights, we apply our economic ownership percentage to each financial item to arrive at our proportionate share of each component presented.</w:t>
      </w:r>
    </w:p>
    <w:p>
      <w:pPr>
        <w:spacing w:after="0" w:line="125" w:lineRule="exact"/>
        <w:rPr>
          <w:sz w:val="20"/>
          <w:szCs w:val="20"/>
          <w:color w:val="auto"/>
        </w:rPr>
      </w:pPr>
    </w:p>
    <w:p>
      <w:pPr>
        <w:ind w:left="640" w:right="719" w:firstLine="516"/>
        <w:spacing w:after="0" w:line="257" w:lineRule="auto"/>
        <w:rPr>
          <w:sz w:val="20"/>
          <w:szCs w:val="20"/>
          <w:color w:val="auto"/>
        </w:rPr>
      </w:pPr>
      <w:r>
        <w:rPr>
          <w:rFonts w:ascii="Arial" w:cs="Arial" w:eastAsia="Arial" w:hAnsi="Arial"/>
          <w:sz w:val="13"/>
          <w:szCs w:val="13"/>
          <w:color w:val="auto"/>
        </w:rPr>
        <w:t>The components of balance sheet and operating results information related to our real estate joint ventures do not represent our legal claim to those items. For each entity that we do not wholly own, the joint venture agreement generally determines what equity holders can receive upon capital events, such as sales or refinancing, or in the event of a liquidation. Equity holders are normally entitled to their respective legal ownership of any residual cash from a joint venture only after all liabilities, priority distributions, and claims have been repaid or satisfied.</w:t>
      </w:r>
    </w:p>
    <w:p>
      <w:pPr>
        <w:spacing w:after="0" w:line="134" w:lineRule="exact"/>
        <w:rPr>
          <w:sz w:val="20"/>
          <w:szCs w:val="20"/>
          <w:color w:val="auto"/>
        </w:rPr>
      </w:pPr>
    </w:p>
    <w:p>
      <w:pPr>
        <w:ind w:left="640" w:right="719" w:firstLine="516"/>
        <w:spacing w:after="0" w:line="257" w:lineRule="auto"/>
        <w:rPr>
          <w:sz w:val="20"/>
          <w:szCs w:val="20"/>
          <w:color w:val="auto"/>
        </w:rPr>
      </w:pPr>
      <w:r>
        <w:rPr>
          <w:rFonts w:ascii="Arial" w:cs="Arial" w:eastAsia="Arial" w:hAnsi="Arial"/>
          <w:sz w:val="13"/>
          <w:szCs w:val="13"/>
          <w:color w:val="auto"/>
        </w:rPr>
        <w:t>We believe that this information can help investors estimate the balance sheet and operating results information related to our partially owned entities. Presenting this information provides a perspective not immediately available from consolidated financial statements and one that can supplement an understanding of the joint venture assets, liabilities, revenues, and expenses included in our consolidated results.</w:t>
      </w:r>
    </w:p>
    <w:p>
      <w:pPr>
        <w:spacing w:after="0" w:line="133" w:lineRule="exact"/>
        <w:rPr>
          <w:sz w:val="20"/>
          <w:szCs w:val="20"/>
          <w:color w:val="auto"/>
        </w:rPr>
      </w:pPr>
    </w:p>
    <w:p>
      <w:pPr>
        <w:ind w:left="640" w:right="679" w:firstLine="516"/>
        <w:spacing w:after="0" w:line="252" w:lineRule="auto"/>
        <w:rPr>
          <w:sz w:val="20"/>
          <w:szCs w:val="20"/>
          <w:color w:val="auto"/>
        </w:rPr>
      </w:pPr>
      <w:r>
        <w:rPr>
          <w:rFonts w:ascii="Arial" w:cs="Arial" w:eastAsia="Arial" w:hAnsi="Arial"/>
          <w:sz w:val="13"/>
          <w:szCs w:val="13"/>
          <w:color w:val="auto"/>
        </w:rPr>
        <w:t>The components of balance sheet and operating results information related to our real estate joint ventures are limited as an analytical tool as the overall economic ownership interest does not represent our legal claim to each of our joint ventures’ assets, liabilities, or results of operations. In addition, joint venture financial information may include financial information related to the unconsolidated real estate joint ventures that we do not control. We believe that in order to facilitate for investors a clear understanding of our operating results and our total assets and liabilities, joint venture financial information should be examined in conjunction with our consolidated statements of operations and balance sheets. Joint venture financial information should not be considered an alternative to our consolidated financial statements, which are presented and prepared in accordance with GAAP.</w:t>
      </w:r>
    </w:p>
    <w:p>
      <w:pPr>
        <w:spacing w:after="0" w:line="136" w:lineRule="exact"/>
        <w:rPr>
          <w:sz w:val="20"/>
          <w:szCs w:val="20"/>
          <w:color w:val="auto"/>
        </w:rPr>
      </w:pPr>
    </w:p>
    <w:p>
      <w:pPr>
        <w:ind w:left="640"/>
        <w:spacing w:after="0"/>
        <w:rPr>
          <w:sz w:val="20"/>
          <w:szCs w:val="20"/>
          <w:color w:val="auto"/>
        </w:rPr>
      </w:pPr>
      <w:r>
        <w:rPr>
          <w:rFonts w:ascii="Arial" w:cs="Arial" w:eastAsia="Arial" w:hAnsi="Arial"/>
          <w:sz w:val="13"/>
          <w:szCs w:val="13"/>
          <w:u w:val="single" w:color="auto"/>
          <w:color w:val="auto"/>
        </w:rPr>
        <w:t>Mega campus</w:t>
      </w:r>
    </w:p>
    <w:p>
      <w:pPr>
        <w:spacing w:after="0" w:line="162" w:lineRule="exact"/>
        <w:rPr>
          <w:sz w:val="20"/>
          <w:szCs w:val="20"/>
          <w:color w:val="auto"/>
        </w:rPr>
      </w:pPr>
    </w:p>
    <w:p>
      <w:pPr>
        <w:ind w:left="640" w:right="779" w:firstLine="516"/>
        <w:spacing w:after="0" w:line="265" w:lineRule="auto"/>
        <w:rPr>
          <w:sz w:val="20"/>
          <w:szCs w:val="20"/>
          <w:color w:val="auto"/>
        </w:rPr>
      </w:pPr>
      <w:r>
        <w:rPr>
          <w:rFonts w:ascii="Arial" w:cs="Arial" w:eastAsia="Arial" w:hAnsi="Arial"/>
          <w:sz w:val="13"/>
          <w:szCs w:val="13"/>
          <w:color w:val="auto"/>
        </w:rPr>
        <w:t>Mega campuses are cluster campuses that consist of approximately 1 million RSF or more, including operating, active development/redevelopment, and land RSF less operating RSF expected to be demolished. The following table reconciles our annual rental revenue and value-creation pipeline RSF as of June 30, 2024 (dollars in thousands):</w:t>
      </w:r>
    </w:p>
    <w:p>
      <w:pPr>
        <w:spacing w:after="0" w:line="161" w:lineRule="exact"/>
        <w:rPr>
          <w:sz w:val="20"/>
          <w:szCs w:val="20"/>
          <w:color w:val="auto"/>
        </w:rPr>
      </w:pPr>
    </w:p>
    <w:tbl>
      <w:tblPr>
        <w:tblLayout w:type="fixed"/>
        <w:tblInd w:w="640" w:type="dxa"/>
        <w:tblCellMar>
          <w:top w:w="0" w:type="dxa"/>
          <w:left w:w="0" w:type="dxa"/>
          <w:bottom w:w="0" w:type="dxa"/>
          <w:right w:w="0" w:type="dxa"/>
        </w:tblCellMar>
      </w:tblPr>
      <w:tr>
        <w:trPr>
          <w:trHeight w:val="149"/>
        </w:trPr>
        <w:tc>
          <w:tcPr>
            <w:tcW w:w="5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3"/>
                <w:szCs w:val="13"/>
                <w:color w:val="auto"/>
                <w:w w:val="97"/>
              </w:rPr>
              <w:t>Annual Rental</w:t>
            </w:r>
          </w:p>
        </w:tc>
        <w:tc>
          <w:tcPr>
            <w:tcW w:w="1300" w:type="dxa"/>
            <w:vAlign w:val="bottom"/>
          </w:tcPr>
          <w:p>
            <w:pPr>
              <w:jc w:val="right"/>
              <w:ind w:right="156"/>
              <w:spacing w:after="0"/>
              <w:rPr>
                <w:sz w:val="20"/>
                <w:szCs w:val="20"/>
                <w:color w:val="auto"/>
              </w:rPr>
            </w:pPr>
            <w:r>
              <w:rPr>
                <w:rFonts w:ascii="Arial" w:cs="Arial" w:eastAsia="Arial" w:hAnsi="Arial"/>
                <w:sz w:val="13"/>
                <w:szCs w:val="13"/>
                <w:color w:val="auto"/>
              </w:rPr>
              <w:t>Value-Creation</w:t>
            </w:r>
          </w:p>
        </w:tc>
        <w:tc>
          <w:tcPr>
            <w:tcW w:w="0" w:type="dxa"/>
            <w:vAlign w:val="bottom"/>
          </w:tcPr>
          <w:p>
            <w:pPr>
              <w:spacing w:after="0"/>
              <w:rPr>
                <w:sz w:val="1"/>
                <w:szCs w:val="1"/>
                <w:color w:val="auto"/>
              </w:rPr>
            </w:pPr>
          </w:p>
        </w:tc>
      </w:tr>
      <w:tr>
        <w:trPr>
          <w:trHeight w:val="161"/>
        </w:trPr>
        <w:tc>
          <w:tcPr>
            <w:tcW w:w="5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3"/>
                <w:szCs w:val="13"/>
                <w:color w:val="auto"/>
                <w:w w:val="99"/>
              </w:rPr>
              <w:t>Revenue</w:t>
            </w:r>
          </w:p>
        </w:tc>
        <w:tc>
          <w:tcPr>
            <w:tcW w:w="1300" w:type="dxa"/>
            <w:vAlign w:val="bottom"/>
          </w:tcPr>
          <w:p>
            <w:pPr>
              <w:jc w:val="right"/>
              <w:ind w:right="216"/>
              <w:spacing w:after="0"/>
              <w:rPr>
                <w:sz w:val="20"/>
                <w:szCs w:val="20"/>
                <w:color w:val="auto"/>
              </w:rPr>
            </w:pPr>
            <w:r>
              <w:rPr>
                <w:rFonts w:ascii="Arial" w:cs="Arial" w:eastAsia="Arial" w:hAnsi="Arial"/>
                <w:sz w:val="13"/>
                <w:szCs w:val="13"/>
                <w:color w:val="auto"/>
              </w:rPr>
              <w:t>Pipeline RSF</w:t>
            </w:r>
          </w:p>
        </w:tc>
        <w:tc>
          <w:tcPr>
            <w:tcW w:w="0" w:type="dxa"/>
            <w:vAlign w:val="bottom"/>
          </w:tcPr>
          <w:p>
            <w:pPr>
              <w:spacing w:after="0"/>
              <w:rPr>
                <w:sz w:val="1"/>
                <w:szCs w:val="1"/>
                <w:color w:val="auto"/>
              </w:rPr>
            </w:pPr>
          </w:p>
        </w:tc>
      </w:tr>
      <w:tr>
        <w:trPr>
          <w:trHeight w:val="184"/>
        </w:trPr>
        <w:tc>
          <w:tcPr>
            <w:tcW w:w="50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Mega campus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20" w:type="dxa"/>
            <w:vAlign w:val="bottom"/>
            <w:tcBorders>
              <w:top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1,649,514</w:t>
            </w:r>
          </w:p>
        </w:tc>
        <w:tc>
          <w:tcPr>
            <w:tcW w:w="40" w:type="dxa"/>
            <w:vAlign w:val="bottom"/>
            <w:tcBorders>
              <w:top w:val="single" w:sz="8" w:color="CCEEFF"/>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rPr>
              <w:t>21,944,200</w:t>
            </w:r>
          </w:p>
        </w:tc>
        <w:tc>
          <w:tcPr>
            <w:tcW w:w="0" w:type="dxa"/>
            <w:vAlign w:val="bottom"/>
          </w:tcPr>
          <w:p>
            <w:pPr>
              <w:spacing w:after="0"/>
              <w:rPr>
                <w:sz w:val="1"/>
                <w:szCs w:val="1"/>
                <w:color w:val="auto"/>
              </w:rPr>
            </w:pPr>
          </w:p>
        </w:tc>
      </w:tr>
      <w:tr>
        <w:trPr>
          <w:trHeight w:val="204"/>
        </w:trPr>
        <w:tc>
          <w:tcPr>
            <w:tcW w:w="500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Non-mega campus</w:t>
            </w: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567,461</w:t>
            </w:r>
          </w:p>
        </w:tc>
        <w:tc>
          <w:tcPr>
            <w:tcW w:w="4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rPr>
              <w:t>10,013,556</w:t>
            </w:r>
          </w:p>
        </w:tc>
        <w:tc>
          <w:tcPr>
            <w:tcW w:w="0" w:type="dxa"/>
            <w:vAlign w:val="bottom"/>
          </w:tcPr>
          <w:p>
            <w:pPr>
              <w:spacing w:after="0"/>
              <w:rPr>
                <w:sz w:val="1"/>
                <w:szCs w:val="1"/>
                <w:color w:val="auto"/>
              </w:rPr>
            </w:pPr>
          </w:p>
        </w:tc>
      </w:tr>
      <w:tr>
        <w:trPr>
          <w:trHeight w:val="188"/>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2,216,975</w:t>
            </w:r>
          </w:p>
        </w:tc>
        <w:tc>
          <w:tcPr>
            <w:tcW w:w="4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rPr>
              <w:t>31,957,756</w:t>
            </w: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5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000" w:type="dxa"/>
            <w:vAlign w:val="bottom"/>
            <w:shd w:val="clear" w:color="auto" w:fill="CCEEFF"/>
          </w:tcPr>
          <w:p>
            <w:pPr>
              <w:ind w:left="40"/>
              <w:spacing w:after="0"/>
              <w:rPr>
                <w:sz w:val="20"/>
                <w:szCs w:val="20"/>
                <w:color w:val="auto"/>
              </w:rPr>
            </w:pPr>
            <w:r>
              <w:rPr>
                <w:rFonts w:ascii="Arial" w:cs="Arial" w:eastAsia="Arial" w:hAnsi="Arial"/>
                <w:sz w:val="13"/>
                <w:szCs w:val="13"/>
                <w:color w:val="auto"/>
              </w:rPr>
              <w:t>Mega campus as a percentage of annual rental revenue and of total value-creation</w:t>
            </w:r>
          </w:p>
        </w:tc>
        <w:tc>
          <w:tcPr>
            <w:tcW w:w="16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74%</w:t>
            </w:r>
          </w:p>
        </w:tc>
        <w:tc>
          <w:tcPr>
            <w:tcW w:w="4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69%</w:t>
            </w:r>
          </w:p>
        </w:tc>
        <w:tc>
          <w:tcPr>
            <w:tcW w:w="0" w:type="dxa"/>
            <w:vAlign w:val="bottom"/>
          </w:tcPr>
          <w:p>
            <w:pPr>
              <w:spacing w:after="0"/>
              <w:rPr>
                <w:sz w:val="1"/>
                <w:szCs w:val="1"/>
                <w:color w:val="auto"/>
              </w:rPr>
            </w:pPr>
          </w:p>
        </w:tc>
      </w:tr>
      <w:tr>
        <w:trPr>
          <w:trHeight w:val="161"/>
        </w:trPr>
        <w:tc>
          <w:tcPr>
            <w:tcW w:w="5000" w:type="dxa"/>
            <w:vAlign w:val="bottom"/>
            <w:shd w:val="clear" w:color="auto" w:fill="CCEEFF"/>
          </w:tcPr>
          <w:p>
            <w:pPr>
              <w:ind w:left="160"/>
              <w:spacing w:after="0"/>
              <w:rPr>
                <w:sz w:val="20"/>
                <w:szCs w:val="20"/>
                <w:color w:val="auto"/>
              </w:rPr>
            </w:pPr>
            <w:r>
              <w:rPr>
                <w:rFonts w:ascii="Arial" w:cs="Arial" w:eastAsia="Arial" w:hAnsi="Arial"/>
                <w:sz w:val="13"/>
                <w:szCs w:val="13"/>
                <w:color w:val="auto"/>
              </w:rPr>
              <w:t>pipeline RSF</w:t>
            </w:r>
          </w:p>
        </w:tc>
        <w:tc>
          <w:tcPr>
            <w:tcW w:w="160" w:type="dxa"/>
            <w:vAlign w:val="bottom"/>
            <w:shd w:val="clear" w:color="auto" w:fill="CCEEFF"/>
          </w:tcPr>
          <w:p>
            <w:pPr>
              <w:spacing w:after="0"/>
              <w:rPr>
                <w:sz w:val="13"/>
                <w:szCs w:val="13"/>
                <w:color w:val="auto"/>
              </w:rPr>
            </w:pPr>
          </w:p>
        </w:tc>
        <w:tc>
          <w:tcPr>
            <w:tcW w:w="1120" w:type="dxa"/>
            <w:vAlign w:val="bottom"/>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3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204" w:lineRule="exact"/>
        <w:rPr>
          <w:sz w:val="20"/>
          <w:szCs w:val="20"/>
          <w:color w:val="auto"/>
        </w:rPr>
      </w:pPr>
    </w:p>
    <w:p>
      <w:pPr>
        <w:ind w:left="640"/>
        <w:spacing w:after="0"/>
        <w:rPr>
          <w:sz w:val="20"/>
          <w:szCs w:val="20"/>
          <w:color w:val="auto"/>
        </w:rPr>
      </w:pPr>
      <w:r>
        <w:rPr>
          <w:rFonts w:ascii="Arial" w:cs="Arial" w:eastAsia="Arial" w:hAnsi="Arial"/>
          <w:sz w:val="13"/>
          <w:szCs w:val="13"/>
          <w:u w:val="single" w:color="auto"/>
          <w:color w:val="auto"/>
        </w:rPr>
        <w:t>Net cash provided by operating activities after dividends</w:t>
      </w:r>
    </w:p>
    <w:p>
      <w:pPr>
        <w:spacing w:after="0" w:line="162" w:lineRule="exact"/>
        <w:rPr>
          <w:sz w:val="20"/>
          <w:szCs w:val="20"/>
          <w:color w:val="auto"/>
        </w:rPr>
      </w:pPr>
    </w:p>
    <w:p>
      <w:pPr>
        <w:ind w:left="640" w:right="679" w:firstLine="516"/>
        <w:spacing w:after="0" w:line="289" w:lineRule="auto"/>
        <w:rPr>
          <w:sz w:val="20"/>
          <w:szCs w:val="20"/>
          <w:color w:val="auto"/>
        </w:rPr>
      </w:pPr>
      <w:r>
        <w:rPr>
          <w:rFonts w:ascii="Arial" w:cs="Arial" w:eastAsia="Arial" w:hAnsi="Arial"/>
          <w:sz w:val="13"/>
          <w:szCs w:val="13"/>
          <w:color w:val="auto"/>
        </w:rPr>
        <w:t>Net cash provided by operating activities after dividends includes the deduction for distributions to noncontrolling interests. For purposes of this calculation, changes in operating assets and liabilities are excluded as they represent timing differences.</w:t>
      </w:r>
    </w:p>
    <w:p>
      <w:pPr>
        <w:sectPr>
          <w:pgSz w:w="11900" w:h="16838" w:orient="portrait"/>
          <w:cols w:equalWidth="0" w:num="1">
            <w:col w:w="9019"/>
          </w:cols>
          <w:pgMar w:left="1440" w:top="193" w:right="1440" w:bottom="58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188595</wp:posOffset>
            </wp:positionV>
            <wp:extent cx="5584190" cy="4533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584190" cy="453390"/>
                    </a:xfrm>
                    <a:prstGeom prst="rect">
                      <a:avLst/>
                    </a:prstGeom>
                    <a:noFill/>
                  </pic:spPr>
                </pic:pic>
              </a:graphicData>
            </a:graphic>
          </wp:anchor>
        </w:drawing>
      </w:r>
    </w:p>
    <w:p>
      <w:pPr>
        <w:sectPr>
          <w:pgSz w:w="11900" w:h="16838" w:orient="portrait"/>
          <w:cols w:equalWidth="0" w:num="1">
            <w:col w:w="9019"/>
          </w:cols>
          <w:pgMar w:left="1440" w:top="193" w:right="1440" w:bottom="584" w:gutter="0" w:footer="0" w:header="0"/>
          <w:type w:val="continuous"/>
        </w:sectPr>
      </w:pPr>
    </w:p>
    <w:bookmarkStart w:id="71" w:name="page72"/>
    <w:bookmarkEnd w:id="71"/>
    <w:p>
      <w:pPr>
        <w:spacing w:after="0" w:line="5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982345</wp:posOffset>
            </wp:positionH>
            <wp:positionV relativeFrom="page">
              <wp:posOffset>88900</wp:posOffset>
            </wp:positionV>
            <wp:extent cx="5584190" cy="6760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584190" cy="6760845"/>
                    </a:xfrm>
                    <a:prstGeom prst="rect">
                      <a:avLst/>
                    </a:prstGeom>
                    <a:noFill/>
                  </pic:spPr>
                </pic:pic>
              </a:graphicData>
            </a:graphic>
          </wp:anchor>
        </w:drawing>
      </w:r>
    </w:p>
    <w:p>
      <w:pPr>
        <w:ind w:left="640"/>
        <w:spacing w:after="0"/>
        <w:rPr>
          <w:sz w:val="20"/>
          <w:szCs w:val="20"/>
          <w:color w:val="auto"/>
        </w:rPr>
      </w:pPr>
      <w:r>
        <w:rPr>
          <w:rFonts w:ascii="Arial" w:cs="Arial" w:eastAsia="Arial" w:hAnsi="Arial"/>
          <w:sz w:val="13"/>
          <w:szCs w:val="13"/>
          <w:u w:val="single" w:color="auto"/>
          <w:color w:val="auto"/>
        </w:rPr>
        <w:t>Net debt and preferred stock to Adjusted EBITDA</w:t>
      </w:r>
    </w:p>
    <w:p>
      <w:pPr>
        <w:spacing w:after="0" w:line="162" w:lineRule="exact"/>
        <w:rPr>
          <w:sz w:val="20"/>
          <w:szCs w:val="20"/>
          <w:color w:val="auto"/>
        </w:rPr>
      </w:pPr>
    </w:p>
    <w:p>
      <w:pPr>
        <w:ind w:left="640" w:right="719" w:firstLine="516"/>
        <w:spacing w:after="0" w:line="285" w:lineRule="auto"/>
        <w:rPr>
          <w:sz w:val="20"/>
          <w:szCs w:val="20"/>
          <w:color w:val="auto"/>
        </w:rPr>
      </w:pPr>
      <w:r>
        <w:rPr>
          <w:rFonts w:ascii="Arial" w:cs="Arial" w:eastAsia="Arial" w:hAnsi="Arial"/>
          <w:sz w:val="12"/>
          <w:szCs w:val="12"/>
          <w:color w:val="auto"/>
        </w:rPr>
        <w:t>Net debt and preferred stock to Adjusted EBITDA is a non-GAAP financial measure that we believe is useful to investors as a supplemental measure of evaluating our balance sheet leverage. Net debt and preferred stock is equal to the sum of total consolidated debt less cash, cash equivalents, and restricted cash, plus preferred stock outstanding as of the end of the period. Refer to “Adjusted EBITDA and Adjusted EBITDA margin” in this section for further information on the calculation of Adjusted EBITDA.</w:t>
      </w:r>
    </w:p>
    <w:p>
      <w:pPr>
        <w:spacing w:after="0" w:line="129" w:lineRule="exact"/>
        <w:rPr>
          <w:sz w:val="20"/>
          <w:szCs w:val="20"/>
          <w:color w:val="auto"/>
        </w:rPr>
      </w:pPr>
    </w:p>
    <w:p>
      <w:pPr>
        <w:ind w:left="640" w:right="699" w:firstLine="516"/>
        <w:spacing w:after="0" w:line="279" w:lineRule="auto"/>
        <w:rPr>
          <w:sz w:val="20"/>
          <w:szCs w:val="20"/>
          <w:color w:val="auto"/>
        </w:rPr>
      </w:pPr>
      <w:r>
        <w:rPr>
          <w:rFonts w:ascii="Arial" w:cs="Arial" w:eastAsia="Arial" w:hAnsi="Arial"/>
          <w:sz w:val="12"/>
          <w:szCs w:val="12"/>
          <w:color w:val="auto"/>
        </w:rPr>
        <w:t>We are not able to forecast fourth quarter net income without unreasonable effort and therefore do not provide a reconciliation for net debt and preferred stock to Adjusted EBITDA on a forward-looking basis. This is due to the inherent difficulty of forecasting the timing and/or amount of items that depend on market conditions outside of our control, including the timing of dispositions, capital events, and financing decisions, as well as quarterly components such as gain on sales of real estate, unrealized gains or losses on non-real estate investments, impairment of real estate, and impairment of non-real estate investments. Our attempt to predict these amounts may produce significant but inaccurate estimates, which would be potentially misleading for our investors.</w:t>
      </w:r>
    </w:p>
    <w:p>
      <w:pPr>
        <w:spacing w:after="0" w:line="122" w:lineRule="exact"/>
        <w:rPr>
          <w:sz w:val="20"/>
          <w:szCs w:val="20"/>
          <w:color w:val="auto"/>
        </w:rPr>
      </w:pPr>
    </w:p>
    <w:p>
      <w:pPr>
        <w:ind w:left="640" w:right="739" w:firstLine="516"/>
        <w:spacing w:after="0" w:line="272" w:lineRule="auto"/>
        <w:rPr>
          <w:sz w:val="20"/>
          <w:szCs w:val="20"/>
          <w:color w:val="auto"/>
        </w:rPr>
      </w:pPr>
      <w:r>
        <w:rPr>
          <w:rFonts w:ascii="Arial" w:cs="Arial" w:eastAsia="Arial" w:hAnsi="Arial"/>
          <w:sz w:val="13"/>
          <w:szCs w:val="13"/>
          <w:color w:val="auto"/>
        </w:rPr>
        <w:t>The following table reconciles debt to net debt and preferred stock and computes the ratio to Adjusted EBITDA as of June 30, 2024 and December 31, 2023 (dollars in thousands):</w:t>
      </w:r>
    </w:p>
    <w:p>
      <w:pPr>
        <w:spacing w:after="0" w:line="112" w:lineRule="exact"/>
        <w:rPr>
          <w:sz w:val="20"/>
          <w:szCs w:val="20"/>
          <w:color w:val="auto"/>
        </w:rPr>
      </w:pPr>
    </w:p>
    <w:tbl>
      <w:tblPr>
        <w:tblLayout w:type="fixed"/>
        <w:tblInd w:w="640" w:type="dxa"/>
        <w:tblCellMar>
          <w:top w:w="0" w:type="dxa"/>
          <w:left w:w="0" w:type="dxa"/>
          <w:bottom w:w="0" w:type="dxa"/>
          <w:right w:w="0" w:type="dxa"/>
        </w:tblCellMar>
      </w:tblPr>
      <w:tr>
        <w:trPr>
          <w:trHeight w:val="170"/>
        </w:trPr>
        <w:tc>
          <w:tcPr>
            <w:tcW w:w="4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ind w:left="100"/>
              <w:spacing w:after="0"/>
              <w:rPr>
                <w:sz w:val="20"/>
                <w:szCs w:val="20"/>
                <w:color w:val="auto"/>
              </w:rPr>
            </w:pPr>
            <w:r>
              <w:rPr>
                <w:rFonts w:ascii="Arial" w:cs="Arial" w:eastAsia="Arial" w:hAnsi="Arial"/>
                <w:sz w:val="13"/>
                <w:szCs w:val="13"/>
                <w:color w:val="auto"/>
              </w:rPr>
              <w:t>June 30, 2024</w:t>
            </w:r>
          </w:p>
        </w:tc>
        <w:tc>
          <w:tcPr>
            <w:tcW w:w="140" w:type="dxa"/>
            <w:vAlign w:val="bottom"/>
          </w:tcPr>
          <w:p>
            <w:pPr>
              <w:spacing w:after="0"/>
              <w:rPr>
                <w:sz w:val="14"/>
                <w:szCs w:val="14"/>
                <w:color w:val="auto"/>
              </w:rPr>
            </w:pPr>
          </w:p>
        </w:tc>
        <w:tc>
          <w:tcPr>
            <w:tcW w:w="1300" w:type="dxa"/>
            <w:vAlign w:val="bottom"/>
          </w:tcPr>
          <w:p>
            <w:pPr>
              <w:jc w:val="right"/>
              <w:ind w:right="96"/>
              <w:spacing w:after="0"/>
              <w:rPr>
                <w:sz w:val="20"/>
                <w:szCs w:val="20"/>
                <w:color w:val="auto"/>
              </w:rPr>
            </w:pPr>
            <w:r>
              <w:rPr>
                <w:rFonts w:ascii="Arial" w:cs="Arial" w:eastAsia="Arial" w:hAnsi="Arial"/>
                <w:sz w:val="13"/>
                <w:szCs w:val="13"/>
                <w:color w:val="auto"/>
                <w:w w:val="98"/>
              </w:rPr>
              <w:t>December 31, 2023</w:t>
            </w:r>
          </w:p>
        </w:tc>
      </w:tr>
      <w:tr>
        <w:trPr>
          <w:trHeight w:val="186"/>
        </w:trPr>
        <w:tc>
          <w:tcPr>
            <w:tcW w:w="46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Secured notes payable</w:t>
            </w:r>
          </w:p>
        </w:tc>
        <w:tc>
          <w:tcPr>
            <w:tcW w:w="22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1220" w:type="dxa"/>
            <w:vAlign w:val="bottom"/>
            <w:tcBorders>
              <w:top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134,942</w:t>
            </w:r>
          </w:p>
        </w:tc>
        <w:tc>
          <w:tcPr>
            <w:tcW w:w="2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300" w:type="dxa"/>
            <w:vAlign w:val="bottom"/>
            <w:tcBorders>
              <w:top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119,662</w:t>
            </w:r>
          </w:p>
        </w:tc>
      </w:tr>
      <w:tr>
        <w:trPr>
          <w:trHeight w:val="203"/>
        </w:trPr>
        <w:tc>
          <w:tcPr>
            <w:tcW w:w="4660" w:type="dxa"/>
            <w:vAlign w:val="bottom"/>
          </w:tcPr>
          <w:p>
            <w:pPr>
              <w:ind w:left="40"/>
              <w:spacing w:after="0"/>
              <w:rPr>
                <w:sz w:val="20"/>
                <w:szCs w:val="20"/>
                <w:color w:val="auto"/>
              </w:rPr>
            </w:pPr>
            <w:r>
              <w:rPr>
                <w:rFonts w:ascii="Arial" w:cs="Arial" w:eastAsia="Arial" w:hAnsi="Arial"/>
                <w:sz w:val="13"/>
                <w:szCs w:val="13"/>
                <w:color w:val="auto"/>
              </w:rPr>
              <w:t>Unsecured senior notes payable</w:t>
            </w:r>
          </w:p>
        </w:tc>
        <w:tc>
          <w:tcPr>
            <w:tcW w:w="220" w:type="dxa"/>
            <w:vAlign w:val="bottom"/>
          </w:tcPr>
          <w:p>
            <w:pPr>
              <w:spacing w:after="0"/>
              <w:rPr>
                <w:sz w:val="17"/>
                <w:szCs w:val="17"/>
                <w:color w:val="auto"/>
              </w:rPr>
            </w:pPr>
          </w:p>
        </w:tc>
        <w:tc>
          <w:tcPr>
            <w:tcW w:w="1220" w:type="dxa"/>
            <w:vAlign w:val="bottom"/>
          </w:tcPr>
          <w:p>
            <w:pPr>
              <w:jc w:val="right"/>
              <w:ind w:right="56"/>
              <w:spacing w:after="0"/>
              <w:rPr>
                <w:sz w:val="20"/>
                <w:szCs w:val="20"/>
                <w:color w:val="auto"/>
              </w:rPr>
            </w:pPr>
            <w:r>
              <w:rPr>
                <w:rFonts w:ascii="Arial" w:cs="Arial" w:eastAsia="Arial" w:hAnsi="Arial"/>
                <w:sz w:val="13"/>
                <w:szCs w:val="13"/>
                <w:color w:val="auto"/>
              </w:rPr>
              <w:t>12,089,561</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ind w:right="76"/>
              <w:spacing w:after="0"/>
              <w:rPr>
                <w:sz w:val="20"/>
                <w:szCs w:val="20"/>
                <w:color w:val="auto"/>
              </w:rPr>
            </w:pPr>
            <w:r>
              <w:rPr>
                <w:rFonts w:ascii="Arial" w:cs="Arial" w:eastAsia="Arial" w:hAnsi="Arial"/>
                <w:sz w:val="13"/>
                <w:szCs w:val="13"/>
                <w:color w:val="auto"/>
              </w:rPr>
              <w:t>11,096,028</w:t>
            </w:r>
          </w:p>
        </w:tc>
      </w:tr>
      <w:tr>
        <w:trPr>
          <w:trHeight w:val="206"/>
        </w:trPr>
        <w:tc>
          <w:tcPr>
            <w:tcW w:w="4660" w:type="dxa"/>
            <w:vAlign w:val="bottom"/>
            <w:shd w:val="clear" w:color="auto" w:fill="CCEEFF"/>
          </w:tcPr>
          <w:p>
            <w:pPr>
              <w:ind w:left="40"/>
              <w:spacing w:after="0"/>
              <w:rPr>
                <w:sz w:val="20"/>
                <w:szCs w:val="20"/>
                <w:color w:val="auto"/>
              </w:rPr>
            </w:pPr>
            <w:r>
              <w:rPr>
                <w:rFonts w:ascii="Arial" w:cs="Arial" w:eastAsia="Arial" w:hAnsi="Arial"/>
                <w:sz w:val="13"/>
                <w:szCs w:val="13"/>
                <w:color w:val="auto"/>
              </w:rPr>
              <w:t>Unsecured senior line of credit and commercial paper</w:t>
            </w: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199,552</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99,952</w:t>
            </w:r>
          </w:p>
        </w:tc>
      </w:tr>
      <w:tr>
        <w:trPr>
          <w:trHeight w:val="203"/>
        </w:trPr>
        <w:tc>
          <w:tcPr>
            <w:tcW w:w="4660" w:type="dxa"/>
            <w:vAlign w:val="bottom"/>
          </w:tcPr>
          <w:p>
            <w:pPr>
              <w:ind w:left="40"/>
              <w:spacing w:after="0"/>
              <w:rPr>
                <w:sz w:val="20"/>
                <w:szCs w:val="20"/>
                <w:color w:val="auto"/>
              </w:rPr>
            </w:pPr>
            <w:r>
              <w:rPr>
                <w:rFonts w:ascii="Arial" w:cs="Arial" w:eastAsia="Arial" w:hAnsi="Arial"/>
                <w:sz w:val="13"/>
                <w:szCs w:val="13"/>
                <w:color w:val="auto"/>
              </w:rPr>
              <w:t>Unamortized deferred financing costs</w:t>
            </w:r>
          </w:p>
        </w:tc>
        <w:tc>
          <w:tcPr>
            <w:tcW w:w="220" w:type="dxa"/>
            <w:vAlign w:val="bottom"/>
          </w:tcPr>
          <w:p>
            <w:pPr>
              <w:spacing w:after="0"/>
              <w:rPr>
                <w:sz w:val="17"/>
                <w:szCs w:val="17"/>
                <w:color w:val="auto"/>
              </w:rPr>
            </w:pPr>
          </w:p>
        </w:tc>
        <w:tc>
          <w:tcPr>
            <w:tcW w:w="1220" w:type="dxa"/>
            <w:vAlign w:val="bottom"/>
          </w:tcPr>
          <w:p>
            <w:pPr>
              <w:jc w:val="right"/>
              <w:ind w:right="56"/>
              <w:spacing w:after="0"/>
              <w:rPr>
                <w:sz w:val="20"/>
                <w:szCs w:val="20"/>
                <w:color w:val="auto"/>
              </w:rPr>
            </w:pPr>
            <w:r>
              <w:rPr>
                <w:rFonts w:ascii="Arial" w:cs="Arial" w:eastAsia="Arial" w:hAnsi="Arial"/>
                <w:sz w:val="13"/>
                <w:szCs w:val="13"/>
                <w:color w:val="auto"/>
              </w:rPr>
              <w:t>81,942</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ind w:right="56"/>
              <w:spacing w:after="0"/>
              <w:rPr>
                <w:sz w:val="20"/>
                <w:szCs w:val="20"/>
                <w:color w:val="auto"/>
              </w:rPr>
            </w:pPr>
            <w:r>
              <w:rPr>
                <w:rFonts w:ascii="Arial" w:cs="Arial" w:eastAsia="Arial" w:hAnsi="Arial"/>
                <w:sz w:val="13"/>
                <w:szCs w:val="13"/>
                <w:color w:val="auto"/>
              </w:rPr>
              <w:t>76,329</w:t>
            </w:r>
          </w:p>
        </w:tc>
      </w:tr>
      <w:tr>
        <w:trPr>
          <w:trHeight w:val="206"/>
        </w:trPr>
        <w:tc>
          <w:tcPr>
            <w:tcW w:w="4660" w:type="dxa"/>
            <w:vAlign w:val="bottom"/>
            <w:shd w:val="clear" w:color="auto" w:fill="CCEEFF"/>
          </w:tcPr>
          <w:p>
            <w:pPr>
              <w:ind w:left="40"/>
              <w:spacing w:after="0"/>
              <w:rPr>
                <w:sz w:val="20"/>
                <w:szCs w:val="20"/>
                <w:color w:val="auto"/>
              </w:rPr>
            </w:pPr>
            <w:r>
              <w:rPr>
                <w:rFonts w:ascii="Arial" w:cs="Arial" w:eastAsia="Arial" w:hAnsi="Arial"/>
                <w:sz w:val="13"/>
                <w:szCs w:val="13"/>
                <w:color w:val="auto"/>
              </w:rPr>
              <w:t>Cash and cash equivalents</w:t>
            </w: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(561,021)</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(618,190)</w:t>
            </w:r>
          </w:p>
        </w:tc>
      </w:tr>
      <w:tr>
        <w:trPr>
          <w:trHeight w:val="203"/>
        </w:trPr>
        <w:tc>
          <w:tcPr>
            <w:tcW w:w="4660" w:type="dxa"/>
            <w:vAlign w:val="bottom"/>
          </w:tcPr>
          <w:p>
            <w:pPr>
              <w:ind w:left="40"/>
              <w:spacing w:after="0"/>
              <w:rPr>
                <w:sz w:val="20"/>
                <w:szCs w:val="20"/>
                <w:color w:val="auto"/>
              </w:rPr>
            </w:pPr>
            <w:r>
              <w:rPr>
                <w:rFonts w:ascii="Arial" w:cs="Arial" w:eastAsia="Arial" w:hAnsi="Arial"/>
                <w:sz w:val="13"/>
                <w:szCs w:val="13"/>
                <w:color w:val="auto"/>
              </w:rPr>
              <w:t>Restricted cash</w:t>
            </w:r>
          </w:p>
        </w:tc>
        <w:tc>
          <w:tcPr>
            <w:tcW w:w="220" w:type="dxa"/>
            <w:vAlign w:val="bottom"/>
          </w:tcPr>
          <w:p>
            <w:pPr>
              <w:spacing w:after="0"/>
              <w:rPr>
                <w:sz w:val="17"/>
                <w:szCs w:val="17"/>
                <w:color w:val="auto"/>
              </w:rPr>
            </w:pPr>
          </w:p>
        </w:tc>
        <w:tc>
          <w:tcPr>
            <w:tcW w:w="1220" w:type="dxa"/>
            <w:vAlign w:val="bottom"/>
          </w:tcPr>
          <w:p>
            <w:pPr>
              <w:jc w:val="right"/>
              <w:ind w:right="16"/>
              <w:spacing w:after="0"/>
              <w:rPr>
                <w:sz w:val="20"/>
                <w:szCs w:val="20"/>
                <w:color w:val="auto"/>
              </w:rPr>
            </w:pPr>
            <w:r>
              <w:rPr>
                <w:rFonts w:ascii="Arial" w:cs="Arial" w:eastAsia="Arial" w:hAnsi="Arial"/>
                <w:sz w:val="13"/>
                <w:szCs w:val="13"/>
                <w:color w:val="auto"/>
              </w:rPr>
              <w:t>(4,832)</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ind w:right="16"/>
              <w:spacing w:after="0"/>
              <w:rPr>
                <w:sz w:val="20"/>
                <w:szCs w:val="20"/>
                <w:color w:val="auto"/>
              </w:rPr>
            </w:pPr>
            <w:r>
              <w:rPr>
                <w:rFonts w:ascii="Arial" w:cs="Arial" w:eastAsia="Arial" w:hAnsi="Arial"/>
                <w:sz w:val="13"/>
                <w:szCs w:val="13"/>
                <w:color w:val="auto"/>
              </w:rPr>
              <w:t>(42,581)</w:t>
            </w:r>
          </w:p>
        </w:tc>
      </w:tr>
      <w:tr>
        <w:trPr>
          <w:trHeight w:val="204"/>
        </w:trPr>
        <w:tc>
          <w:tcPr>
            <w:tcW w:w="4660" w:type="dxa"/>
            <w:vAlign w:val="bottom"/>
            <w:shd w:val="clear" w:color="auto" w:fill="CCEEFF"/>
          </w:tcPr>
          <w:p>
            <w:pPr>
              <w:ind w:left="40"/>
              <w:spacing w:after="0"/>
              <w:rPr>
                <w:sz w:val="20"/>
                <w:szCs w:val="20"/>
                <w:color w:val="auto"/>
              </w:rPr>
            </w:pPr>
            <w:r>
              <w:rPr>
                <w:rFonts w:ascii="Arial" w:cs="Arial" w:eastAsia="Arial" w:hAnsi="Arial"/>
                <w:sz w:val="13"/>
                <w:szCs w:val="13"/>
                <w:color w:val="auto"/>
              </w:rPr>
              <w:t>Preferred stock</w:t>
            </w:r>
          </w:p>
        </w:tc>
        <w:tc>
          <w:tcPr>
            <w:tcW w:w="22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r>
      <w:tr>
        <w:trPr>
          <w:trHeight w:val="164"/>
        </w:trPr>
        <w:tc>
          <w:tcPr>
            <w:tcW w:w="4660" w:type="dxa"/>
            <w:vAlign w:val="bottom"/>
          </w:tcPr>
          <w:p>
            <w:pPr>
              <w:ind w:left="40"/>
              <w:spacing w:after="0"/>
              <w:rPr>
                <w:sz w:val="20"/>
                <w:szCs w:val="20"/>
                <w:color w:val="auto"/>
              </w:rPr>
            </w:pPr>
            <w:r>
              <w:rPr>
                <w:rFonts w:ascii="Arial" w:cs="Arial" w:eastAsia="Arial" w:hAnsi="Arial"/>
                <w:sz w:val="13"/>
                <w:szCs w:val="13"/>
                <w:color w:val="auto"/>
              </w:rPr>
              <w:t>Net debt and preferred stock</w:t>
            </w:r>
          </w:p>
        </w:tc>
        <w:tc>
          <w:tcPr>
            <w:tcW w:w="2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3"/>
                <w:szCs w:val="13"/>
                <w:color w:val="auto"/>
              </w:rPr>
              <w:t>$</w:t>
            </w:r>
          </w:p>
        </w:tc>
        <w:tc>
          <w:tcPr>
            <w:tcW w:w="122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3"/>
                <w:szCs w:val="13"/>
                <w:color w:val="auto"/>
              </w:rPr>
              <w:t>11,940,144</w:t>
            </w:r>
          </w:p>
        </w:tc>
        <w:tc>
          <w:tcPr>
            <w:tcW w:w="2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30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3"/>
                <w:szCs w:val="13"/>
                <w:color w:val="auto"/>
              </w:rPr>
              <w:t>10,731,200</w:t>
            </w:r>
          </w:p>
        </w:tc>
      </w:tr>
      <w:tr>
        <w:trPr>
          <w:trHeight w:val="20"/>
        </w:trPr>
        <w:tc>
          <w:tcPr>
            <w:tcW w:w="46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44"/>
        </w:trPr>
        <w:tc>
          <w:tcPr>
            <w:tcW w:w="4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r>
      <w:tr>
        <w:trPr>
          <w:trHeight w:val="203"/>
        </w:trPr>
        <w:tc>
          <w:tcPr>
            <w:tcW w:w="4660" w:type="dxa"/>
            <w:vAlign w:val="bottom"/>
          </w:tcPr>
          <w:p>
            <w:pPr>
              <w:ind w:left="40"/>
              <w:spacing w:after="0"/>
              <w:rPr>
                <w:sz w:val="20"/>
                <w:szCs w:val="20"/>
                <w:color w:val="auto"/>
              </w:rPr>
            </w:pPr>
            <w:r>
              <w:rPr>
                <w:rFonts w:ascii="Arial" w:cs="Arial" w:eastAsia="Arial" w:hAnsi="Arial"/>
                <w:sz w:val="13"/>
                <w:szCs w:val="13"/>
                <w:color w:val="auto"/>
              </w:rPr>
              <w:t>Adjusted EBITDA:</w:t>
            </w: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6"/>
        </w:trPr>
        <w:tc>
          <w:tcPr>
            <w:tcW w:w="4660" w:type="dxa"/>
            <w:vAlign w:val="bottom"/>
            <w:shd w:val="clear" w:color="auto" w:fill="CCEEFF"/>
          </w:tcPr>
          <w:p>
            <w:pPr>
              <w:ind w:left="200"/>
              <w:spacing w:after="0"/>
              <w:rPr>
                <w:sz w:val="20"/>
                <w:szCs w:val="20"/>
                <w:color w:val="auto"/>
              </w:rPr>
            </w:pPr>
            <w:r>
              <w:rPr>
                <w:rFonts w:ascii="Arial" w:cs="Arial" w:eastAsia="Arial" w:hAnsi="Arial"/>
                <w:sz w:val="13"/>
                <w:szCs w:val="13"/>
                <w:color w:val="auto"/>
              </w:rPr>
              <w:t>– quarter annualized</w:t>
            </w:r>
          </w:p>
        </w:tc>
        <w:tc>
          <w:tcPr>
            <w:tcW w:w="2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12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2,216,144</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3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2,094,988</w:t>
            </w:r>
          </w:p>
        </w:tc>
      </w:tr>
      <w:tr>
        <w:trPr>
          <w:trHeight w:val="203"/>
        </w:trPr>
        <w:tc>
          <w:tcPr>
            <w:tcW w:w="4660" w:type="dxa"/>
            <w:vAlign w:val="bottom"/>
          </w:tcPr>
          <w:p>
            <w:pPr>
              <w:ind w:left="200"/>
              <w:spacing w:after="0"/>
              <w:rPr>
                <w:sz w:val="20"/>
                <w:szCs w:val="20"/>
                <w:color w:val="auto"/>
              </w:rPr>
            </w:pPr>
            <w:r>
              <w:rPr>
                <w:rFonts w:ascii="Arial" w:cs="Arial" w:eastAsia="Arial" w:hAnsi="Arial"/>
                <w:sz w:val="13"/>
                <w:szCs w:val="13"/>
                <w:color w:val="auto"/>
              </w:rPr>
              <w:t>– trailing 12 months</w:t>
            </w:r>
          </w:p>
        </w:tc>
        <w:tc>
          <w:tcPr>
            <w:tcW w:w="22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56"/>
              <w:spacing w:after="0"/>
              <w:rPr>
                <w:sz w:val="20"/>
                <w:szCs w:val="20"/>
                <w:color w:val="auto"/>
              </w:rPr>
            </w:pPr>
            <w:r>
              <w:rPr>
                <w:rFonts w:ascii="Arial" w:cs="Arial" w:eastAsia="Arial" w:hAnsi="Arial"/>
                <w:sz w:val="13"/>
                <w:szCs w:val="13"/>
                <w:color w:val="auto"/>
              </w:rPr>
              <w:t>2,122,250</w:t>
            </w:r>
          </w:p>
        </w:tc>
        <w:tc>
          <w:tcPr>
            <w:tcW w:w="2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56"/>
              <w:spacing w:after="0"/>
              <w:rPr>
                <w:sz w:val="20"/>
                <w:szCs w:val="20"/>
                <w:color w:val="auto"/>
              </w:rPr>
            </w:pPr>
            <w:r>
              <w:rPr>
                <w:rFonts w:ascii="Arial" w:cs="Arial" w:eastAsia="Arial" w:hAnsi="Arial"/>
                <w:sz w:val="13"/>
                <w:szCs w:val="13"/>
                <w:color w:val="auto"/>
              </w:rPr>
              <w:t>1,997,518</w:t>
            </w:r>
          </w:p>
        </w:tc>
      </w:tr>
      <w:tr>
        <w:trPr>
          <w:trHeight w:val="184"/>
        </w:trPr>
        <w:tc>
          <w:tcPr>
            <w:tcW w:w="4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r>
      <w:tr>
        <w:trPr>
          <w:trHeight w:val="203"/>
        </w:trPr>
        <w:tc>
          <w:tcPr>
            <w:tcW w:w="4660" w:type="dxa"/>
            <w:vAlign w:val="bottom"/>
          </w:tcPr>
          <w:p>
            <w:pPr>
              <w:ind w:left="40"/>
              <w:spacing w:after="0"/>
              <w:rPr>
                <w:sz w:val="20"/>
                <w:szCs w:val="20"/>
                <w:color w:val="auto"/>
              </w:rPr>
            </w:pPr>
            <w:r>
              <w:rPr>
                <w:rFonts w:ascii="Arial" w:cs="Arial" w:eastAsia="Arial" w:hAnsi="Arial"/>
                <w:sz w:val="13"/>
                <w:szCs w:val="13"/>
                <w:color w:val="auto"/>
              </w:rPr>
              <w:t>Net debt and preferred stock to Adjusted EBITDA:</w:t>
            </w: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6"/>
        </w:trPr>
        <w:tc>
          <w:tcPr>
            <w:tcW w:w="4660" w:type="dxa"/>
            <w:vAlign w:val="bottom"/>
            <w:shd w:val="clear" w:color="auto" w:fill="CCEEFF"/>
          </w:tcPr>
          <w:p>
            <w:pPr>
              <w:ind w:left="200"/>
              <w:spacing w:after="0"/>
              <w:rPr>
                <w:sz w:val="20"/>
                <w:szCs w:val="20"/>
                <w:color w:val="auto"/>
              </w:rPr>
            </w:pPr>
            <w:r>
              <w:rPr>
                <w:rFonts w:ascii="Arial" w:cs="Arial" w:eastAsia="Arial" w:hAnsi="Arial"/>
                <w:sz w:val="13"/>
                <w:szCs w:val="13"/>
                <w:color w:val="auto"/>
              </w:rPr>
              <w:t>– quarter annualized</w:t>
            </w:r>
          </w:p>
        </w:tc>
        <w:tc>
          <w:tcPr>
            <w:tcW w:w="22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ind w:left="920"/>
              <w:spacing w:after="0"/>
              <w:rPr>
                <w:sz w:val="20"/>
                <w:szCs w:val="20"/>
                <w:color w:val="auto"/>
              </w:rPr>
            </w:pPr>
            <w:r>
              <w:rPr>
                <w:rFonts w:ascii="Arial" w:cs="Arial" w:eastAsia="Arial" w:hAnsi="Arial"/>
                <w:sz w:val="13"/>
                <w:szCs w:val="13"/>
                <w:color w:val="auto"/>
              </w:rPr>
              <w:t>5.4x</w:t>
            </w: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5.1x</w:t>
            </w:r>
          </w:p>
        </w:tc>
      </w:tr>
      <w:tr>
        <w:trPr>
          <w:trHeight w:val="201"/>
        </w:trPr>
        <w:tc>
          <w:tcPr>
            <w:tcW w:w="4660" w:type="dxa"/>
            <w:vAlign w:val="bottom"/>
          </w:tcPr>
          <w:p>
            <w:pPr>
              <w:ind w:left="200"/>
              <w:spacing w:after="0"/>
              <w:rPr>
                <w:sz w:val="20"/>
                <w:szCs w:val="20"/>
                <w:color w:val="auto"/>
              </w:rPr>
            </w:pPr>
            <w:r>
              <w:rPr>
                <w:rFonts w:ascii="Arial" w:cs="Arial" w:eastAsia="Arial" w:hAnsi="Arial"/>
                <w:sz w:val="13"/>
                <w:szCs w:val="13"/>
                <w:color w:val="auto"/>
              </w:rPr>
              <w:t>– trailing 12 months</w:t>
            </w:r>
          </w:p>
        </w:tc>
        <w:tc>
          <w:tcPr>
            <w:tcW w:w="220" w:type="dxa"/>
            <w:vAlign w:val="bottom"/>
          </w:tcPr>
          <w:p>
            <w:pPr>
              <w:spacing w:after="0"/>
              <w:rPr>
                <w:sz w:val="17"/>
                <w:szCs w:val="17"/>
                <w:color w:val="auto"/>
              </w:rPr>
            </w:pPr>
          </w:p>
        </w:tc>
        <w:tc>
          <w:tcPr>
            <w:tcW w:w="1420" w:type="dxa"/>
            <w:vAlign w:val="bottom"/>
            <w:gridSpan w:val="2"/>
          </w:tcPr>
          <w:p>
            <w:pPr>
              <w:ind w:left="920"/>
              <w:spacing w:after="0"/>
              <w:rPr>
                <w:sz w:val="20"/>
                <w:szCs w:val="20"/>
                <w:color w:val="auto"/>
              </w:rPr>
            </w:pPr>
            <w:r>
              <w:rPr>
                <w:rFonts w:ascii="Arial" w:cs="Arial" w:eastAsia="Arial" w:hAnsi="Arial"/>
                <w:sz w:val="13"/>
                <w:szCs w:val="13"/>
                <w:color w:val="auto"/>
              </w:rPr>
              <w:t>5.6x</w:t>
            </w: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5.4x</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188595</wp:posOffset>
            </wp:positionV>
            <wp:extent cx="5584190" cy="369252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584190" cy="3692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40"/>
        <w:spacing w:after="0"/>
        <w:rPr>
          <w:sz w:val="20"/>
          <w:szCs w:val="20"/>
          <w:color w:val="auto"/>
        </w:rPr>
      </w:pPr>
      <w:r>
        <w:rPr>
          <w:rFonts w:ascii="Arial" w:cs="Arial" w:eastAsia="Arial" w:hAnsi="Arial"/>
          <w:sz w:val="13"/>
          <w:szCs w:val="13"/>
          <w:u w:val="single" w:color="auto"/>
          <w:color w:val="auto"/>
        </w:rPr>
        <w:t>Net operating income, net operating income (cash basis), and operating margin</w:t>
      </w:r>
    </w:p>
    <w:p>
      <w:pPr>
        <w:spacing w:after="0" w:line="162" w:lineRule="exact"/>
        <w:rPr>
          <w:sz w:val="20"/>
          <w:szCs w:val="20"/>
          <w:color w:val="auto"/>
        </w:rPr>
      </w:pPr>
    </w:p>
    <w:p>
      <w:pPr>
        <w:ind w:left="640" w:right="1059" w:firstLine="516"/>
        <w:spacing w:after="0" w:line="272" w:lineRule="auto"/>
        <w:rPr>
          <w:sz w:val="20"/>
          <w:szCs w:val="20"/>
          <w:color w:val="auto"/>
        </w:rPr>
      </w:pPr>
      <w:r>
        <w:rPr>
          <w:rFonts w:ascii="Arial" w:cs="Arial" w:eastAsia="Arial" w:hAnsi="Arial"/>
          <w:sz w:val="13"/>
          <w:szCs w:val="13"/>
          <w:color w:val="auto"/>
        </w:rPr>
        <w:t>The following table reconciles net income to net operating income and net operating income (cash basis) and computes operating margin for the three and six months ended June 30, 2024 and 2023 (dollars in thousands):</w:t>
      </w:r>
    </w:p>
    <w:p>
      <w:pPr>
        <w:spacing w:after="0" w:line="112" w:lineRule="exact"/>
        <w:rPr>
          <w:sz w:val="20"/>
          <w:szCs w:val="20"/>
          <w:color w:val="auto"/>
        </w:rPr>
      </w:pPr>
    </w:p>
    <w:tbl>
      <w:tblPr>
        <w:tblLayout w:type="fixed"/>
        <w:tblInd w:w="640" w:type="dxa"/>
        <w:tblCellMar>
          <w:top w:w="0" w:type="dxa"/>
          <w:left w:w="0" w:type="dxa"/>
          <w:bottom w:w="0" w:type="dxa"/>
          <w:right w:w="0" w:type="dxa"/>
        </w:tblCellMar>
      </w:tblPr>
      <w:tr>
        <w:trPr>
          <w:trHeight w:val="170"/>
        </w:trPr>
        <w:tc>
          <w:tcPr>
            <w:tcW w:w="3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gridSpan w:val="5"/>
          </w:tcPr>
          <w:p>
            <w:pPr>
              <w:ind w:left="20"/>
              <w:spacing w:after="0"/>
              <w:rPr>
                <w:sz w:val="20"/>
                <w:szCs w:val="20"/>
                <w:color w:val="auto"/>
              </w:rPr>
            </w:pPr>
            <w:r>
              <w:rPr>
                <w:rFonts w:ascii="Arial" w:cs="Arial" w:eastAsia="Arial" w:hAnsi="Arial"/>
                <w:sz w:val="13"/>
                <w:szCs w:val="13"/>
                <w:color w:val="auto"/>
              </w:rPr>
              <w:t>Three Months Ended June 30,</w:t>
            </w:r>
          </w:p>
        </w:tc>
        <w:tc>
          <w:tcPr>
            <w:tcW w:w="180" w:type="dxa"/>
            <w:vAlign w:val="bottom"/>
          </w:tcPr>
          <w:p>
            <w:pPr>
              <w:spacing w:after="0"/>
              <w:rPr>
                <w:sz w:val="14"/>
                <w:szCs w:val="14"/>
                <w:color w:val="auto"/>
              </w:rPr>
            </w:pPr>
          </w:p>
        </w:tc>
        <w:tc>
          <w:tcPr>
            <w:tcW w:w="1840" w:type="dxa"/>
            <w:vAlign w:val="bottom"/>
            <w:gridSpan w:val="4"/>
          </w:tcPr>
          <w:p>
            <w:pPr>
              <w:jc w:val="right"/>
              <w:ind w:right="136"/>
              <w:spacing w:after="0"/>
              <w:rPr>
                <w:sz w:val="20"/>
                <w:szCs w:val="20"/>
                <w:color w:val="auto"/>
              </w:rPr>
            </w:pPr>
            <w:r>
              <w:rPr>
                <w:rFonts w:ascii="Arial" w:cs="Arial" w:eastAsia="Arial" w:hAnsi="Arial"/>
                <w:sz w:val="13"/>
                <w:szCs w:val="13"/>
                <w:color w:val="auto"/>
              </w:rPr>
              <w:t>Six Months Ended June 30,</w:t>
            </w:r>
          </w:p>
        </w:tc>
      </w:tr>
      <w:tr>
        <w:trPr>
          <w:trHeight w:val="184"/>
        </w:trPr>
        <w:tc>
          <w:tcPr>
            <w:tcW w:w="364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276"/>
              <w:spacing w:after="0"/>
              <w:rPr>
                <w:sz w:val="20"/>
                <w:szCs w:val="20"/>
                <w:color w:val="auto"/>
              </w:rPr>
            </w:pPr>
            <w:r>
              <w:rPr>
                <w:rFonts w:ascii="Arial" w:cs="Arial" w:eastAsia="Arial" w:hAnsi="Arial"/>
                <w:sz w:val="13"/>
                <w:szCs w:val="13"/>
                <w:color w:val="auto"/>
              </w:rPr>
              <w:t>2024</w:t>
            </w:r>
          </w:p>
        </w:tc>
        <w:tc>
          <w:tcPr>
            <w:tcW w:w="40" w:type="dxa"/>
            <w:vAlign w:val="bottom"/>
            <w:tcBorders>
              <w:top w:val="single" w:sz="8" w:color="auto"/>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ind w:right="276"/>
              <w:spacing w:after="0"/>
              <w:rPr>
                <w:sz w:val="20"/>
                <w:szCs w:val="20"/>
                <w:color w:val="auto"/>
              </w:rPr>
            </w:pPr>
            <w:r>
              <w:rPr>
                <w:rFonts w:ascii="Arial" w:cs="Arial" w:eastAsia="Arial" w:hAnsi="Arial"/>
                <w:sz w:val="13"/>
                <w:szCs w:val="13"/>
                <w:color w:val="auto"/>
              </w:rPr>
              <w:t>2023</w:t>
            </w:r>
          </w:p>
        </w:tc>
        <w:tc>
          <w:tcPr>
            <w:tcW w:w="4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ind w:right="276"/>
              <w:spacing w:after="0"/>
              <w:rPr>
                <w:sz w:val="20"/>
                <w:szCs w:val="20"/>
                <w:color w:val="auto"/>
              </w:rPr>
            </w:pPr>
            <w:r>
              <w:rPr>
                <w:rFonts w:ascii="Arial" w:cs="Arial" w:eastAsia="Arial" w:hAnsi="Arial"/>
                <w:sz w:val="13"/>
                <w:szCs w:val="13"/>
                <w:color w:val="auto"/>
              </w:rPr>
              <w:t>2024</w:t>
            </w:r>
          </w:p>
        </w:tc>
        <w:tc>
          <w:tcPr>
            <w:tcW w:w="60" w:type="dxa"/>
            <w:vAlign w:val="bottom"/>
            <w:tcBorders>
              <w:top w:val="single" w:sz="8" w:color="auto"/>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ind w:right="276"/>
              <w:spacing w:after="0"/>
              <w:rPr>
                <w:sz w:val="20"/>
                <w:szCs w:val="20"/>
                <w:color w:val="auto"/>
              </w:rPr>
            </w:pPr>
            <w:r>
              <w:rPr>
                <w:rFonts w:ascii="Arial" w:cs="Arial" w:eastAsia="Arial" w:hAnsi="Arial"/>
                <w:sz w:val="13"/>
                <w:szCs w:val="13"/>
                <w:color w:val="auto"/>
              </w:rPr>
              <w:t>2023</w:t>
            </w:r>
          </w:p>
        </w:tc>
      </w:tr>
      <w:tr>
        <w:trPr>
          <w:trHeight w:val="186"/>
        </w:trPr>
        <w:tc>
          <w:tcPr>
            <w:tcW w:w="3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94,049</w:t>
            </w: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133,705</w:t>
            </w: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313,225</w:t>
            </w: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255,398</w:t>
            </w:r>
          </w:p>
        </w:tc>
      </w:tr>
      <w:tr>
        <w:trPr>
          <w:trHeight w:val="204"/>
        </w:trPr>
        <w:tc>
          <w:tcPr>
            <w:tcW w:w="3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4"/>
        </w:trPr>
        <w:tc>
          <w:tcPr>
            <w:tcW w:w="3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Equity in earnings of unconsolidated real estate joint ventures</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(130)</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(181)</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(285)</w:t>
            </w: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(375)</w:t>
            </w:r>
          </w:p>
        </w:tc>
      </w:tr>
      <w:tr>
        <w:trPr>
          <w:trHeight w:val="203"/>
        </w:trPr>
        <w:tc>
          <w:tcPr>
            <w:tcW w:w="3640" w:type="dxa"/>
            <w:vAlign w:val="bottom"/>
          </w:tcPr>
          <w:p>
            <w:pPr>
              <w:ind w:left="40"/>
              <w:spacing w:after="0"/>
              <w:rPr>
                <w:sz w:val="20"/>
                <w:szCs w:val="20"/>
                <w:color w:val="auto"/>
              </w:rPr>
            </w:pPr>
            <w:r>
              <w:rPr>
                <w:rFonts w:ascii="Arial" w:cs="Arial" w:eastAsia="Arial" w:hAnsi="Arial"/>
                <w:sz w:val="13"/>
                <w:szCs w:val="13"/>
                <w:color w:val="auto"/>
              </w:rPr>
              <w:t>General and administrative expenses</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44,629</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45,882</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91,684</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94,078</w:t>
            </w:r>
          </w:p>
        </w:tc>
      </w:tr>
      <w:tr>
        <w:trPr>
          <w:trHeight w:val="206"/>
        </w:trPr>
        <w:tc>
          <w:tcPr>
            <w:tcW w:w="3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Interest expense</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45,789</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17,072</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86,629</w:t>
            </w: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30,826</w:t>
            </w:r>
          </w:p>
        </w:tc>
      </w:tr>
      <w:tr>
        <w:trPr>
          <w:trHeight w:val="203"/>
        </w:trPr>
        <w:tc>
          <w:tcPr>
            <w:tcW w:w="3640" w:type="dxa"/>
            <w:vAlign w:val="bottom"/>
          </w:tcPr>
          <w:p>
            <w:pPr>
              <w:ind w:left="40"/>
              <w:spacing w:after="0"/>
              <w:rPr>
                <w:sz w:val="20"/>
                <w:szCs w:val="20"/>
                <w:color w:val="auto"/>
              </w:rPr>
            </w:pPr>
            <w:r>
              <w:rPr>
                <w:rFonts w:ascii="Arial" w:cs="Arial" w:eastAsia="Arial" w:hAnsi="Arial"/>
                <w:sz w:val="13"/>
                <w:szCs w:val="13"/>
                <w:color w:val="auto"/>
              </w:rPr>
              <w:t>Depreciation and amortization</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290,720</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273,555</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578,274</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538,857</w:t>
            </w:r>
          </w:p>
        </w:tc>
      </w:tr>
      <w:tr>
        <w:trPr>
          <w:trHeight w:val="206"/>
        </w:trPr>
        <w:tc>
          <w:tcPr>
            <w:tcW w:w="3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Impairment of real estate</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30,763</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168,575</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30,763</w:t>
            </w: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168,575</w:t>
            </w:r>
          </w:p>
        </w:tc>
      </w:tr>
      <w:tr>
        <w:trPr>
          <w:trHeight w:val="203"/>
        </w:trPr>
        <w:tc>
          <w:tcPr>
            <w:tcW w:w="3640" w:type="dxa"/>
            <w:vAlign w:val="bottom"/>
          </w:tcPr>
          <w:p>
            <w:pPr>
              <w:ind w:left="40"/>
              <w:spacing w:after="0"/>
              <w:rPr>
                <w:sz w:val="20"/>
                <w:szCs w:val="20"/>
                <w:color w:val="auto"/>
              </w:rPr>
            </w:pPr>
            <w:r>
              <w:rPr>
                <w:rFonts w:ascii="Arial" w:cs="Arial" w:eastAsia="Arial" w:hAnsi="Arial"/>
                <w:sz w:val="13"/>
                <w:szCs w:val="13"/>
                <w:color w:val="auto"/>
              </w:rPr>
              <w:t>Gain on sales of real estate</w:t>
            </w:r>
          </w:p>
        </w:tc>
        <w:tc>
          <w:tcPr>
            <w:tcW w:w="12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(214,810)</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(392)</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(214,810)</w:t>
            </w:r>
          </w:p>
        </w:tc>
      </w:tr>
      <w:tr>
        <w:trPr>
          <w:trHeight w:val="204"/>
        </w:trPr>
        <w:tc>
          <w:tcPr>
            <w:tcW w:w="3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Investment loss</w:t>
            </w: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43,660</w:t>
            </w:r>
          </w:p>
        </w:tc>
        <w:tc>
          <w:tcPr>
            <w:tcW w:w="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78,268</w:t>
            </w:r>
          </w:p>
        </w:tc>
        <w:tc>
          <w:tcPr>
            <w:tcW w:w="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376</w:t>
            </w:r>
          </w:p>
        </w:tc>
        <w:tc>
          <w:tcPr>
            <w:tcW w:w="6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123,379</w:t>
            </w:r>
          </w:p>
        </w:tc>
      </w:tr>
      <w:tr>
        <w:trPr>
          <w:trHeight w:val="184"/>
        </w:trPr>
        <w:tc>
          <w:tcPr>
            <w:tcW w:w="3640" w:type="dxa"/>
            <w:vAlign w:val="bottom"/>
          </w:tcPr>
          <w:p>
            <w:pPr>
              <w:ind w:left="40"/>
              <w:spacing w:after="0"/>
              <w:rPr>
                <w:sz w:val="20"/>
                <w:szCs w:val="20"/>
                <w:color w:val="auto"/>
              </w:rPr>
            </w:pPr>
            <w:r>
              <w:rPr>
                <w:rFonts w:ascii="Arial" w:cs="Arial" w:eastAsia="Arial" w:hAnsi="Arial"/>
                <w:sz w:val="13"/>
                <w:szCs w:val="13"/>
                <w:color w:val="auto"/>
              </w:rPr>
              <w:t>Net operating income</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549,480</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502,066</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1,100,274</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995,928</w:t>
            </w:r>
          </w:p>
        </w:tc>
      </w:tr>
      <w:tr>
        <w:trPr>
          <w:trHeight w:val="206"/>
        </w:trPr>
        <w:tc>
          <w:tcPr>
            <w:tcW w:w="36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Straight-line rent revenue</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(48,338)</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(29,335)</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(96,589)</w:t>
            </w: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(62,526)</w:t>
            </w:r>
          </w:p>
        </w:tc>
      </w:tr>
      <w:tr>
        <w:trPr>
          <w:trHeight w:val="203"/>
        </w:trPr>
        <w:tc>
          <w:tcPr>
            <w:tcW w:w="364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Amortization of acquired below-market leases</w:t>
            </w: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(22,515)</w:t>
            </w:r>
          </w:p>
        </w:tc>
        <w:tc>
          <w:tcPr>
            <w:tcW w:w="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(24,789)</w:t>
            </w:r>
          </w:p>
        </w:tc>
        <w:tc>
          <w:tcPr>
            <w:tcW w:w="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(52,855)</w:t>
            </w:r>
          </w:p>
        </w:tc>
        <w:tc>
          <w:tcPr>
            <w:tcW w:w="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(46,425)</w:t>
            </w:r>
          </w:p>
        </w:tc>
      </w:tr>
      <w:tr>
        <w:trPr>
          <w:trHeight w:val="189"/>
        </w:trPr>
        <w:tc>
          <w:tcPr>
            <w:tcW w:w="3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Net operating income (cash basis)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478,627</w:t>
            </w:r>
          </w:p>
        </w:tc>
        <w:tc>
          <w:tcPr>
            <w:tcW w:w="4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447,942</w:t>
            </w:r>
          </w:p>
        </w:tc>
        <w:tc>
          <w:tcPr>
            <w:tcW w:w="4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950,830</w:t>
            </w:r>
          </w:p>
        </w:tc>
        <w:tc>
          <w:tcPr>
            <w:tcW w:w="6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886,977</w:t>
            </w: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146"/>
        </w:trPr>
        <w:tc>
          <w:tcPr>
            <w:tcW w:w="3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204"/>
        </w:trPr>
        <w:tc>
          <w:tcPr>
            <w:tcW w:w="3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operating income (cash basis) – annualized</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1,914,508</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1,791,768</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1,901,660</w:t>
            </w: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1,773,954</w:t>
            </w:r>
          </w:p>
        </w:tc>
      </w:tr>
      <w:tr>
        <w:trPr>
          <w:trHeight w:val="204"/>
        </w:trPr>
        <w:tc>
          <w:tcPr>
            <w:tcW w:w="3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4"/>
        </w:trPr>
        <w:tc>
          <w:tcPr>
            <w:tcW w:w="3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operating income (from above)</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549,480</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502,066</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1,100,274</w:t>
            </w: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995,928</w:t>
            </w:r>
          </w:p>
        </w:tc>
      </w:tr>
      <w:tr>
        <w:trPr>
          <w:trHeight w:val="203"/>
        </w:trPr>
        <w:tc>
          <w:tcPr>
            <w:tcW w:w="364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Total revenues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766,734</w:t>
            </w:r>
          </w:p>
        </w:tc>
        <w:tc>
          <w:tcPr>
            <w:tcW w:w="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713,900</w:t>
            </w:r>
          </w:p>
        </w:tc>
        <w:tc>
          <w:tcPr>
            <w:tcW w:w="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1,535,842</w:t>
            </w:r>
          </w:p>
        </w:tc>
        <w:tc>
          <w:tcPr>
            <w:tcW w:w="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1,414,695</w:t>
            </w:r>
          </w:p>
        </w:tc>
      </w:tr>
      <w:tr>
        <w:trPr>
          <w:trHeight w:val="189"/>
        </w:trPr>
        <w:tc>
          <w:tcPr>
            <w:tcW w:w="3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Operating margin</w:t>
            </w:r>
          </w:p>
        </w:tc>
        <w:tc>
          <w:tcPr>
            <w:tcW w:w="1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72%</w:t>
            </w:r>
          </w:p>
        </w:tc>
        <w:tc>
          <w:tcPr>
            <w:tcW w:w="4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70%</w:t>
            </w:r>
          </w:p>
        </w:tc>
        <w:tc>
          <w:tcPr>
            <w:tcW w:w="4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72%</w:t>
            </w:r>
          </w:p>
        </w:tc>
        <w:tc>
          <w:tcPr>
            <w:tcW w:w="6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70%</w:t>
            </w: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ectPr>
          <w:pgSz w:w="11900" w:h="16889" w:orient="portrait"/>
          <w:cols w:equalWidth="0" w:num="1">
            <w:col w:w="9019"/>
          </w:cols>
          <w:pgMar w:left="1440" w:top="183" w:right="1440" w:bottom="0" w:gutter="0" w:footer="0" w:header="0"/>
        </w:sectPr>
      </w:pPr>
    </w:p>
    <w:bookmarkStart w:id="72" w:name="page73"/>
    <w:bookmarkEnd w:id="72"/>
    <w:p>
      <w:pPr>
        <w:ind w:left="640" w:right="659" w:firstLine="516"/>
        <w:spacing w:after="0" w:line="251"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982345</wp:posOffset>
            </wp:positionH>
            <wp:positionV relativeFrom="page">
              <wp:posOffset>88900</wp:posOffset>
            </wp:positionV>
            <wp:extent cx="5584190" cy="352171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584190" cy="3521710"/>
                    </a:xfrm>
                    <a:prstGeom prst="rect">
                      <a:avLst/>
                    </a:prstGeom>
                    <a:noFill/>
                  </pic:spPr>
                </pic:pic>
              </a:graphicData>
            </a:graphic>
          </wp:anchor>
        </w:drawing>
        <w:t>Net operating income is a non-GAAP financial measure calculated as net income (loss), the most directly comparable financial measure calculated and presented in accordance with GAAP, excluding equity in the earnings of our unconsolidated real estate joint ventures, general and administrative expenses, interest expense, depreciation and amortization, impairments of real estate, gains or losses on early extinguishment of debt, gains or losses on sales of real estate, and investment income or loss. We believe net operating income provides useful information to investors regarding our financial condition and results of operations because it primarily reflects those income and expense items that are incurred at the property level. Therefore, we believe net operating income is a useful measure for investors to evaluate the operating performance of our consolidated real estate assets. Net operating income on a cash basis is net operating income adjusted to exclude the effect of straight-line rent and amortization of acquired above- and below-market lease revenue adjustments required by GAAP. We believe that net operating income on a cash basis is helpful to investors as an additional measure of operating performance because it eliminates straight-line rent revenue and the amortization of acquired above- and below-market leases.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188595</wp:posOffset>
            </wp:positionV>
            <wp:extent cx="5584190" cy="693166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584190" cy="6931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40" w:right="659" w:firstLine="516"/>
        <w:spacing w:after="0" w:line="249" w:lineRule="auto"/>
        <w:rPr>
          <w:sz w:val="20"/>
          <w:szCs w:val="20"/>
          <w:color w:val="auto"/>
        </w:rPr>
      </w:pPr>
      <w:r>
        <w:rPr>
          <w:rFonts w:ascii="Arial" w:cs="Arial" w:eastAsia="Arial" w:hAnsi="Arial"/>
          <w:sz w:val="13"/>
          <w:szCs w:val="13"/>
          <w:color w:val="auto"/>
        </w:rPr>
        <w:t>Furthermore, we believe net operating income is useful to investors as a performance measure of our consolidated properties because, when compared across periods, net operating income reflects trends in occupancy rates, rental rates, and operating costs, which provide a perspective not immediately apparent from net income or loss. Net operating income can be used to measure the initial stabilized yields of our properties by calculating net operating income generated by a property divided by our investment in the property. Net operating income excludes certain components from net income in order to provide results that are more closely related to the results of operations of our properties. For example, interest expense is not necessarily linked to the operating performance of a real estate asset and is often incurred at the corporate level rather than at the property level. In addition, depreciation and amortization, because of historical cost accounting and useful life estimates, may distort comparability of operating performance at the property level. Impairments of real estate have been excluded in deriving net operating income because we do not consider impairments of real estate to be property-level operating expenses. Impairments of real estate relate to changes in the values of our assets and do not reflect the current operating performance with respect to related revenues or expenses. Our impairments of real estate represent the write-down in the value of the assets to the estimated fair value less cost to sell. These impairments result from investing decisions or a deterioration in market conditions. We also exclude realized and unrealized investment gain or loss, which results from investment decisions that occur at the corporate level related to non-real estate investments in publicly traded companies and certain privately held entities. Therefore, we do not consider these activities to be an indication of operating performance of our real estate assets at the property level. Our calculation of net operating income also excludes charges incurred from changes in certain financing decisions, such as losses on early extinguishment of debt, as these charges often relate to corporate strategy. Property operating expenses included in determining net operating income primarily consist of costs that are related to our operating properties, such as utilities, repairs, and maintenance; rental expense related to ground leases; contracted services, such as janitorial, engineering, and landscaping; property taxes and insurance; and property-level salaries. General and administrative expenses consist primarily of accounting and corporate compensation, corporate insurance, professional fees, rent, and supplies that are incurred as part of corporate office management. We calculate operating margin as net operating income divided by total revenues.</w:t>
      </w:r>
    </w:p>
    <w:p>
      <w:pPr>
        <w:spacing w:after="0" w:line="142" w:lineRule="exact"/>
        <w:rPr>
          <w:sz w:val="20"/>
          <w:szCs w:val="20"/>
          <w:color w:val="auto"/>
        </w:rPr>
      </w:pPr>
    </w:p>
    <w:p>
      <w:pPr>
        <w:ind w:left="640" w:right="659" w:firstLine="516"/>
        <w:spacing w:after="0" w:line="257" w:lineRule="auto"/>
        <w:rPr>
          <w:sz w:val="20"/>
          <w:szCs w:val="20"/>
          <w:color w:val="auto"/>
        </w:rPr>
      </w:pPr>
      <w:r>
        <w:rPr>
          <w:rFonts w:ascii="Arial" w:cs="Arial" w:eastAsia="Arial" w:hAnsi="Arial"/>
          <w:sz w:val="13"/>
          <w:szCs w:val="13"/>
          <w:color w:val="auto"/>
        </w:rPr>
        <w:t>We believe that in order to facilitate for investors a clear understanding of our operating results, net operating income should be examined in conjunction with net income or loss as presented in our consolidated statements of operations. Net operating income should not be considered as an alternative to net income or loss as an indication of our performance, nor as an alternative to cash flows as a measure of our liquidity or our ability to make distributions.</w:t>
      </w:r>
    </w:p>
    <w:p>
      <w:pPr>
        <w:spacing w:after="0" w:line="133" w:lineRule="exact"/>
        <w:rPr>
          <w:sz w:val="20"/>
          <w:szCs w:val="20"/>
          <w:color w:val="auto"/>
        </w:rPr>
      </w:pPr>
    </w:p>
    <w:p>
      <w:pPr>
        <w:ind w:left="640"/>
        <w:spacing w:after="0"/>
        <w:rPr>
          <w:sz w:val="20"/>
          <w:szCs w:val="20"/>
          <w:color w:val="auto"/>
        </w:rPr>
      </w:pPr>
      <w:r>
        <w:rPr>
          <w:rFonts w:ascii="Arial" w:cs="Arial" w:eastAsia="Arial" w:hAnsi="Arial"/>
          <w:sz w:val="13"/>
          <w:szCs w:val="13"/>
          <w:u w:val="single" w:color="auto"/>
          <w:color w:val="auto"/>
        </w:rPr>
        <w:t>Operating statistics</w:t>
      </w:r>
    </w:p>
    <w:p>
      <w:pPr>
        <w:spacing w:after="0" w:line="162" w:lineRule="exact"/>
        <w:rPr>
          <w:sz w:val="20"/>
          <w:szCs w:val="20"/>
          <w:color w:val="auto"/>
        </w:rPr>
      </w:pPr>
    </w:p>
    <w:p>
      <w:pPr>
        <w:ind w:left="640" w:right="759" w:firstLine="516"/>
        <w:spacing w:after="0" w:line="254" w:lineRule="auto"/>
        <w:rPr>
          <w:sz w:val="20"/>
          <w:szCs w:val="20"/>
          <w:color w:val="auto"/>
        </w:rPr>
      </w:pPr>
      <w:r>
        <w:rPr>
          <w:rFonts w:ascii="Arial" w:cs="Arial" w:eastAsia="Arial" w:hAnsi="Arial"/>
          <w:sz w:val="13"/>
          <w:szCs w:val="13"/>
          <w:color w:val="auto"/>
        </w:rPr>
        <w:t>We present certain operating statistics related to our properties, including number of properties, RSF, occupancy percentage, leasing activity, and contractual lease expirations as of the end of the period. We believe these measures are useful to investors because they facilitate an understanding of certain trends for our properties. We compute the number of properties, RSF, occupancy percentage, leasing activity, and contractual lease expirations at 100% for all properties in which we have an investment, including properties owned by our consolidated and unconsolidated real estate joint ventures. For operating metrics based on annual rental revenue, refer to “Annual rental revenue” in this section.</w:t>
      </w:r>
    </w:p>
    <w:p>
      <w:pPr>
        <w:spacing w:after="0" w:line="135" w:lineRule="exact"/>
        <w:rPr>
          <w:sz w:val="20"/>
          <w:szCs w:val="20"/>
          <w:color w:val="auto"/>
        </w:rPr>
      </w:pPr>
    </w:p>
    <w:p>
      <w:pPr>
        <w:ind w:left="640"/>
        <w:spacing w:after="0"/>
        <w:rPr>
          <w:sz w:val="20"/>
          <w:szCs w:val="20"/>
          <w:color w:val="auto"/>
        </w:rPr>
      </w:pPr>
      <w:r>
        <w:rPr>
          <w:rFonts w:ascii="Arial" w:cs="Arial" w:eastAsia="Arial" w:hAnsi="Arial"/>
          <w:sz w:val="13"/>
          <w:szCs w:val="13"/>
          <w:u w:val="single" w:color="auto"/>
          <w:color w:val="auto"/>
        </w:rPr>
        <w:t>Same property comparisons</w:t>
      </w:r>
    </w:p>
    <w:p>
      <w:pPr>
        <w:spacing w:after="0" w:line="162" w:lineRule="exact"/>
        <w:rPr>
          <w:sz w:val="20"/>
          <w:szCs w:val="20"/>
          <w:color w:val="auto"/>
        </w:rPr>
      </w:pPr>
    </w:p>
    <w:p>
      <w:pPr>
        <w:ind w:left="640" w:right="639" w:firstLine="516"/>
        <w:spacing w:after="0" w:line="273" w:lineRule="auto"/>
        <w:rPr>
          <w:sz w:val="20"/>
          <w:szCs w:val="20"/>
          <w:color w:val="auto"/>
        </w:rPr>
      </w:pPr>
      <w:r>
        <w:rPr>
          <w:rFonts w:ascii="Arial" w:cs="Arial" w:eastAsia="Arial" w:hAnsi="Arial"/>
          <w:sz w:val="12"/>
          <w:szCs w:val="12"/>
          <w:color w:val="auto"/>
        </w:rPr>
        <w:t>As a result of changes within our total property portfolio during the comparative periods presented, including changes from assets acquired or sold, properties placed into development or redevelopment, and development or redevelopment properties recently placed into service, the consolidated total income from rentals, as well as rental operating expenses in our operating results, can show significant changes from period to period. In order to supplement an evaluation of our results of operations over a given quarterly or annual period, we analyze the operating performance for all consolidated properties that were fully operating for the entirety of the comparative periods presented, referred to as same properties. We separately present quarterly and year-to-date same property results to align with the interim financial information required by the SEC in our management’s discussion and analysis of our financial condition and results of operations. These same properties are analyzed separately from properties acquired subsequent to the first day in the earliest comparable quarterly or year-to-date period presented, properties that underwent development or redevelopment at any time during the comparative periods, unconsolidated real estate joint ventures, properties classified as held for sale, and corporate entities (legal entities performing general and administrative functions), which are excluded from same property results. Additionally, termination fees, if any, are excluded from the results of same properties. Refer to “Same properties” in Item 2 for additional information.</w:t>
      </w:r>
    </w:p>
    <w:p>
      <w:pPr>
        <w:spacing w:after="0" w:line="125" w:lineRule="exact"/>
        <w:rPr>
          <w:sz w:val="20"/>
          <w:szCs w:val="20"/>
          <w:color w:val="auto"/>
        </w:rPr>
      </w:pPr>
    </w:p>
    <w:p>
      <w:pPr>
        <w:ind w:left="640"/>
        <w:spacing w:after="0"/>
        <w:rPr>
          <w:sz w:val="20"/>
          <w:szCs w:val="20"/>
          <w:color w:val="auto"/>
        </w:rPr>
      </w:pPr>
      <w:r>
        <w:rPr>
          <w:rFonts w:ascii="Arial" w:cs="Arial" w:eastAsia="Arial" w:hAnsi="Arial"/>
          <w:sz w:val="13"/>
          <w:szCs w:val="13"/>
          <w:u w:val="single" w:color="auto"/>
          <w:color w:val="auto"/>
        </w:rPr>
        <w:t>Stabilized occupancy date</w:t>
      </w:r>
    </w:p>
    <w:p>
      <w:pPr>
        <w:spacing w:after="0" w:line="162" w:lineRule="exact"/>
        <w:rPr>
          <w:sz w:val="20"/>
          <w:szCs w:val="20"/>
          <w:color w:val="auto"/>
        </w:rPr>
      </w:pPr>
    </w:p>
    <w:p>
      <w:pPr>
        <w:ind w:left="1160"/>
        <w:spacing w:after="0"/>
        <w:rPr>
          <w:sz w:val="20"/>
          <w:szCs w:val="20"/>
          <w:color w:val="auto"/>
        </w:rPr>
      </w:pPr>
      <w:r>
        <w:rPr>
          <w:rFonts w:ascii="Arial" w:cs="Arial" w:eastAsia="Arial" w:hAnsi="Arial"/>
          <w:sz w:val="13"/>
          <w:szCs w:val="13"/>
          <w:color w:val="auto"/>
        </w:rPr>
        <w:t>The stabilized occupancy date represents the estimated date on which the project is expected to reach occupancy of 95% or</w:t>
      </w:r>
    </w:p>
    <w:p>
      <w:pPr>
        <w:spacing w:after="0" w:line="13" w:lineRule="exact"/>
        <w:rPr>
          <w:sz w:val="20"/>
          <w:szCs w:val="20"/>
          <w:color w:val="auto"/>
        </w:rPr>
      </w:pPr>
    </w:p>
    <w:p>
      <w:pPr>
        <w:ind w:left="640"/>
        <w:spacing w:after="0"/>
        <w:rPr>
          <w:sz w:val="20"/>
          <w:szCs w:val="20"/>
          <w:color w:val="auto"/>
        </w:rPr>
      </w:pPr>
      <w:r>
        <w:rPr>
          <w:rFonts w:ascii="Arial" w:cs="Arial" w:eastAsia="Arial" w:hAnsi="Arial"/>
          <w:sz w:val="13"/>
          <w:szCs w:val="13"/>
          <w:color w:val="auto"/>
        </w:rPr>
        <w:t>greater.</w:t>
      </w:r>
    </w:p>
    <w:p>
      <w:pPr>
        <w:sectPr>
          <w:pgSz w:w="11900" w:h="16838" w:orient="portrait"/>
          <w:cols w:equalWidth="0" w:num="1">
            <w:col w:w="9019"/>
          </w:cols>
          <w:pgMar w:left="1440" w:top="301" w:right="1440" w:bottom="1055" w:gutter="0" w:footer="0" w:header="0"/>
        </w:sectPr>
      </w:pPr>
    </w:p>
    <w:bookmarkStart w:id="73" w:name="page74"/>
    <w:bookmarkEnd w:id="73"/>
    <w:p>
      <w:pPr>
        <w:spacing w:after="0" w:line="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982345</wp:posOffset>
            </wp:positionH>
            <wp:positionV relativeFrom="page">
              <wp:posOffset>88900</wp:posOffset>
            </wp:positionV>
            <wp:extent cx="5584190" cy="28257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584190" cy="28257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3"/>
          <w:szCs w:val="13"/>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188595</wp:posOffset>
            </wp:positionV>
            <wp:extent cx="5584190" cy="722058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640"/>
        <w:spacing w:after="0"/>
        <w:rPr>
          <w:sz w:val="20"/>
          <w:szCs w:val="20"/>
          <w:color w:val="auto"/>
        </w:rPr>
      </w:pPr>
      <w:r>
        <w:rPr>
          <w:rFonts w:ascii="Arial" w:cs="Arial" w:eastAsia="Arial" w:hAnsi="Arial"/>
          <w:sz w:val="13"/>
          <w:szCs w:val="13"/>
          <w:u w:val="single" w:color="auto"/>
          <w:color w:val="auto"/>
        </w:rPr>
        <w:t>Tenant recoveries</w:t>
      </w:r>
    </w:p>
    <w:p>
      <w:pPr>
        <w:spacing w:after="0" w:line="162" w:lineRule="exact"/>
        <w:rPr>
          <w:sz w:val="20"/>
          <w:szCs w:val="20"/>
          <w:color w:val="auto"/>
        </w:rPr>
      </w:pPr>
    </w:p>
    <w:p>
      <w:pPr>
        <w:ind w:left="640" w:right="819" w:firstLine="516"/>
        <w:spacing w:after="0" w:line="265" w:lineRule="auto"/>
        <w:rPr>
          <w:sz w:val="20"/>
          <w:szCs w:val="20"/>
          <w:color w:val="auto"/>
        </w:rPr>
      </w:pPr>
      <w:r>
        <w:rPr>
          <w:rFonts w:ascii="Arial" w:cs="Arial" w:eastAsia="Arial" w:hAnsi="Arial"/>
          <w:sz w:val="13"/>
          <w:szCs w:val="13"/>
          <w:color w:val="auto"/>
        </w:rPr>
        <w:t>Tenant recoveries represent revenues comprising reimbursement of real estate taxes, insurance, utilities, repairs and maintenance, common area expenses, and other operating expenses and earned in the period during which the applicable expenses are incurred and the tenant’s obligation to reimburse us arises.</w:t>
      </w:r>
    </w:p>
    <w:p>
      <w:pPr>
        <w:spacing w:after="0" w:line="128" w:lineRule="exact"/>
        <w:rPr>
          <w:sz w:val="20"/>
          <w:szCs w:val="20"/>
          <w:color w:val="auto"/>
        </w:rPr>
      </w:pPr>
    </w:p>
    <w:p>
      <w:pPr>
        <w:ind w:left="640" w:right="699" w:firstLine="516"/>
        <w:spacing w:after="0" w:line="252" w:lineRule="auto"/>
        <w:rPr>
          <w:sz w:val="20"/>
          <w:szCs w:val="20"/>
          <w:color w:val="auto"/>
        </w:rPr>
      </w:pPr>
      <w:r>
        <w:rPr>
          <w:rFonts w:ascii="Arial" w:cs="Arial" w:eastAsia="Arial" w:hAnsi="Arial"/>
          <w:sz w:val="13"/>
          <w:szCs w:val="13"/>
          <w:color w:val="auto"/>
        </w:rPr>
        <w:t>We classify rental revenues and tenant recoveries generated through the leasing of real estate assets within revenues in income from rentals in our consolidated statements of operations. We provide investors with a separate presentation of rental revenues and tenant recoveries in “Results of operations” in Item 2 because we believe it promotes investors’ understanding of our operating results. We believe that the presentation of tenant recoveries is useful to investors as a supplemental measure of our ability to recover operating expenses under our triple net leases, including recoveries of utilities, repairs and maintenance, insurance, property taxes, common area expenses, and other operating expenses, and of our ability to mitigate the effect to net income for any significant variability to components of our operating expenses.</w:t>
      </w:r>
    </w:p>
    <w:p>
      <w:pPr>
        <w:spacing w:after="0" w:line="136" w:lineRule="exact"/>
        <w:rPr>
          <w:sz w:val="20"/>
          <w:szCs w:val="20"/>
          <w:color w:val="auto"/>
        </w:rPr>
      </w:pPr>
    </w:p>
    <w:p>
      <w:pPr>
        <w:ind w:left="640" w:right="719" w:firstLine="516"/>
        <w:spacing w:after="0" w:line="272" w:lineRule="auto"/>
        <w:rPr>
          <w:sz w:val="20"/>
          <w:szCs w:val="20"/>
          <w:color w:val="auto"/>
        </w:rPr>
      </w:pPr>
      <w:r>
        <w:rPr>
          <w:rFonts w:ascii="Arial" w:cs="Arial" w:eastAsia="Arial" w:hAnsi="Arial"/>
          <w:sz w:val="13"/>
          <w:szCs w:val="13"/>
          <w:color w:val="auto"/>
        </w:rPr>
        <w:t>The following table reconciles income from rentals to tenant recoveries for the three and six months ended June 30, 2024 and 2023 (in thousands):</w:t>
      </w:r>
    </w:p>
    <w:p>
      <w:pPr>
        <w:spacing w:after="0" w:line="16"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3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60" w:type="dxa"/>
            <w:vAlign w:val="bottom"/>
            <w:gridSpan w:val="5"/>
          </w:tcPr>
          <w:p>
            <w:pPr>
              <w:ind w:left="20"/>
              <w:spacing w:after="0"/>
              <w:rPr>
                <w:sz w:val="20"/>
                <w:szCs w:val="20"/>
                <w:color w:val="auto"/>
              </w:rPr>
            </w:pPr>
            <w:r>
              <w:rPr>
                <w:rFonts w:ascii="Arial" w:cs="Arial" w:eastAsia="Arial" w:hAnsi="Arial"/>
                <w:sz w:val="13"/>
                <w:szCs w:val="13"/>
                <w:color w:val="auto"/>
              </w:rPr>
              <w:t>Three Months Ended June 30,</w:t>
            </w:r>
          </w:p>
        </w:tc>
        <w:tc>
          <w:tcPr>
            <w:tcW w:w="180" w:type="dxa"/>
            <w:vAlign w:val="bottom"/>
          </w:tcPr>
          <w:p>
            <w:pPr>
              <w:spacing w:after="0"/>
              <w:rPr>
                <w:sz w:val="13"/>
                <w:szCs w:val="13"/>
                <w:color w:val="auto"/>
              </w:rPr>
            </w:pPr>
          </w:p>
        </w:tc>
        <w:tc>
          <w:tcPr>
            <w:tcW w:w="1880" w:type="dxa"/>
            <w:vAlign w:val="bottom"/>
            <w:gridSpan w:val="4"/>
          </w:tcPr>
          <w:p>
            <w:pPr>
              <w:jc w:val="right"/>
              <w:ind w:right="176"/>
              <w:spacing w:after="0"/>
              <w:rPr>
                <w:sz w:val="20"/>
                <w:szCs w:val="20"/>
                <w:color w:val="auto"/>
              </w:rPr>
            </w:pPr>
            <w:r>
              <w:rPr>
                <w:rFonts w:ascii="Arial" w:cs="Arial" w:eastAsia="Arial" w:hAnsi="Arial"/>
                <w:sz w:val="13"/>
                <w:szCs w:val="13"/>
                <w:color w:val="auto"/>
              </w:rPr>
              <w:t>Six Months Ended June 30,</w:t>
            </w:r>
          </w:p>
        </w:tc>
      </w:tr>
      <w:tr>
        <w:trPr>
          <w:trHeight w:val="163"/>
        </w:trPr>
        <w:tc>
          <w:tcPr>
            <w:tcW w:w="3520" w:type="dxa"/>
            <w:vAlign w:val="bottom"/>
            <w:tcBorders>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296"/>
              <w:spacing w:after="0"/>
              <w:rPr>
                <w:sz w:val="20"/>
                <w:szCs w:val="20"/>
                <w:color w:val="auto"/>
              </w:rPr>
            </w:pPr>
            <w:r>
              <w:rPr>
                <w:rFonts w:ascii="Arial" w:cs="Arial" w:eastAsia="Arial" w:hAnsi="Arial"/>
                <w:sz w:val="13"/>
                <w:szCs w:val="13"/>
                <w:color w:val="auto"/>
              </w:rPr>
              <w:t>2024</w:t>
            </w:r>
          </w:p>
        </w:tc>
        <w:tc>
          <w:tcPr>
            <w:tcW w:w="60" w:type="dxa"/>
            <w:vAlign w:val="bottom"/>
            <w:tcBorders>
              <w:top w:val="single" w:sz="8" w:color="auto"/>
              <w:bottom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ind w:right="296"/>
              <w:spacing w:after="0"/>
              <w:rPr>
                <w:sz w:val="20"/>
                <w:szCs w:val="20"/>
                <w:color w:val="auto"/>
              </w:rPr>
            </w:pPr>
            <w:r>
              <w:rPr>
                <w:rFonts w:ascii="Arial" w:cs="Arial" w:eastAsia="Arial" w:hAnsi="Arial"/>
                <w:sz w:val="13"/>
                <w:szCs w:val="13"/>
                <w:color w:val="auto"/>
              </w:rPr>
              <w:t>2023</w:t>
            </w:r>
          </w:p>
        </w:tc>
        <w:tc>
          <w:tcPr>
            <w:tcW w:w="40" w:type="dxa"/>
            <w:vAlign w:val="bottom"/>
            <w:tcBorders>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276"/>
              <w:spacing w:after="0"/>
              <w:rPr>
                <w:sz w:val="20"/>
                <w:szCs w:val="20"/>
                <w:color w:val="auto"/>
              </w:rPr>
            </w:pPr>
            <w:r>
              <w:rPr>
                <w:rFonts w:ascii="Arial" w:cs="Arial" w:eastAsia="Arial" w:hAnsi="Arial"/>
                <w:sz w:val="13"/>
                <w:szCs w:val="13"/>
                <w:color w:val="auto"/>
              </w:rPr>
              <w:t>2024</w:t>
            </w:r>
          </w:p>
        </w:tc>
        <w:tc>
          <w:tcPr>
            <w:tcW w:w="60" w:type="dxa"/>
            <w:vAlign w:val="bottom"/>
            <w:tcBorders>
              <w:top w:val="single" w:sz="8" w:color="auto"/>
              <w:bottom w:val="single" w:sz="8" w:color="CCEEFF"/>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ind w:right="296"/>
              <w:spacing w:after="0"/>
              <w:rPr>
                <w:sz w:val="20"/>
                <w:szCs w:val="20"/>
                <w:color w:val="auto"/>
              </w:rPr>
            </w:pPr>
            <w:r>
              <w:rPr>
                <w:rFonts w:ascii="Arial" w:cs="Arial" w:eastAsia="Arial" w:hAnsi="Arial"/>
                <w:sz w:val="13"/>
                <w:szCs w:val="13"/>
                <w:color w:val="auto"/>
              </w:rPr>
              <w:t>2023</w:t>
            </w:r>
          </w:p>
        </w:tc>
      </w:tr>
      <w:tr>
        <w:trPr>
          <w:trHeight w:val="163"/>
        </w:trPr>
        <w:tc>
          <w:tcPr>
            <w:tcW w:w="3520" w:type="dxa"/>
            <w:vAlign w:val="bottom"/>
            <w:shd w:val="clear" w:color="auto" w:fill="CCEEFF"/>
          </w:tcPr>
          <w:p>
            <w:pPr>
              <w:ind w:left="40"/>
              <w:spacing w:after="0"/>
              <w:rPr>
                <w:sz w:val="20"/>
                <w:szCs w:val="20"/>
                <w:color w:val="auto"/>
              </w:rPr>
            </w:pPr>
            <w:r>
              <w:rPr>
                <w:rFonts w:ascii="Arial" w:cs="Arial" w:eastAsia="Arial" w:hAnsi="Arial"/>
                <w:sz w:val="13"/>
                <w:szCs w:val="13"/>
                <w:color w:val="auto"/>
              </w:rPr>
              <w:t>Income from rentals</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755,162</w:t>
            </w: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704,339</w:t>
            </w: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1,510,713</w:t>
            </w: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1,392,288</w:t>
            </w:r>
          </w:p>
        </w:tc>
      </w:tr>
      <w:tr>
        <w:trPr>
          <w:trHeight w:val="183"/>
        </w:trPr>
        <w:tc>
          <w:tcPr>
            <w:tcW w:w="352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Rental revenues</w:t>
            </w: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(576,835)</w:t>
            </w:r>
          </w:p>
        </w:tc>
        <w:tc>
          <w:tcPr>
            <w:tcW w:w="6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(537,889)</w:t>
            </w:r>
          </w:p>
        </w:tc>
        <w:tc>
          <w:tcPr>
            <w:tcW w:w="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(1,158,235)</w:t>
            </w:r>
          </w:p>
        </w:tc>
        <w:tc>
          <w:tcPr>
            <w:tcW w:w="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(1,056,191)</w:t>
            </w:r>
          </w:p>
        </w:tc>
      </w:tr>
      <w:tr>
        <w:trPr>
          <w:trHeight w:val="166"/>
        </w:trPr>
        <w:tc>
          <w:tcPr>
            <w:tcW w:w="3520" w:type="dxa"/>
            <w:vAlign w:val="bottom"/>
            <w:tcBorders>
              <w:bottom w:val="single" w:sz="8" w:color="CCEEFF"/>
            </w:tcBorders>
            <w:shd w:val="clear" w:color="auto" w:fill="CCEEFF"/>
          </w:tcPr>
          <w:p>
            <w:pPr>
              <w:ind w:left="40"/>
              <w:spacing w:after="0" w:line="141" w:lineRule="exact"/>
              <w:rPr>
                <w:sz w:val="20"/>
                <w:szCs w:val="20"/>
                <w:color w:val="auto"/>
              </w:rPr>
            </w:pPr>
            <w:r>
              <w:rPr>
                <w:rFonts w:ascii="Arial" w:cs="Arial" w:eastAsia="Arial" w:hAnsi="Arial"/>
                <w:sz w:val="13"/>
                <w:szCs w:val="13"/>
                <w:color w:val="auto"/>
              </w:rPr>
              <w:t>Tenant recoveries</w:t>
            </w:r>
          </w:p>
        </w:tc>
        <w:tc>
          <w:tcPr>
            <w:tcW w:w="140" w:type="dxa"/>
            <w:vAlign w:val="bottom"/>
            <w:tcBorders>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178,327</w:t>
            </w:r>
          </w:p>
        </w:tc>
        <w:tc>
          <w:tcPr>
            <w:tcW w:w="6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76"/>
              <w:spacing w:after="0" w:line="141" w:lineRule="exact"/>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166,450</w:t>
            </w:r>
          </w:p>
        </w:tc>
        <w:tc>
          <w:tcPr>
            <w:tcW w:w="4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352,478</w:t>
            </w:r>
          </w:p>
        </w:tc>
        <w:tc>
          <w:tcPr>
            <w:tcW w:w="6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36"/>
              <w:spacing w:after="0" w:line="141" w:lineRule="exact"/>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336,097</w:t>
            </w: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183" w:lineRule="exact"/>
        <w:rPr>
          <w:sz w:val="20"/>
          <w:szCs w:val="20"/>
          <w:color w:val="auto"/>
        </w:rPr>
      </w:pPr>
    </w:p>
    <w:p>
      <w:pPr>
        <w:ind w:left="640"/>
        <w:spacing w:after="0"/>
        <w:rPr>
          <w:sz w:val="20"/>
          <w:szCs w:val="20"/>
          <w:color w:val="auto"/>
        </w:rPr>
      </w:pPr>
      <w:r>
        <w:rPr>
          <w:rFonts w:ascii="Arial" w:cs="Arial" w:eastAsia="Arial" w:hAnsi="Arial"/>
          <w:sz w:val="13"/>
          <w:szCs w:val="13"/>
          <w:u w:val="single" w:color="auto"/>
          <w:color w:val="auto"/>
        </w:rPr>
        <w:t>Total equity capitalization</w:t>
      </w:r>
    </w:p>
    <w:p>
      <w:pPr>
        <w:spacing w:after="0" w:line="162" w:lineRule="exact"/>
        <w:rPr>
          <w:sz w:val="20"/>
          <w:szCs w:val="20"/>
          <w:color w:val="auto"/>
        </w:rPr>
      </w:pPr>
    </w:p>
    <w:p>
      <w:pPr>
        <w:jc w:val="both"/>
        <w:ind w:left="640" w:right="679" w:firstLine="516"/>
        <w:spacing w:after="0" w:line="272" w:lineRule="auto"/>
        <w:rPr>
          <w:sz w:val="20"/>
          <w:szCs w:val="20"/>
          <w:color w:val="auto"/>
        </w:rPr>
      </w:pPr>
      <w:r>
        <w:rPr>
          <w:rFonts w:ascii="Arial" w:cs="Arial" w:eastAsia="Arial" w:hAnsi="Arial"/>
          <w:sz w:val="13"/>
          <w:szCs w:val="13"/>
          <w:color w:val="auto"/>
        </w:rPr>
        <w:t>Total equity capitalization is equal to the outstanding shares of common stock multiplied by the closing price on the last trading day at the end of each period presented.</w:t>
      </w:r>
    </w:p>
    <w:p>
      <w:pPr>
        <w:spacing w:after="0" w:line="123" w:lineRule="exact"/>
        <w:rPr>
          <w:sz w:val="20"/>
          <w:szCs w:val="20"/>
          <w:color w:val="auto"/>
        </w:rPr>
      </w:pPr>
    </w:p>
    <w:p>
      <w:pPr>
        <w:ind w:left="640"/>
        <w:spacing w:after="0"/>
        <w:rPr>
          <w:sz w:val="20"/>
          <w:szCs w:val="20"/>
          <w:color w:val="auto"/>
        </w:rPr>
      </w:pPr>
      <w:r>
        <w:rPr>
          <w:rFonts w:ascii="Arial" w:cs="Arial" w:eastAsia="Arial" w:hAnsi="Arial"/>
          <w:sz w:val="13"/>
          <w:szCs w:val="13"/>
          <w:u w:val="single" w:color="auto"/>
          <w:color w:val="auto"/>
        </w:rPr>
        <w:t>Total market capitalization</w:t>
      </w:r>
    </w:p>
    <w:p>
      <w:pPr>
        <w:spacing w:after="0" w:line="162" w:lineRule="exact"/>
        <w:rPr>
          <w:sz w:val="20"/>
          <w:szCs w:val="20"/>
          <w:color w:val="auto"/>
        </w:rPr>
      </w:pPr>
    </w:p>
    <w:p>
      <w:pPr>
        <w:ind w:left="1160"/>
        <w:spacing w:after="0"/>
        <w:rPr>
          <w:sz w:val="20"/>
          <w:szCs w:val="20"/>
          <w:color w:val="auto"/>
        </w:rPr>
      </w:pPr>
      <w:r>
        <w:rPr>
          <w:rFonts w:ascii="Arial" w:cs="Arial" w:eastAsia="Arial" w:hAnsi="Arial"/>
          <w:sz w:val="13"/>
          <w:szCs w:val="13"/>
          <w:color w:val="auto"/>
        </w:rPr>
        <w:t>Total market capitalization is equal to the sum of total equity capitalization and total debt.</w:t>
      </w:r>
    </w:p>
    <w:p>
      <w:pPr>
        <w:spacing w:after="0" w:line="151" w:lineRule="exact"/>
        <w:rPr>
          <w:sz w:val="20"/>
          <w:szCs w:val="20"/>
          <w:color w:val="auto"/>
        </w:rPr>
      </w:pPr>
    </w:p>
    <w:p>
      <w:pPr>
        <w:ind w:left="640"/>
        <w:spacing w:after="0"/>
        <w:rPr>
          <w:sz w:val="20"/>
          <w:szCs w:val="20"/>
          <w:color w:val="auto"/>
        </w:rPr>
      </w:pPr>
      <w:r>
        <w:rPr>
          <w:rFonts w:ascii="Arial" w:cs="Arial" w:eastAsia="Arial" w:hAnsi="Arial"/>
          <w:sz w:val="13"/>
          <w:szCs w:val="13"/>
          <w:u w:val="single" w:color="auto"/>
          <w:color w:val="auto"/>
        </w:rPr>
        <w:t>Unencumbered net operating income as a percentage of total net operating income</w:t>
      </w:r>
    </w:p>
    <w:p>
      <w:pPr>
        <w:spacing w:after="0" w:line="162" w:lineRule="exact"/>
        <w:rPr>
          <w:sz w:val="20"/>
          <w:szCs w:val="20"/>
          <w:color w:val="auto"/>
        </w:rPr>
      </w:pPr>
    </w:p>
    <w:p>
      <w:pPr>
        <w:ind w:left="640" w:right="679" w:firstLine="516"/>
        <w:spacing w:after="0" w:line="257" w:lineRule="auto"/>
        <w:rPr>
          <w:sz w:val="20"/>
          <w:szCs w:val="20"/>
          <w:color w:val="auto"/>
        </w:rPr>
      </w:pPr>
      <w:r>
        <w:rPr>
          <w:rFonts w:ascii="Arial" w:cs="Arial" w:eastAsia="Arial" w:hAnsi="Arial"/>
          <w:sz w:val="13"/>
          <w:szCs w:val="13"/>
          <w:color w:val="auto"/>
        </w:rPr>
        <w:t>Unencumbered net operating income as a percentage of total net operating income is a non-GAAP financial measure that we believe is useful to investors as a performance measure of the results of operations of our unencumbered real estate assets as it reflects those income and expense items that are incurred at the unencumbered property level. Unencumbered net operating income is derived from assets classified in continuing operations, which are not subject to any mortgage, deed of trust, lien, or other security interest, as of the period for which income is presented.</w:t>
      </w:r>
    </w:p>
    <w:p>
      <w:pPr>
        <w:spacing w:after="0" w:line="134" w:lineRule="exact"/>
        <w:rPr>
          <w:sz w:val="20"/>
          <w:szCs w:val="20"/>
          <w:color w:val="auto"/>
        </w:rPr>
      </w:pPr>
    </w:p>
    <w:p>
      <w:pPr>
        <w:ind w:left="640" w:right="899" w:firstLine="516"/>
        <w:spacing w:after="0" w:line="272" w:lineRule="auto"/>
        <w:rPr>
          <w:sz w:val="20"/>
          <w:szCs w:val="20"/>
          <w:color w:val="auto"/>
        </w:rPr>
      </w:pPr>
      <w:r>
        <w:rPr>
          <w:rFonts w:ascii="Arial" w:cs="Arial" w:eastAsia="Arial" w:hAnsi="Arial"/>
          <w:sz w:val="13"/>
          <w:szCs w:val="13"/>
          <w:color w:val="auto"/>
        </w:rPr>
        <w:t>The following table summarizes unencumbered net operating income as a percentage of total net operating income for the three and six months ended June 30, 2024 and 2023 (dollars in thousands):</w:t>
      </w:r>
    </w:p>
    <w:p>
      <w:pPr>
        <w:spacing w:after="0" w:line="187"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3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20" w:type="dxa"/>
            <w:vAlign w:val="bottom"/>
            <w:gridSpan w:val="5"/>
          </w:tcPr>
          <w:p>
            <w:pPr>
              <w:ind w:left="20"/>
              <w:spacing w:after="0"/>
              <w:rPr>
                <w:sz w:val="20"/>
                <w:szCs w:val="20"/>
                <w:color w:val="auto"/>
              </w:rPr>
            </w:pPr>
            <w:r>
              <w:rPr>
                <w:rFonts w:ascii="Arial" w:cs="Arial" w:eastAsia="Arial" w:hAnsi="Arial"/>
                <w:sz w:val="13"/>
                <w:szCs w:val="13"/>
                <w:color w:val="auto"/>
              </w:rPr>
              <w:t>Three Months Ended June 30,</w:t>
            </w:r>
          </w:p>
        </w:tc>
        <w:tc>
          <w:tcPr>
            <w:tcW w:w="180" w:type="dxa"/>
            <w:vAlign w:val="bottom"/>
          </w:tcPr>
          <w:p>
            <w:pPr>
              <w:spacing w:after="0"/>
              <w:rPr>
                <w:sz w:val="13"/>
                <w:szCs w:val="13"/>
                <w:color w:val="auto"/>
              </w:rPr>
            </w:pPr>
          </w:p>
        </w:tc>
        <w:tc>
          <w:tcPr>
            <w:tcW w:w="1840" w:type="dxa"/>
            <w:vAlign w:val="bottom"/>
            <w:gridSpan w:val="4"/>
          </w:tcPr>
          <w:p>
            <w:pPr>
              <w:jc w:val="right"/>
              <w:ind w:right="156"/>
              <w:spacing w:after="0"/>
              <w:rPr>
                <w:sz w:val="20"/>
                <w:szCs w:val="20"/>
                <w:color w:val="auto"/>
              </w:rPr>
            </w:pPr>
            <w:r>
              <w:rPr>
                <w:rFonts w:ascii="Arial" w:cs="Arial" w:eastAsia="Arial" w:hAnsi="Arial"/>
                <w:sz w:val="13"/>
                <w:szCs w:val="13"/>
                <w:color w:val="auto"/>
              </w:rPr>
              <w:t>Six Months Ended June 30,</w:t>
            </w:r>
          </w:p>
        </w:tc>
        <w:tc>
          <w:tcPr>
            <w:tcW w:w="0" w:type="dxa"/>
            <w:vAlign w:val="bottom"/>
          </w:tcPr>
          <w:p>
            <w:pPr>
              <w:spacing w:after="0"/>
              <w:rPr>
                <w:sz w:val="1"/>
                <w:szCs w:val="1"/>
                <w:color w:val="auto"/>
              </w:rPr>
            </w:pPr>
          </w:p>
        </w:tc>
      </w:tr>
      <w:tr>
        <w:trPr>
          <w:trHeight w:val="184"/>
        </w:trPr>
        <w:tc>
          <w:tcPr>
            <w:tcW w:w="364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276"/>
              <w:spacing w:after="0"/>
              <w:rPr>
                <w:sz w:val="20"/>
                <w:szCs w:val="20"/>
                <w:color w:val="auto"/>
              </w:rPr>
            </w:pPr>
            <w:r>
              <w:rPr>
                <w:rFonts w:ascii="Arial" w:cs="Arial" w:eastAsia="Arial" w:hAnsi="Arial"/>
                <w:sz w:val="13"/>
                <w:szCs w:val="13"/>
                <w:color w:val="auto"/>
              </w:rPr>
              <w:t>2024</w:t>
            </w:r>
          </w:p>
        </w:tc>
        <w:tc>
          <w:tcPr>
            <w:tcW w:w="40" w:type="dxa"/>
            <w:vAlign w:val="bottom"/>
            <w:tcBorders>
              <w:top w:val="single" w:sz="8" w:color="auto"/>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ind w:right="276"/>
              <w:spacing w:after="0"/>
              <w:rPr>
                <w:sz w:val="20"/>
                <w:szCs w:val="20"/>
                <w:color w:val="auto"/>
              </w:rPr>
            </w:pPr>
            <w:r>
              <w:rPr>
                <w:rFonts w:ascii="Arial" w:cs="Arial" w:eastAsia="Arial" w:hAnsi="Arial"/>
                <w:sz w:val="13"/>
                <w:szCs w:val="13"/>
                <w:color w:val="auto"/>
              </w:rPr>
              <w:t>2023</w:t>
            </w:r>
          </w:p>
        </w:tc>
        <w:tc>
          <w:tcPr>
            <w:tcW w:w="4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ind w:right="276"/>
              <w:spacing w:after="0"/>
              <w:rPr>
                <w:sz w:val="20"/>
                <w:szCs w:val="20"/>
                <w:color w:val="auto"/>
              </w:rPr>
            </w:pPr>
            <w:r>
              <w:rPr>
                <w:rFonts w:ascii="Arial" w:cs="Arial" w:eastAsia="Arial" w:hAnsi="Arial"/>
                <w:sz w:val="13"/>
                <w:szCs w:val="13"/>
                <w:color w:val="auto"/>
              </w:rPr>
              <w:t>2024</w:t>
            </w:r>
          </w:p>
        </w:tc>
        <w:tc>
          <w:tcPr>
            <w:tcW w:w="60" w:type="dxa"/>
            <w:vAlign w:val="bottom"/>
            <w:tcBorders>
              <w:top w:val="single" w:sz="8" w:color="auto"/>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ind w:right="276"/>
              <w:spacing w:after="0"/>
              <w:rPr>
                <w:sz w:val="20"/>
                <w:szCs w:val="20"/>
                <w:color w:val="auto"/>
              </w:rPr>
            </w:pPr>
            <w:r>
              <w:rPr>
                <w:rFonts w:ascii="Arial" w:cs="Arial" w:eastAsia="Arial" w:hAnsi="Arial"/>
                <w:sz w:val="13"/>
                <w:szCs w:val="13"/>
                <w:color w:val="auto"/>
              </w:rPr>
              <w:t>2023</w:t>
            </w:r>
          </w:p>
        </w:tc>
        <w:tc>
          <w:tcPr>
            <w:tcW w:w="0" w:type="dxa"/>
            <w:vAlign w:val="bottom"/>
          </w:tcPr>
          <w:p>
            <w:pPr>
              <w:spacing w:after="0"/>
              <w:rPr>
                <w:sz w:val="1"/>
                <w:szCs w:val="1"/>
                <w:color w:val="auto"/>
              </w:rPr>
            </w:pPr>
          </w:p>
        </w:tc>
      </w:tr>
      <w:tr>
        <w:trPr>
          <w:trHeight w:val="184"/>
        </w:trPr>
        <w:tc>
          <w:tcPr>
            <w:tcW w:w="3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Unencumbered net operating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544,268</w:t>
            </w: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500,923</w:t>
            </w: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1,091,098</w:t>
            </w: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993,783</w:t>
            </w:r>
          </w:p>
        </w:tc>
        <w:tc>
          <w:tcPr>
            <w:tcW w:w="0" w:type="dxa"/>
            <w:vAlign w:val="bottom"/>
          </w:tcPr>
          <w:p>
            <w:pPr>
              <w:spacing w:after="0"/>
              <w:rPr>
                <w:sz w:val="1"/>
                <w:szCs w:val="1"/>
                <w:color w:val="auto"/>
              </w:rPr>
            </w:pPr>
          </w:p>
        </w:tc>
      </w:tr>
      <w:tr>
        <w:trPr>
          <w:trHeight w:val="204"/>
        </w:trPr>
        <w:tc>
          <w:tcPr>
            <w:tcW w:w="364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Encumbered net operating income</w:t>
            </w: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5,212</w:t>
            </w:r>
          </w:p>
        </w:tc>
        <w:tc>
          <w:tcPr>
            <w:tcW w:w="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1,143</w:t>
            </w:r>
          </w:p>
        </w:tc>
        <w:tc>
          <w:tcPr>
            <w:tcW w:w="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9,176</w:t>
            </w:r>
          </w:p>
        </w:tc>
        <w:tc>
          <w:tcPr>
            <w:tcW w:w="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2,145</w:t>
            </w:r>
          </w:p>
        </w:tc>
        <w:tc>
          <w:tcPr>
            <w:tcW w:w="0" w:type="dxa"/>
            <w:vAlign w:val="bottom"/>
          </w:tcPr>
          <w:p>
            <w:pPr>
              <w:spacing w:after="0"/>
              <w:rPr>
                <w:sz w:val="1"/>
                <w:szCs w:val="1"/>
                <w:color w:val="auto"/>
              </w:rPr>
            </w:pPr>
          </w:p>
        </w:tc>
      </w:tr>
      <w:tr>
        <w:trPr>
          <w:trHeight w:val="188"/>
        </w:trPr>
        <w:tc>
          <w:tcPr>
            <w:tcW w:w="3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Total net operating income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549,480</w:t>
            </w:r>
          </w:p>
        </w:tc>
        <w:tc>
          <w:tcPr>
            <w:tcW w:w="4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502,066</w:t>
            </w:r>
          </w:p>
        </w:tc>
        <w:tc>
          <w:tcPr>
            <w:tcW w:w="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1,100,274</w:t>
            </w:r>
          </w:p>
        </w:tc>
        <w:tc>
          <w:tcPr>
            <w:tcW w:w="6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995,928</w:t>
            </w: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3"/>
                <w:szCs w:val="13"/>
                <w:color w:val="auto"/>
              </w:rPr>
              <w:t>Unencumbered net operating income as a percentage of total</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36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99.1%</w:t>
            </w: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99.8%</w:t>
            </w: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99.2%</w:t>
            </w: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99.8%</w:t>
            </w:r>
          </w:p>
        </w:tc>
        <w:tc>
          <w:tcPr>
            <w:tcW w:w="0" w:type="dxa"/>
            <w:vAlign w:val="bottom"/>
          </w:tcPr>
          <w:p>
            <w:pPr>
              <w:spacing w:after="0"/>
              <w:rPr>
                <w:sz w:val="1"/>
                <w:szCs w:val="1"/>
                <w:color w:val="auto"/>
              </w:rPr>
            </w:pPr>
          </w:p>
        </w:tc>
      </w:tr>
      <w:tr>
        <w:trPr>
          <w:trHeight w:val="169"/>
        </w:trPr>
        <w:tc>
          <w:tcPr>
            <w:tcW w:w="3640" w:type="dxa"/>
            <w:vAlign w:val="bottom"/>
          </w:tcPr>
          <w:p>
            <w:pPr>
              <w:ind w:left="160"/>
              <w:spacing w:after="0"/>
              <w:rPr>
                <w:sz w:val="20"/>
                <w:szCs w:val="20"/>
                <w:color w:val="auto"/>
              </w:rPr>
            </w:pPr>
            <w:r>
              <w:rPr>
                <w:rFonts w:ascii="Arial" w:cs="Arial" w:eastAsia="Arial" w:hAnsi="Arial"/>
                <w:sz w:val="13"/>
                <w:szCs w:val="13"/>
                <w:color w:val="auto"/>
              </w:rPr>
              <w:t>net operating income</w:t>
            </w:r>
          </w:p>
        </w:tc>
        <w:tc>
          <w:tcPr>
            <w:tcW w:w="12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640"/>
        <w:spacing w:after="0"/>
        <w:rPr>
          <w:sz w:val="20"/>
          <w:szCs w:val="20"/>
          <w:color w:val="auto"/>
        </w:rPr>
      </w:pPr>
      <w:r>
        <w:rPr>
          <w:rFonts w:ascii="Arial" w:cs="Arial" w:eastAsia="Arial" w:hAnsi="Arial"/>
          <w:sz w:val="13"/>
          <w:szCs w:val="13"/>
          <w:u w:val="single" w:color="auto"/>
          <w:color w:val="auto"/>
        </w:rPr>
        <w:t>Weighted-average shares of common stock outstanding – diluted</w:t>
      </w:r>
    </w:p>
    <w:p>
      <w:pPr>
        <w:spacing w:after="0" w:line="162" w:lineRule="exact"/>
        <w:rPr>
          <w:sz w:val="20"/>
          <w:szCs w:val="20"/>
          <w:color w:val="auto"/>
        </w:rPr>
      </w:pPr>
    </w:p>
    <w:p>
      <w:pPr>
        <w:ind w:left="640" w:right="739" w:firstLine="516"/>
        <w:spacing w:after="0" w:line="254" w:lineRule="auto"/>
        <w:rPr>
          <w:sz w:val="20"/>
          <w:szCs w:val="20"/>
          <w:color w:val="auto"/>
        </w:rPr>
      </w:pPr>
      <w:r>
        <w:rPr>
          <w:rFonts w:ascii="Arial" w:cs="Arial" w:eastAsia="Arial" w:hAnsi="Arial"/>
          <w:sz w:val="13"/>
          <w:szCs w:val="13"/>
          <w:color w:val="auto"/>
        </w:rPr>
        <w:t>From time to time, we enter into capital market transactions, including forward equity sales agreements (“Forward Agreements”), to fund acquisitions, to fund construction of our highly leased development and redevelopment projects, and for general working capital purposes. We are required to consider the potential dilutive effect of our Forward Agreements under the treasury stock method while the Forward Agreements are outstanding. As of June 30, 2024, we had Forward Agreements outstanding to sell an aggregate of 230 thousand shares of common stock. Refer to Note 13 – “Stockholders’ equity” to our unaudited consolidated financial statements in Item 1 for additional information.</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188595</wp:posOffset>
            </wp:positionV>
            <wp:extent cx="5584190" cy="288798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584190" cy="2887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640" w:right="659" w:firstLine="516"/>
        <w:spacing w:after="0" w:line="291" w:lineRule="auto"/>
        <w:rPr>
          <w:sz w:val="20"/>
          <w:szCs w:val="20"/>
          <w:color w:val="auto"/>
        </w:rPr>
      </w:pPr>
      <w:r>
        <w:rPr>
          <w:rFonts w:ascii="Arial" w:cs="Arial" w:eastAsia="Arial" w:hAnsi="Arial"/>
          <w:sz w:val="12"/>
          <w:szCs w:val="12"/>
          <w:color w:val="auto"/>
        </w:rPr>
        <w:t>The weighted-average shares of common stock outstanding used in calculating EPS – diluted, funds from operations per share – diluted, and funds from operations per share – diluted, as adjusted, for the three and six months ended June 30, 2024 and 2023 are calculated as follows. Also shown are the weighted-average unvested shares associated with restricted stock awards used in calculating the amounts allocable to unvested stock award holders for each of the respective periods presented below (in thousands):</w:t>
      </w:r>
    </w:p>
    <w:p>
      <w:pPr>
        <w:spacing w:after="0" w:line="168" w:lineRule="exact"/>
        <w:rPr>
          <w:sz w:val="20"/>
          <w:szCs w:val="20"/>
          <w:color w:val="auto"/>
        </w:rPr>
      </w:pPr>
    </w:p>
    <w:tbl>
      <w:tblPr>
        <w:tblLayout w:type="fixed"/>
        <w:tblInd w:w="620" w:type="dxa"/>
        <w:tblCellMar>
          <w:top w:w="0" w:type="dxa"/>
          <w:left w:w="0" w:type="dxa"/>
          <w:bottom w:w="0" w:type="dxa"/>
          <w:right w:w="0" w:type="dxa"/>
        </w:tblCellMar>
      </w:tblPr>
      <w:tr>
        <w:trPr>
          <w:trHeight w:val="161"/>
        </w:trPr>
        <w:tc>
          <w:tcPr>
            <w:tcW w:w="3360" w:type="dxa"/>
            <w:vAlign w:val="bottom"/>
          </w:tcPr>
          <w:p>
            <w:pPr>
              <w:spacing w:after="0"/>
              <w:rPr>
                <w:sz w:val="13"/>
                <w:szCs w:val="13"/>
                <w:color w:val="auto"/>
              </w:rPr>
            </w:pPr>
          </w:p>
        </w:tc>
        <w:tc>
          <w:tcPr>
            <w:tcW w:w="2240" w:type="dxa"/>
            <w:vAlign w:val="bottom"/>
            <w:gridSpan w:val="4"/>
          </w:tcPr>
          <w:p>
            <w:pPr>
              <w:ind w:left="200"/>
              <w:spacing w:after="0"/>
              <w:rPr>
                <w:sz w:val="20"/>
                <w:szCs w:val="20"/>
                <w:color w:val="auto"/>
              </w:rPr>
            </w:pPr>
            <w:r>
              <w:rPr>
                <w:rFonts w:ascii="Arial" w:cs="Arial" w:eastAsia="Arial" w:hAnsi="Arial"/>
                <w:sz w:val="13"/>
                <w:szCs w:val="13"/>
                <w:color w:val="auto"/>
              </w:rPr>
              <w:t>Three Months Ended June 30,</w:t>
            </w:r>
          </w:p>
        </w:tc>
        <w:tc>
          <w:tcPr>
            <w:tcW w:w="2180" w:type="dxa"/>
            <w:vAlign w:val="bottom"/>
            <w:gridSpan w:val="3"/>
          </w:tcPr>
          <w:p>
            <w:pPr>
              <w:jc w:val="right"/>
              <w:ind w:right="256"/>
              <w:spacing w:after="0"/>
              <w:rPr>
                <w:sz w:val="20"/>
                <w:szCs w:val="20"/>
                <w:color w:val="auto"/>
              </w:rPr>
            </w:pPr>
            <w:r>
              <w:rPr>
                <w:rFonts w:ascii="Arial" w:cs="Arial" w:eastAsia="Arial" w:hAnsi="Arial"/>
                <w:sz w:val="13"/>
                <w:szCs w:val="13"/>
                <w:color w:val="auto"/>
              </w:rPr>
              <w:t>Six Months Ended June 30,</w:t>
            </w:r>
          </w:p>
        </w:tc>
        <w:tc>
          <w:tcPr>
            <w:tcW w:w="0" w:type="dxa"/>
            <w:vAlign w:val="bottom"/>
          </w:tcPr>
          <w:p>
            <w:pPr>
              <w:spacing w:after="0"/>
              <w:rPr>
                <w:sz w:val="1"/>
                <w:szCs w:val="1"/>
                <w:color w:val="auto"/>
              </w:rPr>
            </w:pPr>
          </w:p>
        </w:tc>
      </w:tr>
      <w:tr>
        <w:trPr>
          <w:trHeight w:val="184"/>
        </w:trPr>
        <w:tc>
          <w:tcPr>
            <w:tcW w:w="3360" w:type="dxa"/>
            <w:vAlign w:val="bottom"/>
            <w:tcBorders>
              <w:bottom w:val="single" w:sz="8" w:color="CCEEFF"/>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336"/>
              <w:spacing w:after="0"/>
              <w:rPr>
                <w:sz w:val="20"/>
                <w:szCs w:val="20"/>
                <w:color w:val="auto"/>
              </w:rPr>
            </w:pPr>
            <w:r>
              <w:rPr>
                <w:rFonts w:ascii="Arial" w:cs="Arial" w:eastAsia="Arial" w:hAnsi="Arial"/>
                <w:sz w:val="13"/>
                <w:szCs w:val="13"/>
                <w:color w:val="auto"/>
              </w:rPr>
              <w:t>2024</w:t>
            </w:r>
          </w:p>
        </w:tc>
        <w:tc>
          <w:tcPr>
            <w:tcW w:w="40" w:type="dxa"/>
            <w:vAlign w:val="bottom"/>
            <w:tcBorders>
              <w:top w:val="single" w:sz="8" w:color="auto"/>
              <w:bottom w:val="single" w:sz="8" w:color="CCEEFF"/>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336"/>
              <w:spacing w:after="0"/>
              <w:rPr>
                <w:sz w:val="20"/>
                <w:szCs w:val="20"/>
                <w:color w:val="auto"/>
              </w:rPr>
            </w:pPr>
            <w:r>
              <w:rPr>
                <w:rFonts w:ascii="Arial" w:cs="Arial" w:eastAsia="Arial" w:hAnsi="Arial"/>
                <w:sz w:val="13"/>
                <w:szCs w:val="13"/>
                <w:color w:val="auto"/>
              </w:rPr>
              <w:t>2023</w:t>
            </w:r>
          </w:p>
        </w:tc>
        <w:tc>
          <w:tcPr>
            <w:tcW w:w="80" w:type="dxa"/>
            <w:vAlign w:val="bottom"/>
            <w:tcBorders>
              <w:bottom w:val="single" w:sz="8" w:color="CCEEFF"/>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3"/>
                <w:szCs w:val="13"/>
                <w:color w:val="auto"/>
              </w:rPr>
              <w:t>2024</w:t>
            </w:r>
          </w:p>
        </w:tc>
        <w:tc>
          <w:tcPr>
            <w:tcW w:w="80" w:type="dxa"/>
            <w:vAlign w:val="bottom"/>
            <w:tcBorders>
              <w:top w:val="single" w:sz="8" w:color="auto"/>
              <w:bottom w:val="single" w:sz="8" w:color="CCEEFF"/>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336"/>
              <w:spacing w:after="0"/>
              <w:rPr>
                <w:sz w:val="20"/>
                <w:szCs w:val="20"/>
                <w:color w:val="auto"/>
              </w:rPr>
            </w:pPr>
            <w:r>
              <w:rPr>
                <w:rFonts w:ascii="Arial" w:cs="Arial" w:eastAsia="Arial" w:hAnsi="Arial"/>
                <w:sz w:val="13"/>
                <w:szCs w:val="13"/>
                <w:color w:val="auto"/>
              </w:rPr>
              <w:t>2023</w:t>
            </w:r>
          </w:p>
        </w:tc>
        <w:tc>
          <w:tcPr>
            <w:tcW w:w="0" w:type="dxa"/>
            <w:vAlign w:val="bottom"/>
          </w:tcPr>
          <w:p>
            <w:pPr>
              <w:spacing w:after="0"/>
              <w:rPr>
                <w:sz w:val="1"/>
                <w:szCs w:val="1"/>
                <w:color w:val="auto"/>
              </w:rPr>
            </w:pPr>
          </w:p>
        </w:tc>
      </w:tr>
      <w:tr>
        <w:trPr>
          <w:trHeight w:val="184"/>
        </w:trPr>
        <w:tc>
          <w:tcPr>
            <w:tcW w:w="3360" w:type="dxa"/>
            <w:vAlign w:val="bottom"/>
            <w:shd w:val="clear" w:color="auto" w:fill="CCEEFF"/>
          </w:tcPr>
          <w:p>
            <w:pPr>
              <w:ind w:left="40"/>
              <w:spacing w:after="0"/>
              <w:rPr>
                <w:sz w:val="20"/>
                <w:szCs w:val="20"/>
                <w:color w:val="auto"/>
              </w:rPr>
            </w:pPr>
            <w:r>
              <w:rPr>
                <w:rFonts w:ascii="Arial" w:cs="Arial" w:eastAsia="Arial" w:hAnsi="Arial"/>
                <w:sz w:val="13"/>
                <w:szCs w:val="13"/>
                <w:color w:val="auto"/>
              </w:rPr>
              <w:t>Basic shares for earnings per share</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172,013</w:t>
            </w:r>
          </w:p>
        </w:tc>
        <w:tc>
          <w:tcPr>
            <w:tcW w:w="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170,864</w:t>
            </w: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171,981</w:t>
            </w: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170,824</w:t>
            </w:r>
          </w:p>
        </w:tc>
        <w:tc>
          <w:tcPr>
            <w:tcW w:w="0" w:type="dxa"/>
            <w:vAlign w:val="bottom"/>
          </w:tcPr>
          <w:p>
            <w:pPr>
              <w:spacing w:after="0"/>
              <w:rPr>
                <w:sz w:val="1"/>
                <w:szCs w:val="1"/>
                <w:color w:val="auto"/>
              </w:rPr>
            </w:pPr>
          </w:p>
        </w:tc>
      </w:tr>
      <w:tr>
        <w:trPr>
          <w:trHeight w:val="204"/>
        </w:trPr>
        <w:tc>
          <w:tcPr>
            <w:tcW w:w="3360" w:type="dxa"/>
            <w:vAlign w:val="bottom"/>
          </w:tcPr>
          <w:p>
            <w:pPr>
              <w:ind w:left="60"/>
              <w:spacing w:after="0"/>
              <w:rPr>
                <w:sz w:val="20"/>
                <w:szCs w:val="20"/>
                <w:color w:val="auto"/>
              </w:rPr>
            </w:pPr>
            <w:r>
              <w:rPr>
                <w:rFonts w:ascii="Arial" w:cs="Arial" w:eastAsia="Arial" w:hAnsi="Arial"/>
                <w:sz w:val="13"/>
                <w:szCs w:val="13"/>
                <w:color w:val="auto"/>
              </w:rPr>
              <w:t>Forward Agreements</w:t>
            </w:r>
          </w:p>
        </w:tc>
        <w:tc>
          <w:tcPr>
            <w:tcW w:w="11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8"/>
        </w:trPr>
        <w:tc>
          <w:tcPr>
            <w:tcW w:w="336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Diluted shares for earnings per share</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172,013</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170,864</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171,981</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170,824</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33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360" w:type="dxa"/>
            <w:vAlign w:val="bottom"/>
            <w:shd w:val="clear" w:color="auto" w:fill="CCEEFF"/>
          </w:tcPr>
          <w:p>
            <w:pPr>
              <w:ind w:left="40"/>
              <w:spacing w:after="0"/>
              <w:rPr>
                <w:sz w:val="20"/>
                <w:szCs w:val="20"/>
                <w:color w:val="auto"/>
              </w:rPr>
            </w:pPr>
            <w:r>
              <w:rPr>
                <w:rFonts w:ascii="Arial" w:cs="Arial" w:eastAsia="Arial" w:hAnsi="Arial"/>
                <w:sz w:val="13"/>
                <w:szCs w:val="13"/>
                <w:color w:val="auto"/>
              </w:rPr>
              <w:t>Basic shares for funds from operations per share and</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172,013</w:t>
            </w:r>
          </w:p>
        </w:tc>
        <w:tc>
          <w:tcPr>
            <w:tcW w:w="4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170,864</w:t>
            </w:r>
          </w:p>
        </w:tc>
        <w:tc>
          <w:tcPr>
            <w:tcW w:w="8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171,981</w:t>
            </w:r>
          </w:p>
        </w:tc>
        <w:tc>
          <w:tcPr>
            <w:tcW w:w="8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170,824</w:t>
            </w:r>
          </w:p>
        </w:tc>
        <w:tc>
          <w:tcPr>
            <w:tcW w:w="0" w:type="dxa"/>
            <w:vAlign w:val="bottom"/>
          </w:tcPr>
          <w:p>
            <w:pPr>
              <w:spacing w:after="0"/>
              <w:rPr>
                <w:sz w:val="1"/>
                <w:szCs w:val="1"/>
                <w:color w:val="auto"/>
              </w:rPr>
            </w:pPr>
          </w:p>
        </w:tc>
      </w:tr>
      <w:tr>
        <w:trPr>
          <w:trHeight w:val="161"/>
        </w:trPr>
        <w:tc>
          <w:tcPr>
            <w:tcW w:w="3360" w:type="dxa"/>
            <w:vAlign w:val="bottom"/>
            <w:shd w:val="clear" w:color="auto" w:fill="CCEEFF"/>
          </w:tcPr>
          <w:p>
            <w:pPr>
              <w:ind w:left="160"/>
              <w:spacing w:after="0"/>
              <w:rPr>
                <w:sz w:val="20"/>
                <w:szCs w:val="20"/>
                <w:color w:val="auto"/>
              </w:rPr>
            </w:pPr>
            <w:r>
              <w:rPr>
                <w:rFonts w:ascii="Arial" w:cs="Arial" w:eastAsia="Arial" w:hAnsi="Arial"/>
                <w:sz w:val="13"/>
                <w:szCs w:val="13"/>
                <w:color w:val="auto"/>
              </w:rPr>
              <w:t>funds from operations per share, as adjusted</w:t>
            </w:r>
          </w:p>
        </w:tc>
        <w:tc>
          <w:tcPr>
            <w:tcW w:w="1060" w:type="dxa"/>
            <w:vAlign w:val="bottom"/>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6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6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3360" w:type="dxa"/>
            <w:vAlign w:val="bottom"/>
          </w:tcPr>
          <w:p>
            <w:pPr>
              <w:ind w:left="60"/>
              <w:spacing w:after="0"/>
              <w:rPr>
                <w:sz w:val="20"/>
                <w:szCs w:val="20"/>
                <w:color w:val="auto"/>
              </w:rPr>
            </w:pPr>
            <w:r>
              <w:rPr>
                <w:rFonts w:ascii="Arial" w:cs="Arial" w:eastAsia="Arial" w:hAnsi="Arial"/>
                <w:sz w:val="13"/>
                <w:szCs w:val="13"/>
                <w:color w:val="auto"/>
              </w:rPr>
              <w:t>Forward Agreements</w:t>
            </w:r>
          </w:p>
        </w:tc>
        <w:tc>
          <w:tcPr>
            <w:tcW w:w="11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2"/>
        </w:trPr>
        <w:tc>
          <w:tcPr>
            <w:tcW w:w="336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Diluted shares for funds from operations per share and</w:t>
            </w:r>
          </w:p>
        </w:tc>
        <w:tc>
          <w:tcPr>
            <w:tcW w:w="10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172,013</w:t>
            </w:r>
          </w:p>
        </w:tc>
        <w:tc>
          <w:tcPr>
            <w:tcW w:w="40" w:type="dxa"/>
            <w:vAlign w:val="bottom"/>
            <w:tcBorders>
              <w:top w:val="single" w:sz="8" w:color="CCEEFF"/>
            </w:tcBorders>
            <w:shd w:val="clear" w:color="auto" w:fill="CCEEFF"/>
          </w:tcPr>
          <w:p>
            <w:pPr>
              <w:spacing w:after="0"/>
              <w:rPr>
                <w:sz w:val="13"/>
                <w:szCs w:val="13"/>
                <w:color w:val="auto"/>
              </w:rPr>
            </w:pPr>
          </w:p>
        </w:tc>
        <w:tc>
          <w:tcPr>
            <w:tcW w:w="10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170,864</w:t>
            </w:r>
          </w:p>
        </w:tc>
        <w:tc>
          <w:tcPr>
            <w:tcW w:w="80" w:type="dxa"/>
            <w:vAlign w:val="bottom"/>
            <w:tcBorders>
              <w:top w:val="single" w:sz="8" w:color="CCEEFF"/>
            </w:tcBorders>
            <w:shd w:val="clear" w:color="auto" w:fill="CCEEFF"/>
          </w:tcPr>
          <w:p>
            <w:pPr>
              <w:spacing w:after="0"/>
              <w:rPr>
                <w:sz w:val="13"/>
                <w:szCs w:val="13"/>
                <w:color w:val="auto"/>
              </w:rPr>
            </w:pPr>
          </w:p>
        </w:tc>
        <w:tc>
          <w:tcPr>
            <w:tcW w:w="10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171,981</w:t>
            </w:r>
          </w:p>
        </w:tc>
        <w:tc>
          <w:tcPr>
            <w:tcW w:w="80" w:type="dxa"/>
            <w:vAlign w:val="bottom"/>
            <w:tcBorders>
              <w:top w:val="single" w:sz="8" w:color="CCEEFF"/>
            </w:tcBorders>
            <w:shd w:val="clear" w:color="auto" w:fill="CCEEFF"/>
          </w:tcPr>
          <w:p>
            <w:pPr>
              <w:spacing w:after="0"/>
              <w:rPr>
                <w:sz w:val="13"/>
                <w:szCs w:val="13"/>
                <w:color w:val="auto"/>
              </w:rPr>
            </w:pPr>
          </w:p>
        </w:tc>
        <w:tc>
          <w:tcPr>
            <w:tcW w:w="10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170,824</w:t>
            </w:r>
          </w:p>
        </w:tc>
        <w:tc>
          <w:tcPr>
            <w:tcW w:w="0" w:type="dxa"/>
            <w:vAlign w:val="bottom"/>
          </w:tcPr>
          <w:p>
            <w:pPr>
              <w:spacing w:after="0"/>
              <w:rPr>
                <w:sz w:val="1"/>
                <w:szCs w:val="1"/>
                <w:color w:val="auto"/>
              </w:rPr>
            </w:pPr>
          </w:p>
        </w:tc>
      </w:tr>
      <w:tr>
        <w:trPr>
          <w:trHeight w:val="159"/>
        </w:trPr>
        <w:tc>
          <w:tcPr>
            <w:tcW w:w="3360" w:type="dxa"/>
            <w:vAlign w:val="bottom"/>
            <w:tcBorders>
              <w:bottom w:val="single" w:sz="8" w:color="CCEEFF"/>
            </w:tcBorders>
            <w:shd w:val="clear" w:color="auto" w:fill="CCEEFF"/>
          </w:tcPr>
          <w:p>
            <w:pPr>
              <w:ind w:left="260"/>
              <w:spacing w:after="0" w:line="139" w:lineRule="exact"/>
              <w:rPr>
                <w:sz w:val="20"/>
                <w:szCs w:val="20"/>
                <w:color w:val="auto"/>
              </w:rPr>
            </w:pPr>
            <w:r>
              <w:rPr>
                <w:rFonts w:ascii="Arial" w:cs="Arial" w:eastAsia="Arial" w:hAnsi="Arial"/>
                <w:sz w:val="13"/>
                <w:szCs w:val="13"/>
                <w:color w:val="auto"/>
              </w:rPr>
              <w:t>funds from operations per share, as adjusted</w:t>
            </w:r>
          </w:p>
        </w:tc>
        <w:tc>
          <w:tcPr>
            <w:tcW w:w="1060" w:type="dxa"/>
            <w:vAlign w:val="bottom"/>
            <w:tcBorders>
              <w:bottom w:val="single" w:sz="8" w:color="auto"/>
            </w:tcBorders>
            <w:vMerge w:val="continue"/>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106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060" w:type="dxa"/>
            <w:vAlign w:val="bottom"/>
            <w:tcBorders>
              <w:bottom w:val="single" w:sz="8" w:color="auto"/>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3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360" w:type="dxa"/>
            <w:vAlign w:val="bottom"/>
            <w:shd w:val="clear" w:color="auto" w:fill="CCEEFF"/>
          </w:tcPr>
          <w:p>
            <w:pPr>
              <w:ind w:left="40"/>
              <w:spacing w:after="0"/>
              <w:rPr>
                <w:sz w:val="20"/>
                <w:szCs w:val="20"/>
                <w:color w:val="auto"/>
              </w:rPr>
            </w:pPr>
            <w:r>
              <w:rPr>
                <w:rFonts w:ascii="Arial" w:cs="Arial" w:eastAsia="Arial" w:hAnsi="Arial"/>
                <w:sz w:val="13"/>
                <w:szCs w:val="13"/>
                <w:color w:val="auto"/>
              </w:rPr>
              <w:t>Weighted-average unvested restricted shares used in</w:t>
            </w:r>
          </w:p>
        </w:tc>
        <w:tc>
          <w:tcPr>
            <w:tcW w:w="10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360" w:type="dxa"/>
            <w:vAlign w:val="bottom"/>
            <w:shd w:val="clear" w:color="auto" w:fill="CCEEFF"/>
          </w:tcPr>
          <w:p>
            <w:pPr>
              <w:ind w:left="160"/>
              <w:spacing w:after="0" w:line="129" w:lineRule="exact"/>
              <w:rPr>
                <w:sz w:val="20"/>
                <w:szCs w:val="20"/>
                <w:color w:val="auto"/>
              </w:rPr>
            </w:pPr>
            <w:r>
              <w:rPr>
                <w:rFonts w:ascii="Arial" w:cs="Arial" w:eastAsia="Arial" w:hAnsi="Arial"/>
                <w:sz w:val="13"/>
                <w:szCs w:val="13"/>
                <w:color w:val="auto"/>
              </w:rPr>
              <w:t>calculating the allocations of net income, funds from</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2,878</w:t>
            </w:r>
          </w:p>
        </w:tc>
        <w:tc>
          <w:tcPr>
            <w:tcW w:w="40" w:type="dxa"/>
            <w:vAlign w:val="bottom"/>
            <w:shd w:val="clear" w:color="auto" w:fill="CCEEFF"/>
          </w:tcPr>
          <w:p>
            <w:pPr>
              <w:spacing w:after="0"/>
              <w:rPr>
                <w:sz w:val="11"/>
                <w:szCs w:val="11"/>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2,163</w:t>
            </w:r>
          </w:p>
        </w:tc>
        <w:tc>
          <w:tcPr>
            <w:tcW w:w="8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2,933</w:t>
            </w:r>
          </w:p>
        </w:tc>
        <w:tc>
          <w:tcPr>
            <w:tcW w:w="80" w:type="dxa"/>
            <w:vAlign w:val="bottom"/>
            <w:shd w:val="clear" w:color="auto" w:fill="CCEEFF"/>
          </w:tcPr>
          <w:p>
            <w:pPr>
              <w:spacing w:after="0"/>
              <w:rPr>
                <w:sz w:val="11"/>
                <w:szCs w:val="11"/>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2,219</w:t>
            </w:r>
          </w:p>
        </w:tc>
        <w:tc>
          <w:tcPr>
            <w:tcW w:w="0" w:type="dxa"/>
            <w:vAlign w:val="bottom"/>
          </w:tcPr>
          <w:p>
            <w:pPr>
              <w:spacing w:after="0"/>
              <w:rPr>
                <w:sz w:val="1"/>
                <w:szCs w:val="1"/>
                <w:color w:val="auto"/>
              </w:rPr>
            </w:pPr>
          </w:p>
        </w:tc>
      </w:tr>
      <w:tr>
        <w:trPr>
          <w:trHeight w:val="159"/>
        </w:trPr>
        <w:tc>
          <w:tcPr>
            <w:tcW w:w="3360" w:type="dxa"/>
            <w:vAlign w:val="bottom"/>
            <w:tcBorders>
              <w:bottom w:val="single" w:sz="8" w:color="CCEEFF"/>
            </w:tcBorders>
            <w:shd w:val="clear" w:color="auto" w:fill="CCEEFF"/>
          </w:tcPr>
          <w:p>
            <w:pPr>
              <w:ind w:left="160"/>
              <w:spacing w:after="0" w:line="139" w:lineRule="exact"/>
              <w:rPr>
                <w:sz w:val="20"/>
                <w:szCs w:val="20"/>
                <w:color w:val="auto"/>
              </w:rPr>
            </w:pPr>
            <w:r>
              <w:rPr>
                <w:rFonts w:ascii="Arial" w:cs="Arial" w:eastAsia="Arial" w:hAnsi="Arial"/>
                <w:sz w:val="13"/>
                <w:szCs w:val="13"/>
                <w:color w:val="auto"/>
              </w:rPr>
              <w:t>operations, and funds from operations, as adjusted</w:t>
            </w:r>
          </w:p>
        </w:tc>
        <w:tc>
          <w:tcPr>
            <w:tcW w:w="1060" w:type="dxa"/>
            <w:vAlign w:val="bottom"/>
            <w:tcBorders>
              <w:bottom w:val="single" w:sz="8" w:color="auto"/>
            </w:tcBorders>
            <w:vMerge w:val="continue"/>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106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060" w:type="dxa"/>
            <w:vAlign w:val="bottom"/>
            <w:tcBorders>
              <w:bottom w:val="single" w:sz="8" w:color="auto"/>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68" w:orient="portrait"/>
          <w:cols w:equalWidth="0" w:num="1">
            <w:col w:w="9019"/>
          </w:cols>
          <w:pgMar w:left="1440" w:top="236" w:right="1440" w:bottom="0" w:gutter="0" w:footer="0" w:header="0"/>
        </w:sectPr>
      </w:pPr>
    </w:p>
    <w:bookmarkStart w:id="74" w:name="page75"/>
    <w:bookmarkEnd w:id="7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982345</wp:posOffset>
            </wp:positionH>
            <wp:positionV relativeFrom="page">
              <wp:posOffset>88900</wp:posOffset>
            </wp:positionV>
            <wp:extent cx="5584190" cy="4326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584190" cy="4326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188595</wp:posOffset>
            </wp:positionV>
            <wp:extent cx="5584190" cy="612648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584190" cy="6126480"/>
                    </a:xfrm>
                    <a:prstGeom prst="rect">
                      <a:avLst/>
                    </a:prstGeom>
                    <a:noFill/>
                  </pic:spPr>
                </pic:pic>
              </a:graphicData>
            </a:graphic>
          </wp:anchor>
        </w:drawing>
      </w:r>
    </w:p>
    <w:p>
      <w:pPr>
        <w:sectPr>
          <w:pgSz w:w="11900" w:h="16838" w:orient="portrait"/>
          <w:cols w:equalWidth="0" w:num="1">
            <w:col w:w="9019"/>
          </w:cols>
          <w:pgMar w:left="1440" w:top="1440" w:right="1440" w:bottom="81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ITEM 3. QUANTITATIVE AND QUALITATIVE DISCLOSURES ABOUT MARKET RISK</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Interest rate risk</w:t>
      </w:r>
    </w:p>
    <w:p>
      <w:pPr>
        <w:spacing w:after="0" w:line="162" w:lineRule="exact"/>
        <w:rPr>
          <w:sz w:val="20"/>
          <w:szCs w:val="20"/>
          <w:color w:val="auto"/>
        </w:rPr>
      </w:pPr>
    </w:p>
    <w:p>
      <w:pPr>
        <w:ind w:left="640" w:right="879" w:firstLine="516"/>
        <w:spacing w:after="0" w:line="256" w:lineRule="auto"/>
        <w:rPr>
          <w:sz w:val="20"/>
          <w:szCs w:val="20"/>
          <w:color w:val="auto"/>
        </w:rPr>
      </w:pPr>
      <w:r>
        <w:rPr>
          <w:rFonts w:ascii="Arial" w:cs="Arial" w:eastAsia="Arial" w:hAnsi="Arial"/>
          <w:sz w:val="13"/>
          <w:szCs w:val="13"/>
          <w:color w:val="auto"/>
        </w:rPr>
        <w:t>The primary market risk to which we believe we may be exposed is interest rate risk, which may result from many factors, including government monetary and tax policies, domestic and international economic and political considerations, and other factors that are beyond our control.</w:t>
      </w:r>
    </w:p>
    <w:p>
      <w:pPr>
        <w:spacing w:after="0" w:line="134" w:lineRule="exact"/>
        <w:rPr>
          <w:sz w:val="20"/>
          <w:szCs w:val="20"/>
          <w:color w:val="auto"/>
        </w:rPr>
      </w:pPr>
    </w:p>
    <w:p>
      <w:pPr>
        <w:ind w:left="640" w:right="679" w:firstLine="516"/>
        <w:spacing w:after="0" w:line="257" w:lineRule="auto"/>
        <w:rPr>
          <w:sz w:val="20"/>
          <w:szCs w:val="20"/>
          <w:color w:val="auto"/>
        </w:rPr>
      </w:pPr>
      <w:r>
        <w:rPr>
          <w:rFonts w:ascii="Arial" w:cs="Arial" w:eastAsia="Arial" w:hAnsi="Arial"/>
          <w:sz w:val="13"/>
          <w:szCs w:val="13"/>
          <w:color w:val="auto"/>
        </w:rPr>
        <w:t>In order to modify and manage the interest rate characteristics of our outstanding debt and to limit the effects of interest rate risks on our operations, we may utilize a variety of financial instruments, including interest rate hedge agreements, caps, floors, and other interest rate exchange contracts. The use of these types of instruments to hedge a portion of our exposure to changes in interest rates may carry additional risks, such as counterparty credit risk and the legal enforceability of hedge agreements. As of June 30, 2024, we did not have any outstanding interest rate hedge agreements.</w:t>
      </w:r>
    </w:p>
    <w:p>
      <w:pPr>
        <w:spacing w:after="0" w:line="134" w:lineRule="exact"/>
        <w:rPr>
          <w:sz w:val="20"/>
          <w:szCs w:val="20"/>
          <w:color w:val="auto"/>
        </w:rPr>
      </w:pPr>
    </w:p>
    <w:p>
      <w:pPr>
        <w:jc w:val="both"/>
        <w:ind w:left="640" w:right="899" w:firstLine="516"/>
        <w:spacing w:after="0" w:line="256" w:lineRule="auto"/>
        <w:rPr>
          <w:sz w:val="20"/>
          <w:szCs w:val="20"/>
          <w:color w:val="auto"/>
        </w:rPr>
      </w:pPr>
      <w:r>
        <w:rPr>
          <w:rFonts w:ascii="Arial" w:cs="Arial" w:eastAsia="Arial" w:hAnsi="Arial"/>
          <w:sz w:val="13"/>
          <w:szCs w:val="13"/>
          <w:color w:val="auto"/>
        </w:rPr>
        <w:t>Our future earnings and fair values relating to our outstanding debt are primarily dependent upon prevalent market rates of interest. The following tables illustrate the effect of a 1% change in interest rates, assuming a zero percent interest rate floor, on our fixed- and variable-rate debt as of June 30, 2024 (in thousands):</w:t>
      </w:r>
    </w:p>
    <w:p>
      <w:pPr>
        <w:spacing w:after="0" w:line="134"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5160" w:type="dxa"/>
            <w:vAlign w:val="bottom"/>
          </w:tcPr>
          <w:p>
            <w:pPr>
              <w:ind w:left="40"/>
              <w:spacing w:after="0"/>
              <w:rPr>
                <w:sz w:val="20"/>
                <w:szCs w:val="20"/>
                <w:color w:val="auto"/>
              </w:rPr>
            </w:pPr>
            <w:r>
              <w:rPr>
                <w:rFonts w:ascii="Arial" w:cs="Arial" w:eastAsia="Arial" w:hAnsi="Arial"/>
                <w:sz w:val="13"/>
                <w:szCs w:val="13"/>
                <w:color w:val="auto"/>
              </w:rPr>
              <w:t>Annualized effect on future earnings due to variable-rate debt:</w:t>
            </w:r>
          </w:p>
        </w:tc>
        <w:tc>
          <w:tcPr>
            <w:tcW w:w="196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204"/>
        </w:trPr>
        <w:tc>
          <w:tcPr>
            <w:tcW w:w="51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Rate increase of 1%</w:t>
            </w:r>
          </w:p>
        </w:tc>
        <w:tc>
          <w:tcPr>
            <w:tcW w:w="196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(653)</w:t>
            </w:r>
          </w:p>
        </w:tc>
      </w:tr>
      <w:tr>
        <w:trPr>
          <w:trHeight w:val="212"/>
        </w:trPr>
        <w:tc>
          <w:tcPr>
            <w:tcW w:w="5160" w:type="dxa"/>
            <w:vAlign w:val="bottom"/>
          </w:tcPr>
          <w:p>
            <w:pPr>
              <w:ind w:left="140"/>
              <w:spacing w:after="0"/>
              <w:rPr>
                <w:sz w:val="20"/>
                <w:szCs w:val="20"/>
                <w:color w:val="auto"/>
              </w:rPr>
            </w:pPr>
            <w:r>
              <w:rPr>
                <w:rFonts w:ascii="Arial" w:cs="Arial" w:eastAsia="Arial" w:hAnsi="Arial"/>
                <w:sz w:val="13"/>
                <w:szCs w:val="13"/>
                <w:color w:val="auto"/>
              </w:rPr>
              <w:t>Rate decrease of 1%</w:t>
            </w:r>
          </w:p>
        </w:tc>
        <w:tc>
          <w:tcPr>
            <w:tcW w:w="1960" w:type="dxa"/>
            <w:vAlign w:val="bottom"/>
          </w:tcPr>
          <w:p>
            <w:pPr>
              <w:jc w:val="right"/>
              <w:ind w:right="236"/>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653</w:t>
            </w:r>
          </w:p>
        </w:tc>
      </w:tr>
    </w:tbl>
    <w:p>
      <w:pPr>
        <w:spacing w:after="0" w:line="239"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4680" w:type="dxa"/>
            <w:vAlign w:val="bottom"/>
          </w:tcPr>
          <w:p>
            <w:pPr>
              <w:ind w:left="40"/>
              <w:spacing w:after="0"/>
              <w:rPr>
                <w:sz w:val="20"/>
                <w:szCs w:val="20"/>
                <w:color w:val="auto"/>
              </w:rPr>
            </w:pPr>
            <w:r>
              <w:rPr>
                <w:rFonts w:ascii="Arial" w:cs="Arial" w:eastAsia="Arial" w:hAnsi="Arial"/>
                <w:sz w:val="13"/>
                <w:szCs w:val="13"/>
                <w:color w:val="auto"/>
              </w:rPr>
              <w:t>Effect on fair value of total consolidated debt:</w:t>
            </w:r>
          </w:p>
        </w:tc>
        <w:tc>
          <w:tcPr>
            <w:tcW w:w="232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204"/>
        </w:trPr>
        <w:tc>
          <w:tcPr>
            <w:tcW w:w="46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Rate increase of 1%</w:t>
            </w:r>
          </w:p>
        </w:tc>
        <w:tc>
          <w:tcPr>
            <w:tcW w:w="232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(774,018)</w:t>
            </w:r>
          </w:p>
        </w:tc>
      </w:tr>
      <w:tr>
        <w:trPr>
          <w:trHeight w:val="212"/>
        </w:trPr>
        <w:tc>
          <w:tcPr>
            <w:tcW w:w="4680" w:type="dxa"/>
            <w:vAlign w:val="bottom"/>
          </w:tcPr>
          <w:p>
            <w:pPr>
              <w:ind w:left="140"/>
              <w:spacing w:after="0"/>
              <w:rPr>
                <w:sz w:val="20"/>
                <w:szCs w:val="20"/>
                <w:color w:val="auto"/>
              </w:rPr>
            </w:pPr>
            <w:r>
              <w:rPr>
                <w:rFonts w:ascii="Arial" w:cs="Arial" w:eastAsia="Arial" w:hAnsi="Arial"/>
                <w:sz w:val="13"/>
                <w:szCs w:val="13"/>
                <w:color w:val="auto"/>
              </w:rPr>
              <w:t>Rate decrease of 1%</w:t>
            </w:r>
          </w:p>
        </w:tc>
        <w:tc>
          <w:tcPr>
            <w:tcW w:w="2320" w:type="dxa"/>
            <w:vAlign w:val="bottom"/>
          </w:tcPr>
          <w:p>
            <w:pPr>
              <w:jc w:val="right"/>
              <w:ind w:right="116"/>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6"/>
              <w:spacing w:after="0"/>
              <w:rPr>
                <w:sz w:val="20"/>
                <w:szCs w:val="20"/>
                <w:color w:val="auto"/>
              </w:rPr>
            </w:pPr>
            <w:r>
              <w:rPr>
                <w:rFonts w:ascii="Arial" w:cs="Arial" w:eastAsia="Arial" w:hAnsi="Arial"/>
                <w:sz w:val="13"/>
                <w:szCs w:val="13"/>
                <w:color w:val="auto"/>
              </w:rPr>
              <w:t>885,119</w:t>
            </w:r>
          </w:p>
        </w:tc>
      </w:tr>
    </w:tbl>
    <w:p>
      <w:pPr>
        <w:spacing w:after="0" w:line="111" w:lineRule="exact"/>
        <w:rPr>
          <w:sz w:val="20"/>
          <w:szCs w:val="20"/>
          <w:color w:val="auto"/>
        </w:rPr>
      </w:pPr>
    </w:p>
    <w:p>
      <w:pPr>
        <w:ind w:left="640" w:right="719" w:firstLine="516"/>
        <w:spacing w:after="0" w:line="257" w:lineRule="auto"/>
        <w:rPr>
          <w:sz w:val="20"/>
          <w:szCs w:val="20"/>
          <w:color w:val="auto"/>
        </w:rPr>
      </w:pPr>
      <w:r>
        <w:rPr>
          <w:rFonts w:ascii="Arial" w:cs="Arial" w:eastAsia="Arial" w:hAnsi="Arial"/>
          <w:sz w:val="13"/>
          <w:szCs w:val="13"/>
          <w:color w:val="auto"/>
        </w:rPr>
        <w:t>These amounts are determined by considering the effect of the hypothetical interest rates on our borrowings as of June 30, 2024. These analyses do not consider the effects of the reduced level of overall economic activity that could exist in such an environment. Furthermore, in the event of a change of such magnitude, we would consider taking actions to further mitigate our exposure to the change. Because of the uncertainty of the specific actions that would be taken and their possible effects, the sensitivity analyses assume no changes in our capital structure.</w:t>
      </w:r>
    </w:p>
    <w:p>
      <w:pPr>
        <w:spacing w:after="0" w:line="134"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Equity price risk</w:t>
      </w:r>
    </w:p>
    <w:p>
      <w:pPr>
        <w:spacing w:after="0" w:line="151" w:lineRule="exact"/>
        <w:rPr>
          <w:sz w:val="20"/>
          <w:szCs w:val="20"/>
          <w:color w:val="auto"/>
        </w:rPr>
      </w:pPr>
    </w:p>
    <w:p>
      <w:pPr>
        <w:ind w:left="640" w:right="659" w:firstLine="516"/>
        <w:spacing w:after="0" w:line="253" w:lineRule="auto"/>
        <w:rPr>
          <w:sz w:val="20"/>
          <w:szCs w:val="20"/>
          <w:color w:val="auto"/>
        </w:rPr>
      </w:pPr>
      <w:r>
        <w:rPr>
          <w:rFonts w:ascii="Arial" w:cs="Arial" w:eastAsia="Arial" w:hAnsi="Arial"/>
          <w:sz w:val="13"/>
          <w:szCs w:val="13"/>
          <w:color w:val="auto"/>
        </w:rPr>
        <w:t>We have exposure to equity price market risk because we hold equity investments in publicly traded companies and privately held entities. All of our investments in actively traded public companies are reflected in our consolidated balance sheets at fair value. Our investments in privately held entities that report NAV per share are measured at fair value using NAV as a practical expedient to fair value. Our equity investments in privately held entities that do not report NAV per share are measured at cost less impairments, adjusted for observable price changes during the period. Changes in fair value of public investments, changes in NAV per share reported by privately held entities, and observable price changes of privately held entities that do not report NAV per share are classified as investment income in our consolidated statements of operations. There is no assurance that future declines in value will not have a material adverse effect on our future results of operations. The following table illustrates the effect that a 10% change in the value of our equity investments would have on earnings as of June 30, 2024 (in thousands):</w:t>
      </w:r>
    </w:p>
    <w:p>
      <w:pPr>
        <w:spacing w:after="0" w:line="128"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4280" w:type="dxa"/>
            <w:vAlign w:val="bottom"/>
          </w:tcPr>
          <w:p>
            <w:pPr>
              <w:ind w:left="40"/>
              <w:spacing w:after="0"/>
              <w:rPr>
                <w:sz w:val="20"/>
                <w:szCs w:val="20"/>
                <w:color w:val="auto"/>
              </w:rPr>
            </w:pPr>
            <w:r>
              <w:rPr>
                <w:rFonts w:ascii="Arial" w:cs="Arial" w:eastAsia="Arial" w:hAnsi="Arial"/>
                <w:sz w:val="13"/>
                <w:szCs w:val="13"/>
                <w:color w:val="auto"/>
              </w:rPr>
              <w:t>Equity price risk:</w:t>
            </w:r>
          </w:p>
        </w:tc>
        <w:tc>
          <w:tcPr>
            <w:tcW w:w="2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204"/>
        </w:trPr>
        <w:tc>
          <w:tcPr>
            <w:tcW w:w="42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Fair value increase of 10%</w:t>
            </w:r>
          </w:p>
        </w:tc>
        <w:tc>
          <w:tcPr>
            <w:tcW w:w="276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149,435</w:t>
            </w:r>
          </w:p>
        </w:tc>
      </w:tr>
      <w:tr>
        <w:trPr>
          <w:trHeight w:val="212"/>
        </w:trPr>
        <w:tc>
          <w:tcPr>
            <w:tcW w:w="4280" w:type="dxa"/>
            <w:vAlign w:val="bottom"/>
          </w:tcPr>
          <w:p>
            <w:pPr>
              <w:ind w:left="140"/>
              <w:spacing w:after="0"/>
              <w:rPr>
                <w:sz w:val="20"/>
                <w:szCs w:val="20"/>
                <w:color w:val="auto"/>
              </w:rPr>
            </w:pPr>
            <w:r>
              <w:rPr>
                <w:rFonts w:ascii="Arial" w:cs="Arial" w:eastAsia="Arial" w:hAnsi="Arial"/>
                <w:sz w:val="13"/>
                <w:szCs w:val="13"/>
                <w:color w:val="auto"/>
              </w:rPr>
              <w:t>Fair value decrease of 10%</w:t>
            </w:r>
          </w:p>
        </w:tc>
        <w:tc>
          <w:tcPr>
            <w:tcW w:w="276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(149,435)</w:t>
            </w:r>
          </w:p>
        </w:tc>
      </w:tr>
    </w:tbl>
    <w:p>
      <w:pPr>
        <w:sectPr>
          <w:pgSz w:w="11900" w:h="16838" w:orient="portrait"/>
          <w:cols w:equalWidth="0" w:num="1">
            <w:col w:w="9019"/>
          </w:cols>
          <w:pgMar w:left="1440" w:top="1440" w:right="1440" w:bottom="812" w:gutter="0" w:footer="0" w:header="0"/>
          <w:type w:val="continuous"/>
        </w:sectPr>
      </w:pPr>
    </w:p>
    <w:bookmarkStart w:id="75" w:name="page76"/>
    <w:bookmarkEnd w:id="75"/>
    <w:p>
      <w:pPr>
        <w:spacing w:after="0" w:line="16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982345</wp:posOffset>
            </wp:positionH>
            <wp:positionV relativeFrom="page">
              <wp:posOffset>88900</wp:posOffset>
            </wp:positionV>
            <wp:extent cx="5584190" cy="108712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584190" cy="108712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3"/>
          <w:szCs w:val="13"/>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188595</wp:posOffset>
            </wp:positionV>
            <wp:extent cx="5584190" cy="722058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Foreign currency exchange rate risk</w:t>
      </w:r>
    </w:p>
    <w:p>
      <w:pPr>
        <w:spacing w:after="0" w:line="162" w:lineRule="exact"/>
        <w:rPr>
          <w:sz w:val="20"/>
          <w:szCs w:val="20"/>
          <w:color w:val="auto"/>
        </w:rPr>
      </w:pPr>
    </w:p>
    <w:p>
      <w:pPr>
        <w:ind w:left="640" w:right="659" w:firstLine="516"/>
        <w:spacing w:after="0" w:line="253" w:lineRule="auto"/>
        <w:rPr>
          <w:sz w:val="20"/>
          <w:szCs w:val="20"/>
          <w:color w:val="auto"/>
        </w:rPr>
      </w:pPr>
      <w:r>
        <w:rPr>
          <w:rFonts w:ascii="Arial" w:cs="Arial" w:eastAsia="Arial" w:hAnsi="Arial"/>
          <w:sz w:val="13"/>
          <w:szCs w:val="13"/>
          <w:color w:val="auto"/>
        </w:rPr>
        <w:t>We have exposure to foreign currency exchange rate risk related to our subsidiaries operating in Canada. The functional currencies of our foreign subsidiaries are the local currencies in each respective country. Gains or losses resulting from the translation of our foreign subsidiaries’ balance sheets and statements of operations are classified in accumulated other comprehensive income (loss) as a separate component of total equity and are excluded from net income (loss). Gains or losses will be reflected in our consolidated statements of operations when there is a sale or partial sale of our investment in these operations or upon a complete or substantially complete liquidation of the investment. The following tables illustrate the effect that a 10% change in foreign currency rates relative to the U.S. dollar would have on our potential future earnings and on the fair value of our net investment in foreign subsidiaries based on our current operating assets outside the U.S. as of June 30, 2024 (in thousands):</w:t>
      </w:r>
    </w:p>
    <w:p>
      <w:pPr>
        <w:spacing w:after="0" w:line="125"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6360" w:type="dxa"/>
            <w:vAlign w:val="bottom"/>
          </w:tcPr>
          <w:p>
            <w:pPr>
              <w:ind w:left="40"/>
              <w:spacing w:after="0"/>
              <w:rPr>
                <w:sz w:val="20"/>
                <w:szCs w:val="20"/>
                <w:color w:val="auto"/>
              </w:rPr>
            </w:pPr>
            <w:r>
              <w:rPr>
                <w:rFonts w:ascii="Arial" w:cs="Arial" w:eastAsia="Arial" w:hAnsi="Arial"/>
                <w:sz w:val="13"/>
                <w:szCs w:val="13"/>
                <w:color w:val="auto"/>
              </w:rPr>
              <w:t>Effect on potential future earnings due to foreign currency exchange rate:</w:t>
            </w: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204"/>
        </w:trPr>
        <w:tc>
          <w:tcPr>
            <w:tcW w:w="63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Rate increase of 10%</w:t>
            </w:r>
          </w:p>
        </w:tc>
        <w:tc>
          <w:tcPr>
            <w:tcW w:w="72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w:t>
            </w:r>
          </w:p>
        </w:tc>
      </w:tr>
      <w:tr>
        <w:trPr>
          <w:trHeight w:val="212"/>
        </w:trPr>
        <w:tc>
          <w:tcPr>
            <w:tcW w:w="6360" w:type="dxa"/>
            <w:vAlign w:val="bottom"/>
          </w:tcPr>
          <w:p>
            <w:pPr>
              <w:ind w:left="140"/>
              <w:spacing w:after="0"/>
              <w:rPr>
                <w:sz w:val="20"/>
                <w:szCs w:val="20"/>
                <w:color w:val="auto"/>
              </w:rPr>
            </w:pPr>
            <w:r>
              <w:rPr>
                <w:rFonts w:ascii="Arial" w:cs="Arial" w:eastAsia="Arial" w:hAnsi="Arial"/>
                <w:sz w:val="13"/>
                <w:szCs w:val="13"/>
                <w:color w:val="auto"/>
              </w:rPr>
              <w:t>Rate decrease of 10%</w:t>
            </w:r>
          </w:p>
        </w:tc>
        <w:tc>
          <w:tcPr>
            <w:tcW w:w="72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(71)</w:t>
            </w:r>
          </w:p>
        </w:tc>
      </w:tr>
      <w:tr>
        <w:trPr>
          <w:trHeight w:val="400"/>
        </w:trPr>
        <w:tc>
          <w:tcPr>
            <w:tcW w:w="6360" w:type="dxa"/>
            <w:vAlign w:val="bottom"/>
          </w:tcPr>
          <w:p>
            <w:pPr>
              <w:ind w:left="40"/>
              <w:spacing w:after="0"/>
              <w:rPr>
                <w:sz w:val="20"/>
                <w:szCs w:val="20"/>
                <w:color w:val="auto"/>
              </w:rPr>
            </w:pPr>
            <w:r>
              <w:rPr>
                <w:rFonts w:ascii="Arial" w:cs="Arial" w:eastAsia="Arial" w:hAnsi="Arial"/>
                <w:sz w:val="13"/>
                <w:szCs w:val="13"/>
                <w:color w:val="auto"/>
              </w:rPr>
              <w:t>Effect on the fair value of net investment in foreign subsidiaries due to foreign currency exchange rate:</w:t>
            </w: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04"/>
        </w:trPr>
        <w:tc>
          <w:tcPr>
            <w:tcW w:w="63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Rate increase of 10%</w:t>
            </w:r>
          </w:p>
        </w:tc>
        <w:tc>
          <w:tcPr>
            <w:tcW w:w="72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39,090</w:t>
            </w:r>
          </w:p>
        </w:tc>
      </w:tr>
      <w:tr>
        <w:trPr>
          <w:trHeight w:val="212"/>
        </w:trPr>
        <w:tc>
          <w:tcPr>
            <w:tcW w:w="6360" w:type="dxa"/>
            <w:vAlign w:val="bottom"/>
          </w:tcPr>
          <w:p>
            <w:pPr>
              <w:ind w:left="140"/>
              <w:spacing w:after="0"/>
              <w:rPr>
                <w:sz w:val="20"/>
                <w:szCs w:val="20"/>
                <w:color w:val="auto"/>
              </w:rPr>
            </w:pPr>
            <w:r>
              <w:rPr>
                <w:rFonts w:ascii="Arial" w:cs="Arial" w:eastAsia="Arial" w:hAnsi="Arial"/>
                <w:sz w:val="13"/>
                <w:szCs w:val="13"/>
                <w:color w:val="auto"/>
              </w:rPr>
              <w:t>Rate decrease of 10%</w:t>
            </w:r>
          </w:p>
        </w:tc>
        <w:tc>
          <w:tcPr>
            <w:tcW w:w="72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(39,090)</w:t>
            </w:r>
          </w:p>
        </w:tc>
      </w:tr>
    </w:tbl>
    <w:p>
      <w:pPr>
        <w:spacing w:after="0" w:line="111" w:lineRule="exact"/>
        <w:rPr>
          <w:sz w:val="20"/>
          <w:szCs w:val="20"/>
          <w:color w:val="auto"/>
        </w:rPr>
      </w:pPr>
    </w:p>
    <w:p>
      <w:pPr>
        <w:ind w:left="640" w:right="699" w:firstLine="516"/>
        <w:spacing w:after="0" w:line="289" w:lineRule="auto"/>
        <w:rPr>
          <w:sz w:val="20"/>
          <w:szCs w:val="20"/>
          <w:color w:val="auto"/>
        </w:rPr>
      </w:pPr>
      <w:r>
        <w:rPr>
          <w:rFonts w:ascii="Arial" w:cs="Arial" w:eastAsia="Arial" w:hAnsi="Arial"/>
          <w:sz w:val="13"/>
          <w:szCs w:val="13"/>
          <w:color w:val="auto"/>
        </w:rPr>
        <w:t>The sensitivity analyses assume a parallel shift of all foreign currency exchange rates with respect to the U.S. dollar; however, foreign currency exchange rates do not typically move in such a manner, and actual results may differ materially.</w:t>
      </w:r>
    </w:p>
    <w:p>
      <w:pPr>
        <w:spacing w:after="0" w:line="112" w:lineRule="exact"/>
        <w:rPr>
          <w:sz w:val="20"/>
          <w:szCs w:val="20"/>
          <w:color w:val="auto"/>
        </w:rPr>
      </w:pPr>
    </w:p>
    <w:p>
      <w:pPr>
        <w:ind w:left="640" w:right="659" w:firstLine="516"/>
        <w:spacing w:after="0" w:line="272" w:lineRule="auto"/>
        <w:rPr>
          <w:sz w:val="20"/>
          <w:szCs w:val="20"/>
          <w:color w:val="auto"/>
        </w:rPr>
      </w:pPr>
      <w:r>
        <w:rPr>
          <w:rFonts w:ascii="Arial" w:cs="Arial" w:eastAsia="Arial" w:hAnsi="Arial"/>
          <w:sz w:val="13"/>
          <w:szCs w:val="13"/>
          <w:color w:val="auto"/>
        </w:rPr>
        <w:t>Our exposure to market risk elements for the six months ended June 30, 2024 was consistent with the risk elements presented above, including the effects of changes in interest rates, equity prices, and foreign currency exchange rates.</w:t>
      </w:r>
    </w:p>
    <w:p>
      <w:pPr>
        <w:spacing w:after="0" w:line="123"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ITEM 4. CONTROLS AND PROCEDURES</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Evaluation of disclosure controls and procedures</w:t>
      </w:r>
    </w:p>
    <w:p>
      <w:pPr>
        <w:spacing w:after="0" w:line="151" w:lineRule="exact"/>
        <w:rPr>
          <w:sz w:val="20"/>
          <w:szCs w:val="20"/>
          <w:color w:val="auto"/>
        </w:rPr>
      </w:pPr>
    </w:p>
    <w:p>
      <w:pPr>
        <w:ind w:left="640" w:right="779" w:firstLine="516"/>
        <w:spacing w:after="0" w:line="257" w:lineRule="auto"/>
        <w:rPr>
          <w:sz w:val="20"/>
          <w:szCs w:val="20"/>
          <w:color w:val="auto"/>
        </w:rPr>
      </w:pPr>
      <w:r>
        <w:rPr>
          <w:rFonts w:ascii="Arial" w:cs="Arial" w:eastAsia="Arial" w:hAnsi="Arial"/>
          <w:sz w:val="13"/>
          <w:szCs w:val="13"/>
          <w:color w:val="auto"/>
        </w:rPr>
        <w:t>As of June 30, 2024, we had performed an evaluation, under the supervision of our principal executive officers and principal financial officer, of the effectiveness of the design and operation of our disclosure controls and procedures. These controls and procedures have been designed to ensure that information required for disclosure is recorded, processed, summarized, and reported within the requisite time periods. Based on our evaluation, the principal executive officers and principal financial officer concluded that our disclosure controls and procedures were effective as of June 30, 2024.</w:t>
      </w:r>
    </w:p>
    <w:p>
      <w:pPr>
        <w:spacing w:after="0" w:line="134"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Changes in internal control over financial reporting</w:t>
      </w:r>
    </w:p>
    <w:p>
      <w:pPr>
        <w:spacing w:after="0" w:line="162" w:lineRule="exact"/>
        <w:rPr>
          <w:sz w:val="20"/>
          <w:szCs w:val="20"/>
          <w:color w:val="auto"/>
        </w:rPr>
      </w:pPr>
    </w:p>
    <w:p>
      <w:pPr>
        <w:ind w:left="640" w:right="839" w:firstLine="516"/>
        <w:spacing w:after="0" w:line="272" w:lineRule="auto"/>
        <w:rPr>
          <w:sz w:val="20"/>
          <w:szCs w:val="20"/>
          <w:color w:val="auto"/>
        </w:rPr>
      </w:pPr>
      <w:r>
        <w:rPr>
          <w:rFonts w:ascii="Arial" w:cs="Arial" w:eastAsia="Arial" w:hAnsi="Arial"/>
          <w:sz w:val="13"/>
          <w:szCs w:val="13"/>
          <w:color w:val="auto"/>
        </w:rPr>
        <w:t>There has not been any change in our internal control over financial reporting during the three months ended June 30, 2024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188595</wp:posOffset>
            </wp:positionV>
            <wp:extent cx="5584190" cy="20828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584190" cy="2082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PART II – OTHER INFORMATION</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ITEM 1A. RISK FACTORS</w:t>
      </w:r>
    </w:p>
    <w:p>
      <w:pPr>
        <w:spacing w:after="0" w:line="162" w:lineRule="exact"/>
        <w:rPr>
          <w:sz w:val="20"/>
          <w:szCs w:val="20"/>
          <w:color w:val="auto"/>
        </w:rPr>
      </w:pPr>
    </w:p>
    <w:p>
      <w:pPr>
        <w:ind w:left="640" w:right="739" w:firstLine="516"/>
        <w:spacing w:after="0" w:line="254" w:lineRule="auto"/>
        <w:rPr>
          <w:sz w:val="20"/>
          <w:szCs w:val="20"/>
          <w:color w:val="auto"/>
        </w:rPr>
      </w:pPr>
      <w:r>
        <w:rPr>
          <w:rFonts w:ascii="Arial" w:cs="Arial" w:eastAsia="Arial" w:hAnsi="Arial"/>
          <w:sz w:val="13"/>
          <w:szCs w:val="13"/>
          <w:color w:val="auto"/>
        </w:rPr>
        <w:t>In addition to the information set forth in this quarterly report on Form 10-Q, one should also carefully review and consider the information contained in the other reports and periodic filings that we make with the SEC, including, without limitation, the information contained under the caption “Item 1A. Risk factors” in our annual report on Form 10-K for the year ended December 31, 2023. Those risk factors could materially affect our business, financial condition, and results of operations. The risks that we describe in our public filings are not the only risks that we face. Additional risks and uncertainties not currently known to us, or that we presently deem to be immaterial, also may materially adversely affect our business, financial condition, and results of operations.</w:t>
      </w:r>
    </w:p>
    <w:p>
      <w:pPr>
        <w:spacing w:after="0" w:line="125" w:lineRule="exact"/>
        <w:rPr>
          <w:sz w:val="20"/>
          <w:szCs w:val="20"/>
          <w:color w:val="auto"/>
        </w:rPr>
      </w:pPr>
    </w:p>
    <w:p>
      <w:pPr>
        <w:ind w:left="640" w:right="759" w:firstLine="516"/>
        <w:spacing w:after="0" w:line="289" w:lineRule="auto"/>
        <w:rPr>
          <w:sz w:val="20"/>
          <w:szCs w:val="20"/>
          <w:color w:val="auto"/>
        </w:rPr>
      </w:pPr>
      <w:r>
        <w:rPr>
          <w:rFonts w:ascii="Arial" w:cs="Arial" w:eastAsia="Arial" w:hAnsi="Arial"/>
          <w:sz w:val="13"/>
          <w:szCs w:val="13"/>
          <w:color w:val="auto"/>
        </w:rPr>
        <w:t>There have been no material changes in our risk factors from those disclosed under the caption “Item 1A. Risk factors” in our annual report on Form 10-K for the year ended December 31, 2023, except for the following updates:</w:t>
      </w:r>
    </w:p>
    <w:p>
      <w:pPr>
        <w:sectPr>
          <w:pgSz w:w="11900" w:h="16934" w:orient="portrait"/>
          <w:cols w:equalWidth="0" w:num="1">
            <w:col w:w="9019"/>
          </w:cols>
          <w:pgMar w:left="1440" w:top="1440" w:right="1440" w:bottom="0" w:gutter="0" w:footer="0" w:header="0"/>
        </w:sectPr>
      </w:pPr>
    </w:p>
    <w:p>
      <w:pPr>
        <w:spacing w:after="0" w:line="112" w:lineRule="exact"/>
        <w:rPr>
          <w:sz w:val="20"/>
          <w:szCs w:val="20"/>
          <w:color w:val="auto"/>
        </w:rPr>
      </w:pPr>
    </w:p>
    <w:p>
      <w:pPr>
        <w:ind w:left="1160" w:right="799" w:firstLine="515"/>
        <w:spacing w:after="0" w:line="328" w:lineRule="auto"/>
        <w:rPr>
          <w:sz w:val="20"/>
          <w:szCs w:val="20"/>
          <w:color w:val="auto"/>
        </w:rPr>
      </w:pPr>
      <w:r>
        <w:rPr>
          <w:rFonts w:ascii="Arial" w:cs="Arial" w:eastAsia="Arial" w:hAnsi="Arial"/>
          <w:sz w:val="12"/>
          <w:szCs w:val="12"/>
          <w:b w:val="1"/>
          <w:bCs w:val="1"/>
          <w:i w:val="1"/>
          <w:iCs w:val="1"/>
          <w:color w:val="auto"/>
        </w:rPr>
        <w:t>The use of artificial intelligence presents risks and challenges that may adversely impact our business and operating results or that of our tenants and vendors or may adversely impact the requirements and demand for life</w:t>
      </w:r>
    </w:p>
    <w:p>
      <w:pPr>
        <w:sectPr>
          <w:pgSz w:w="11900" w:h="16934" w:orient="portrait"/>
          <w:cols w:equalWidth="0" w:num="1">
            <w:col w:w="9019"/>
          </w:cols>
          <w:pgMar w:left="1440" w:top="1440" w:right="1440" w:bottom="0" w:gutter="0" w:footer="0" w:header="0"/>
          <w:type w:val="continuous"/>
        </w:sectPr>
      </w:pPr>
    </w:p>
    <w:bookmarkStart w:id="76" w:name="page77"/>
    <w:bookmarkEnd w:id="76"/>
    <w:p>
      <w:pPr>
        <w:ind w:left="1160"/>
        <w:spacing w:after="0"/>
        <w:rPr>
          <w:sz w:val="20"/>
          <w:szCs w:val="20"/>
          <w:color w:val="auto"/>
        </w:rPr>
      </w:pPr>
      <w:r>
        <w:rPr>
          <w:rFonts w:ascii="Arial" w:cs="Arial" w:eastAsia="Arial" w:hAnsi="Arial"/>
          <w:sz w:val="13"/>
          <w:szCs w:val="13"/>
          <w:b w:val="1"/>
          <w:bCs w:val="1"/>
          <w:i w:val="1"/>
          <w:iCs w:val="1"/>
          <w:color w:val="auto"/>
        </w:rPr>
        <w:t>science laboratory space as a whole.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-81280</wp:posOffset>
            </wp:positionV>
            <wp:extent cx="5584190" cy="51308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584190" cy="5130800"/>
                    </a:xfrm>
                    <a:prstGeom prst="rect">
                      <a:avLst/>
                    </a:prstGeom>
                    <a:noFill/>
                  </pic:spPr>
                </pic:pic>
              </a:graphicData>
            </a:graphic>
          </wp:anchor>
        </w:drawing>
      </w:r>
    </w:p>
    <w:p>
      <w:pPr>
        <w:spacing w:after="0" w:line="108" w:lineRule="exact"/>
        <w:rPr>
          <w:sz w:val="20"/>
          <w:szCs w:val="20"/>
          <w:color w:val="auto"/>
        </w:rPr>
      </w:pPr>
    </w:p>
    <w:p>
      <w:pPr>
        <w:ind w:left="1160" w:right="659" w:firstLine="515"/>
        <w:spacing w:after="0" w:line="233" w:lineRule="auto"/>
        <w:rPr>
          <w:sz w:val="20"/>
          <w:szCs w:val="20"/>
          <w:color w:val="auto"/>
        </w:rPr>
      </w:pPr>
      <w:r>
        <w:rPr>
          <w:rFonts w:ascii="Arial" w:cs="Arial" w:eastAsia="Arial" w:hAnsi="Arial"/>
          <w:sz w:val="13"/>
          <w:szCs w:val="13"/>
          <w:color w:val="auto"/>
        </w:rPr>
        <w:t>We may adopt and integrate generative artificial intelligence and machine learning (collectively, “AI”) tools into our operations to enhance efficiencies and streamline existing systems. However, the deployment and maintenance of AI tools may entail substantial risks. While these tools hold promise in optimizing processes and driving efficiencies, as with many technological innovations, they also pose inherent risks. These include, but are not limited to, the potential for inaccuracy, bias, intellectual property infringement, or misappropriation, as well as concerns regarding data privacy and cybersecurity.</w:t>
      </w:r>
    </w:p>
    <w:p>
      <w:pPr>
        <w:spacing w:after="0" w:line="123" w:lineRule="exact"/>
        <w:rPr>
          <w:sz w:val="20"/>
          <w:szCs w:val="20"/>
          <w:color w:val="auto"/>
        </w:rPr>
      </w:pPr>
    </w:p>
    <w:p>
      <w:pPr>
        <w:ind w:left="1160" w:right="639" w:firstLine="515"/>
        <w:spacing w:after="0" w:line="253" w:lineRule="auto"/>
        <w:rPr>
          <w:sz w:val="20"/>
          <w:szCs w:val="20"/>
          <w:color w:val="auto"/>
        </w:rPr>
      </w:pPr>
      <w:r>
        <w:rPr>
          <w:rFonts w:ascii="Arial" w:cs="Arial" w:eastAsia="Arial" w:hAnsi="Arial"/>
          <w:sz w:val="13"/>
          <w:szCs w:val="13"/>
          <w:color w:val="auto"/>
        </w:rPr>
        <w:t>Moreover, the use of AI may introduce errors or inadequacies that are not easily detectable. Deficiencies, inaccuracies, or biases in the data used for AI training, or in the content, analyses, or recommendations generated by AI applications, may adversely affect our business, financial condition, and results of operations. The legal landscape surrounding AI is evolving and remains uncertain. It is unknown how the development of laws in this area could impact our business and our ability to enforce our proprietary rights or protect against infringement of those rights.</w:t>
      </w:r>
    </w:p>
    <w:p>
      <w:pPr>
        <w:spacing w:after="0" w:line="138" w:lineRule="exact"/>
        <w:rPr>
          <w:sz w:val="20"/>
          <w:szCs w:val="20"/>
          <w:color w:val="auto"/>
        </w:rPr>
      </w:pPr>
    </w:p>
    <w:p>
      <w:pPr>
        <w:ind w:left="1660"/>
        <w:spacing w:after="0"/>
        <w:rPr>
          <w:sz w:val="20"/>
          <w:szCs w:val="20"/>
          <w:color w:val="auto"/>
        </w:rPr>
      </w:pPr>
      <w:r>
        <w:rPr>
          <w:rFonts w:ascii="Arial" w:cs="Arial" w:eastAsia="Arial" w:hAnsi="Arial"/>
          <w:sz w:val="13"/>
          <w:szCs w:val="13"/>
          <w:i w:val="1"/>
          <w:iCs w:val="1"/>
          <w:u w:val="single" w:color="auto"/>
          <w:color w:val="auto"/>
        </w:rPr>
        <w:t>Potential risks from the use of AI by our tenants</w:t>
      </w:r>
    </w:p>
    <w:p>
      <w:pPr>
        <w:spacing w:after="0" w:line="160" w:lineRule="exact"/>
        <w:rPr>
          <w:sz w:val="20"/>
          <w:szCs w:val="20"/>
          <w:color w:val="auto"/>
        </w:rPr>
      </w:pPr>
    </w:p>
    <w:p>
      <w:pPr>
        <w:ind w:left="1160" w:right="899" w:firstLine="515"/>
        <w:spacing w:after="0"/>
        <w:rPr>
          <w:sz w:val="20"/>
          <w:szCs w:val="20"/>
          <w:color w:val="auto"/>
        </w:rPr>
      </w:pPr>
      <w:r>
        <w:rPr>
          <w:rFonts w:ascii="Arial" w:cs="Arial" w:eastAsia="Arial" w:hAnsi="Arial"/>
          <w:sz w:val="13"/>
          <w:szCs w:val="13"/>
          <w:color w:val="auto"/>
        </w:rPr>
        <w:t>The integration of AI technologies in the life science industry presents both significant opportunities and inherent risks. AI predictive models have the potential to enhance the accuracy and usefulness of simulation models and be utilized broadly across various stages of drug development. However, the adoption of AI also introduces a complex risk landscape similar to those described above that must be navigated with caution.</w:t>
      </w:r>
    </w:p>
    <w:p>
      <w:pPr>
        <w:spacing w:after="0" w:line="175" w:lineRule="exact"/>
        <w:rPr>
          <w:sz w:val="20"/>
          <w:szCs w:val="20"/>
          <w:color w:val="auto"/>
        </w:rPr>
      </w:pPr>
    </w:p>
    <w:p>
      <w:pPr>
        <w:ind w:left="1160" w:right="659" w:firstLine="515"/>
        <w:spacing w:after="0" w:line="278" w:lineRule="auto"/>
        <w:rPr>
          <w:sz w:val="20"/>
          <w:szCs w:val="20"/>
          <w:color w:val="auto"/>
        </w:rPr>
      </w:pPr>
      <w:r>
        <w:rPr>
          <w:rFonts w:ascii="Arial" w:cs="Arial" w:eastAsia="Arial" w:hAnsi="Arial"/>
          <w:sz w:val="12"/>
          <w:szCs w:val="12"/>
          <w:color w:val="auto"/>
        </w:rPr>
        <w:t>Moreover, the adoption of AI by our tenants may lead to infrastructure requirements that our buildings currently do not accommodate, such as increased power needs due to high-performance computing. Infrastructure upgrades may necessitate substantial capital expenditures and could potentially impact the environmental footprint of our building operations.</w:t>
      </w:r>
    </w:p>
    <w:p>
      <w:pPr>
        <w:spacing w:after="0" w:line="113" w:lineRule="exact"/>
        <w:rPr>
          <w:sz w:val="20"/>
          <w:szCs w:val="20"/>
          <w:color w:val="auto"/>
        </w:rPr>
      </w:pPr>
    </w:p>
    <w:p>
      <w:pPr>
        <w:ind w:left="1660"/>
        <w:spacing w:after="0"/>
        <w:rPr>
          <w:sz w:val="20"/>
          <w:szCs w:val="20"/>
          <w:color w:val="auto"/>
        </w:rPr>
      </w:pPr>
      <w:r>
        <w:rPr>
          <w:rFonts w:ascii="Arial" w:cs="Arial" w:eastAsia="Arial" w:hAnsi="Arial"/>
          <w:sz w:val="13"/>
          <w:szCs w:val="13"/>
          <w:i w:val="1"/>
          <w:iCs w:val="1"/>
          <w:u w:val="single" w:color="auto"/>
          <w:color w:val="auto"/>
        </w:rPr>
        <w:t>Potential risks from the use of AI by our investors, analysts, and other market participants</w:t>
      </w:r>
    </w:p>
    <w:p>
      <w:pPr>
        <w:spacing w:after="0" w:line="160" w:lineRule="exact"/>
        <w:rPr>
          <w:sz w:val="20"/>
          <w:szCs w:val="20"/>
          <w:color w:val="auto"/>
        </w:rPr>
      </w:pPr>
    </w:p>
    <w:p>
      <w:pPr>
        <w:ind w:left="1160" w:right="699" w:firstLine="515"/>
        <w:spacing w:after="0" w:line="252" w:lineRule="auto"/>
        <w:rPr>
          <w:sz w:val="20"/>
          <w:szCs w:val="20"/>
          <w:color w:val="auto"/>
        </w:rPr>
      </w:pPr>
      <w:r>
        <w:rPr>
          <w:rFonts w:ascii="Arial" w:cs="Arial" w:eastAsia="Arial" w:hAnsi="Arial"/>
          <w:sz w:val="13"/>
          <w:szCs w:val="13"/>
          <w:color w:val="auto"/>
        </w:rPr>
        <w:t>The increasing use of AI by investors, analysts, and other market participants for processing, summarizing, and interpreting financial and other information, including that in our annual reports on Form 10-K, quarterly reports on Form 10-Q, and other public disclosures, poses potential risks. While AI could improve efficiencies in data analysis, AI could also inaccurately interpret or summarize information due to algorithmic limitations or misinterpretation of complex financial concepts. These misinterpretations could be further exacerbated by the potential for AI to overlook additional disclosures in various report sections, such as the Management's Discussion and Analysis of Financial Condition and Results of Operations or Risk Factors section within our annual reports on Form 10-K and/or quarterly reports on Form 10-Q.</w:t>
      </w:r>
    </w:p>
    <w:p>
      <w:pPr>
        <w:spacing w:after="0" w:line="136" w:lineRule="exact"/>
        <w:rPr>
          <w:sz w:val="20"/>
          <w:szCs w:val="20"/>
          <w:color w:val="auto"/>
        </w:rPr>
      </w:pPr>
    </w:p>
    <w:p>
      <w:pPr>
        <w:ind w:left="1160" w:right="659" w:firstLine="515"/>
        <w:spacing w:after="0" w:line="253" w:lineRule="auto"/>
        <w:rPr>
          <w:sz w:val="20"/>
          <w:szCs w:val="20"/>
          <w:color w:val="auto"/>
        </w:rPr>
      </w:pPr>
      <w:r>
        <w:rPr>
          <w:rFonts w:ascii="Arial" w:cs="Arial" w:eastAsia="Arial" w:hAnsi="Arial"/>
          <w:sz w:val="13"/>
          <w:szCs w:val="13"/>
          <w:color w:val="auto"/>
        </w:rPr>
        <w:t>Our status as a REIT introduces unique financial metrics, such as funds from operations and fund from operations, as adjusted, which represent widely used non-GAAP financial performance measures of equity REITs. Inadequate AI training on the aspects unique to our industry could lead to inaccurate interpretations of these financial measures, particularly when comparing our performance against non-REIT entities. Furthermore, rules and regulations requiring REITs to distribute at least 90% of REIT taxable income to stockholders result in a substantial reliance on debt and equity financing by REITs. Without adequate training, these unique aspects might not be properly accounted for by AI and could lead to misinterpretations of our financial metrics, such as net debt and preferred stock to Adjusted EBITDA, resulting in inaccurate conclusions and misleading investment recommendations.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188595</wp:posOffset>
            </wp:positionV>
            <wp:extent cx="5584190" cy="53219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584190" cy="5321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160" w:right="759" w:firstLine="515"/>
        <w:spacing w:after="0" w:line="257" w:lineRule="auto"/>
        <w:rPr>
          <w:sz w:val="20"/>
          <w:szCs w:val="20"/>
          <w:color w:val="auto"/>
        </w:rPr>
      </w:pPr>
      <w:r>
        <w:rPr>
          <w:rFonts w:ascii="Arial" w:cs="Arial" w:eastAsia="Arial" w:hAnsi="Arial"/>
          <w:sz w:val="13"/>
          <w:szCs w:val="13"/>
          <w:color w:val="auto"/>
        </w:rPr>
        <w:t>Additionally, current inconsistencies in the use, calculation, and presentation of non-GAAP measures among public companies may lead to AI’s inaccurate interpretations and comparisons of these measures. Without appropriate adjustments for these divergences, AI may generate erroneous comparisons with peer companies, distorting the view of our operational performance and profitability, which could lead to misguided investor conclusions about our competitive position among other companies.</w:t>
      </w:r>
    </w:p>
    <w:p>
      <w:pPr>
        <w:spacing w:after="0" w:line="123" w:lineRule="exact"/>
        <w:rPr>
          <w:sz w:val="20"/>
          <w:szCs w:val="20"/>
          <w:color w:val="auto"/>
        </w:rPr>
      </w:pPr>
    </w:p>
    <w:p>
      <w:pPr>
        <w:ind w:left="1660"/>
        <w:spacing w:after="0"/>
        <w:rPr>
          <w:sz w:val="20"/>
          <w:szCs w:val="20"/>
          <w:color w:val="auto"/>
        </w:rPr>
      </w:pPr>
      <w:r>
        <w:rPr>
          <w:rFonts w:ascii="Arial" w:cs="Arial" w:eastAsia="Arial" w:hAnsi="Arial"/>
          <w:sz w:val="13"/>
          <w:szCs w:val="13"/>
          <w:color w:val="auto"/>
        </w:rPr>
        <w:t>Other challenges associated with AI use may include:</w:t>
      </w:r>
    </w:p>
    <w:p>
      <w:pPr>
        <w:spacing w:after="0" w:line="162" w:lineRule="exact"/>
        <w:rPr>
          <w:sz w:val="20"/>
          <w:szCs w:val="20"/>
          <w:color w:val="auto"/>
        </w:rPr>
      </w:pPr>
    </w:p>
    <w:p>
      <w:pPr>
        <w:ind w:left="1660" w:right="939" w:hanging="249"/>
        <w:spacing w:after="0" w:line="259" w:lineRule="auto"/>
        <w:tabs>
          <w:tab w:leader="none" w:pos="1660" w:val="left"/>
        </w:tabs>
        <w:numPr>
          <w:ilvl w:val="0"/>
          <w:numId w:val="121"/>
        </w:numPr>
        <w:rPr>
          <w:rFonts w:ascii="Arial" w:cs="Arial" w:eastAsia="Arial" w:hAnsi="Arial"/>
          <w:sz w:val="13"/>
          <w:szCs w:val="13"/>
          <w:color w:val="auto"/>
        </w:rPr>
      </w:pPr>
      <w:r>
        <w:rPr>
          <w:rFonts w:ascii="Arial" w:cs="Arial" w:eastAsia="Arial" w:hAnsi="Arial"/>
          <w:sz w:val="13"/>
          <w:szCs w:val="13"/>
          <w:color w:val="auto"/>
        </w:rPr>
        <w:t>Inadequate interpretation of real estate market nuances, including geographic and property-type differences, and property quality.</w:t>
      </w:r>
    </w:p>
    <w:p>
      <w:pPr>
        <w:ind w:left="1660" w:right="879" w:hanging="249"/>
        <w:spacing w:after="0" w:line="246" w:lineRule="auto"/>
        <w:tabs>
          <w:tab w:leader="none" w:pos="1660" w:val="left"/>
        </w:tabs>
        <w:numPr>
          <w:ilvl w:val="0"/>
          <w:numId w:val="121"/>
        </w:numPr>
        <w:rPr>
          <w:rFonts w:ascii="Arial" w:cs="Arial" w:eastAsia="Arial" w:hAnsi="Arial"/>
          <w:sz w:val="13"/>
          <w:szCs w:val="13"/>
          <w:color w:val="auto"/>
        </w:rPr>
      </w:pPr>
      <w:r>
        <w:rPr>
          <w:rFonts w:ascii="Arial" w:cs="Arial" w:eastAsia="Arial" w:hAnsi="Arial"/>
          <w:sz w:val="13"/>
          <w:szCs w:val="13"/>
          <w:color w:val="auto"/>
        </w:rPr>
        <w:t>Overemphasis on quantitative data, which overlooks qualitative factors like management’s expertise, background, and tenure; and company strategy, credit rating, track record, and market reputation.</w:t>
      </w:r>
    </w:p>
    <w:p>
      <w:pPr>
        <w:ind w:left="1660" w:hanging="249"/>
        <w:spacing w:after="0"/>
        <w:tabs>
          <w:tab w:leader="none" w:pos="1660" w:val="left"/>
        </w:tabs>
        <w:numPr>
          <w:ilvl w:val="0"/>
          <w:numId w:val="121"/>
        </w:numPr>
        <w:rPr>
          <w:rFonts w:ascii="Arial" w:cs="Arial" w:eastAsia="Arial" w:hAnsi="Arial"/>
          <w:sz w:val="13"/>
          <w:szCs w:val="13"/>
          <w:color w:val="auto"/>
        </w:rPr>
      </w:pPr>
      <w:r>
        <w:rPr>
          <w:rFonts w:ascii="Arial" w:cs="Arial" w:eastAsia="Arial" w:hAnsi="Arial"/>
          <w:sz w:val="13"/>
          <w:szCs w:val="13"/>
          <w:color w:val="auto"/>
        </w:rPr>
        <w:t>Reliance on historical data, which may not reliably predict future performance in the dynamic real estate sector.</w:t>
      </w:r>
    </w:p>
    <w:p>
      <w:pPr>
        <w:spacing w:after="0" w:line="5" w:lineRule="exact"/>
        <w:rPr>
          <w:rFonts w:ascii="Arial" w:cs="Arial" w:eastAsia="Arial" w:hAnsi="Arial"/>
          <w:sz w:val="13"/>
          <w:szCs w:val="13"/>
          <w:color w:val="auto"/>
        </w:rPr>
      </w:pPr>
    </w:p>
    <w:p>
      <w:pPr>
        <w:ind w:left="1660" w:right="1339" w:hanging="249"/>
        <w:spacing w:after="0" w:line="270" w:lineRule="auto"/>
        <w:tabs>
          <w:tab w:leader="none" w:pos="1660" w:val="left"/>
        </w:tabs>
        <w:numPr>
          <w:ilvl w:val="0"/>
          <w:numId w:val="121"/>
        </w:numPr>
        <w:rPr>
          <w:rFonts w:ascii="Arial" w:cs="Arial" w:eastAsia="Arial" w:hAnsi="Arial"/>
          <w:sz w:val="13"/>
          <w:szCs w:val="13"/>
          <w:color w:val="auto"/>
        </w:rPr>
      </w:pPr>
      <w:r>
        <w:rPr>
          <w:rFonts w:ascii="Arial" w:cs="Arial" w:eastAsia="Arial" w:hAnsi="Arial"/>
          <w:sz w:val="13"/>
          <w:szCs w:val="13"/>
          <w:color w:val="auto"/>
        </w:rPr>
        <w:t>Current limited capability of AI in making nuanced judgments, particularly in understanding market trends, uncertainties, and investor sentiment.</w:t>
      </w:r>
    </w:p>
    <w:p>
      <w:pPr>
        <w:spacing w:after="0" w:line="113" w:lineRule="exact"/>
        <w:rPr>
          <w:sz w:val="20"/>
          <w:szCs w:val="20"/>
          <w:color w:val="auto"/>
        </w:rPr>
      </w:pPr>
    </w:p>
    <w:p>
      <w:pPr>
        <w:ind w:left="1160" w:right="639" w:firstLine="515"/>
        <w:spacing w:after="0" w:line="257" w:lineRule="auto"/>
        <w:rPr>
          <w:sz w:val="20"/>
          <w:szCs w:val="20"/>
          <w:color w:val="auto"/>
        </w:rPr>
      </w:pPr>
      <w:r>
        <w:rPr>
          <w:rFonts w:ascii="Arial" w:cs="Arial" w:eastAsia="Arial" w:hAnsi="Arial"/>
          <w:sz w:val="13"/>
          <w:szCs w:val="13"/>
          <w:color w:val="auto"/>
        </w:rPr>
        <w:t>We are committed to the highest levels of transparency, integrity, and accountability in our public disclosures. However, we have no control over the processing or interpretation of this information by third-party AI tools. Incorrect AI interpretations could significantly impact investment decisions, which may adversely affect our stock price, investor confidence, and our reputation. Additionally, the time and resources needed to address and remediate public misconceptions could distract from our business activities, which may further exacerbate the potential negative impact.</w:t>
      </w:r>
    </w:p>
    <w:p>
      <w:pPr>
        <w:spacing w:after="0" w:line="136" w:lineRule="exact"/>
        <w:rPr>
          <w:sz w:val="20"/>
          <w:szCs w:val="20"/>
          <w:color w:val="auto"/>
        </w:rPr>
      </w:pPr>
    </w:p>
    <w:p>
      <w:pPr>
        <w:ind w:left="1660"/>
        <w:spacing w:after="0"/>
        <w:rPr>
          <w:sz w:val="20"/>
          <w:szCs w:val="20"/>
          <w:color w:val="auto"/>
        </w:rPr>
      </w:pPr>
      <w:r>
        <w:rPr>
          <w:rFonts w:ascii="Arial" w:cs="Arial" w:eastAsia="Arial" w:hAnsi="Arial"/>
          <w:sz w:val="13"/>
          <w:szCs w:val="13"/>
          <w:i w:val="1"/>
          <w:iCs w:val="1"/>
          <w:u w:val="single" w:color="auto"/>
          <w:color w:val="auto"/>
        </w:rPr>
        <w:t>Potential risks of use of AI by vendors</w:t>
      </w:r>
    </w:p>
    <w:p>
      <w:pPr>
        <w:spacing w:after="0" w:line="160" w:lineRule="exact"/>
        <w:rPr>
          <w:sz w:val="20"/>
          <w:szCs w:val="20"/>
          <w:color w:val="auto"/>
        </w:rPr>
      </w:pPr>
    </w:p>
    <w:p>
      <w:pPr>
        <w:ind w:left="1160" w:right="679" w:firstLine="515"/>
        <w:spacing w:after="0" w:line="274" w:lineRule="auto"/>
        <w:rPr>
          <w:sz w:val="20"/>
          <w:szCs w:val="20"/>
          <w:color w:val="auto"/>
        </w:rPr>
      </w:pPr>
      <w:r>
        <w:rPr>
          <w:rFonts w:ascii="Arial" w:cs="Arial" w:eastAsia="Arial" w:hAnsi="Arial"/>
          <w:sz w:val="12"/>
          <w:szCs w:val="12"/>
          <w:color w:val="auto"/>
        </w:rPr>
        <w:t>Our vendors may incorporate AI tools into their products or services without our knowledge, and the providers of these tools may not meet existing or rapidly evolving regulatory or industry standards with respect to privacy and data protection. Consequently, this may inhibit our or our vendors’ ability to uphold an appropriate level of service, data privacy, and overall experience. Bad actors around the world use increasingly sophisticated methods, including the use of AI, to engage in illegal activities involving the theft and misuse of personal information, confidential information, and intellectual property. If we, our vendors, or other third parties with which we conduct business experience an actual or perceived breach of privacy or security incident due to the use of AI, we may be adversely impacted, lose valuable intellectual property or confidential information, and incur harm to our reputation and the public perception of the effectiveness of our security measures.</w:t>
      </w:r>
    </w:p>
    <w:p>
      <w:pPr>
        <w:spacing w:after="0" w:line="127" w:lineRule="exact"/>
        <w:rPr>
          <w:sz w:val="20"/>
          <w:szCs w:val="20"/>
          <w:color w:val="auto"/>
        </w:rPr>
      </w:pPr>
    </w:p>
    <w:p>
      <w:pPr>
        <w:ind w:left="1660"/>
        <w:spacing w:after="0"/>
        <w:rPr>
          <w:sz w:val="20"/>
          <w:szCs w:val="20"/>
          <w:color w:val="auto"/>
        </w:rPr>
      </w:pPr>
      <w:r>
        <w:rPr>
          <w:rFonts w:ascii="Arial" w:cs="Arial" w:eastAsia="Arial" w:hAnsi="Arial"/>
          <w:sz w:val="13"/>
          <w:szCs w:val="13"/>
          <w:i w:val="1"/>
          <w:iCs w:val="1"/>
          <w:u w:val="single" w:color="auto"/>
          <w:color w:val="auto"/>
        </w:rPr>
        <w:t>Potential risk of use of AI by cybercriminals</w:t>
      </w:r>
    </w:p>
    <w:p>
      <w:pPr>
        <w:spacing w:after="0" w:line="160" w:lineRule="exact"/>
        <w:rPr>
          <w:sz w:val="20"/>
          <w:szCs w:val="20"/>
          <w:color w:val="auto"/>
        </w:rPr>
      </w:pPr>
    </w:p>
    <w:p>
      <w:pPr>
        <w:ind w:left="1160" w:right="739" w:firstLine="515"/>
        <w:spacing w:after="0" w:line="257" w:lineRule="auto"/>
        <w:rPr>
          <w:sz w:val="20"/>
          <w:szCs w:val="20"/>
          <w:color w:val="auto"/>
        </w:rPr>
      </w:pPr>
      <w:r>
        <w:rPr>
          <w:rFonts w:ascii="Arial" w:cs="Arial" w:eastAsia="Arial" w:hAnsi="Arial"/>
          <w:sz w:val="13"/>
          <w:szCs w:val="13"/>
          <w:color w:val="auto"/>
        </w:rPr>
        <w:t>As AI technologies become more advanced, cybercriminals may develop more sophisticated attack methods. Such methods may include the use of AI to automate and enhance phishing schemes, advance malware, and carry out more effective cyberattacks. The AI-driven cyber threats could be harder to detect and counteract, which may pose significant risks to our data security and the integrity of our systems. If such AI-enhanced cyberattacks are successful, they could lead to substantial data breaches, loss of sensitive information, and significant financial and reputational damage.</w:t>
      </w:r>
    </w:p>
    <w:p>
      <w:pPr>
        <w:spacing w:after="0" w:line="123" w:lineRule="exact"/>
        <w:rPr>
          <w:sz w:val="20"/>
          <w:szCs w:val="20"/>
          <w:color w:val="auto"/>
        </w:rPr>
      </w:pPr>
    </w:p>
    <w:p>
      <w:pPr>
        <w:ind w:left="640" w:right="659" w:firstLine="516"/>
        <w:spacing w:after="0" w:line="254" w:lineRule="auto"/>
        <w:rPr>
          <w:sz w:val="20"/>
          <w:szCs w:val="20"/>
          <w:color w:val="auto"/>
        </w:rPr>
      </w:pPr>
      <w:r>
        <w:rPr>
          <w:rFonts w:ascii="Arial" w:cs="Arial" w:eastAsia="Arial" w:hAnsi="Arial"/>
          <w:sz w:val="13"/>
          <w:szCs w:val="13"/>
          <w:color w:val="auto"/>
        </w:rPr>
        <w:t>The realization of any of the aforementioned risks could have a material adverse impact on our revenues, net operating income; our results of operations, funds from operations, operating margins, occupancy, EPS, FFO per share; our overall business; and the market value of our common stock. Any of the outcomes described above could cause damage to us, our tenants, and vendors and adversely impact our business or that of our tenants and vendors. Furthermore, these risks, combined with an uncertain regulatory environment, may result in reputational harm, legal liability, governmental or regulatory scrutiny, or other adverse consequences to our business operations.</w:t>
      </w:r>
    </w:p>
    <w:p>
      <w:pPr>
        <w:sectPr>
          <w:pgSz w:w="11900" w:h="16838" w:orient="portrait"/>
          <w:cols w:equalWidth="0" w:num="1">
            <w:col w:w="9019"/>
          </w:cols>
          <w:pgMar w:left="1440" w:top="120" w:right="1440" w:bottom="0" w:gutter="0" w:footer="0" w:header="0"/>
        </w:sectPr>
      </w:pPr>
    </w:p>
    <w:bookmarkStart w:id="77" w:name="page78"/>
    <w:bookmarkEnd w:id="77"/>
    <w:p>
      <w:pPr>
        <w:ind w:left="640"/>
        <w:spacing w:after="0"/>
        <w:rPr>
          <w:sz w:val="20"/>
          <w:szCs w:val="20"/>
          <w:color w:val="auto"/>
        </w:rPr>
      </w:pPr>
      <w:r>
        <w:rPr>
          <w:rFonts w:ascii="Arial" w:cs="Arial" w:eastAsia="Arial" w:hAnsi="Arial"/>
          <w:sz w:val="13"/>
          <w:szCs w:val="13"/>
          <w:b w:val="1"/>
          <w:bCs w:val="1"/>
          <w:color w:val="auto"/>
        </w:rPr>
        <w:t>ITEM 5. 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-80010</wp:posOffset>
            </wp:positionV>
            <wp:extent cx="5584190" cy="189166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584190" cy="1891665"/>
                    </a:xfrm>
                    <a:prstGeom prst="rect">
                      <a:avLst/>
                    </a:prstGeom>
                    <a:noFill/>
                  </pic:spPr>
                </pic:pic>
              </a:graphicData>
            </a:graphic>
          </wp:anchor>
        </w:drawing>
      </w:r>
    </w:p>
    <w:p>
      <w:pPr>
        <w:spacing w:after="0" w:line="110"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Disclosure of 10b5-1 plans</w:t>
      </w:r>
    </w:p>
    <w:p>
      <w:pPr>
        <w:spacing w:after="0" w:line="162" w:lineRule="exact"/>
        <w:rPr>
          <w:sz w:val="20"/>
          <w:szCs w:val="20"/>
          <w:color w:val="auto"/>
        </w:rPr>
      </w:pPr>
    </w:p>
    <w:p>
      <w:pPr>
        <w:ind w:left="640" w:right="679" w:firstLine="516"/>
        <w:spacing w:after="0" w:line="265" w:lineRule="auto"/>
        <w:rPr>
          <w:sz w:val="20"/>
          <w:szCs w:val="20"/>
          <w:color w:val="auto"/>
        </w:rPr>
      </w:pPr>
      <w:r>
        <w:rPr>
          <w:rFonts w:ascii="Arial" w:cs="Arial" w:eastAsia="Arial" w:hAnsi="Arial"/>
          <w:sz w:val="13"/>
          <w:szCs w:val="13"/>
          <w:color w:val="auto"/>
        </w:rPr>
        <w:t>None of our officers or directors had any contract, instruction, or written plan for the purchase or sale of our securities that was intended to satisfy the affirmative defense conditions of Rule 10b5-1(c) or any “non-Rule 10b5-1 trading arrangement” in effect at any time during the three months ended June 30,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188595</wp:posOffset>
            </wp:positionV>
            <wp:extent cx="5584190" cy="722058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ITEM 6. EXHIBITS</w:t>
      </w:r>
    </w:p>
    <w:p>
      <w:pPr>
        <w:sectPr>
          <w:pgSz w:w="11900" w:h="16838" w:orient="portrait"/>
          <w:cols w:equalWidth="0" w:num="1">
            <w:col w:w="9019"/>
          </w:cols>
          <w:pgMar w:left="1440" w:top="118" w:right="1440" w:bottom="0" w:gutter="0" w:footer="0" w:header="0"/>
        </w:sectPr>
      </w:pPr>
    </w:p>
    <w:p>
      <w:pPr>
        <w:spacing w:after="0" w:line="131" w:lineRule="exact"/>
        <w:rPr>
          <w:sz w:val="20"/>
          <w:szCs w:val="20"/>
          <w:color w:val="auto"/>
        </w:rPr>
      </w:pPr>
    </w:p>
    <w:tbl>
      <w:tblPr>
        <w:tblLayout w:type="fixed"/>
        <w:tblInd w:w="640" w:type="dxa"/>
        <w:tblCellMar>
          <w:top w:w="0" w:type="dxa"/>
          <w:left w:w="0" w:type="dxa"/>
          <w:bottom w:w="0" w:type="dxa"/>
          <w:right w:w="0" w:type="dxa"/>
        </w:tblCellMar>
      </w:tblPr>
      <w:tr>
        <w:trPr>
          <w:trHeight w:val="149"/>
        </w:trPr>
        <w:tc>
          <w:tcPr>
            <w:tcW w:w="780" w:type="dxa"/>
            <w:vAlign w:val="bottom"/>
            <w:gridSpan w:val="2"/>
          </w:tcPr>
          <w:p>
            <w:pPr>
              <w:ind w:left="40"/>
              <w:spacing w:after="0"/>
              <w:rPr>
                <w:sz w:val="20"/>
                <w:szCs w:val="20"/>
                <w:color w:val="auto"/>
              </w:rPr>
            </w:pPr>
            <w:r>
              <w:rPr>
                <w:rFonts w:ascii="Arial" w:cs="Arial" w:eastAsia="Arial" w:hAnsi="Arial"/>
                <w:sz w:val="13"/>
                <w:szCs w:val="13"/>
                <w:b w:val="1"/>
                <w:bCs w:val="1"/>
                <w:color w:val="auto"/>
              </w:rPr>
              <w:t>Exhibit</w:t>
            </w:r>
          </w:p>
        </w:tc>
        <w:tc>
          <w:tcPr>
            <w:tcW w:w="4540" w:type="dxa"/>
            <w:vAlign w:val="bottom"/>
            <w:vMerge w:val="restart"/>
          </w:tcPr>
          <w:p>
            <w:pPr>
              <w:ind w:left="1900"/>
              <w:spacing w:after="0"/>
              <w:rPr>
                <w:sz w:val="20"/>
                <w:szCs w:val="20"/>
                <w:color w:val="auto"/>
              </w:rPr>
            </w:pPr>
            <w:r>
              <w:rPr>
                <w:rFonts w:ascii="Arial" w:cs="Arial" w:eastAsia="Arial" w:hAnsi="Arial"/>
                <w:sz w:val="13"/>
                <w:szCs w:val="13"/>
                <w:b w:val="1"/>
                <w:bCs w:val="1"/>
                <w:color w:val="auto"/>
              </w:rPr>
              <w:t>Exhibit Title</w:t>
            </w:r>
          </w:p>
        </w:tc>
        <w:tc>
          <w:tcPr>
            <w:tcW w:w="0" w:type="dxa"/>
            <w:vAlign w:val="bottom"/>
          </w:tcPr>
          <w:p>
            <w:pPr>
              <w:spacing w:after="0"/>
              <w:rPr>
                <w:sz w:val="1"/>
                <w:szCs w:val="1"/>
                <w:color w:val="auto"/>
              </w:rPr>
            </w:pPr>
          </w:p>
        </w:tc>
      </w:tr>
      <w:tr>
        <w:trPr>
          <w:trHeight w:val="161"/>
        </w:trPr>
        <w:tc>
          <w:tcPr>
            <w:tcW w:w="780" w:type="dxa"/>
            <w:vAlign w:val="bottom"/>
            <w:gridSpan w:val="2"/>
          </w:tcPr>
          <w:p>
            <w:pPr>
              <w:ind w:left="40"/>
              <w:spacing w:after="0"/>
              <w:rPr>
                <w:sz w:val="20"/>
                <w:szCs w:val="20"/>
                <w:color w:val="auto"/>
              </w:rPr>
            </w:pPr>
            <w:r>
              <w:rPr>
                <w:rFonts w:ascii="Arial" w:cs="Arial" w:eastAsia="Arial" w:hAnsi="Arial"/>
                <w:sz w:val="13"/>
                <w:szCs w:val="13"/>
                <w:b w:val="1"/>
                <w:bCs w:val="1"/>
                <w:color w:val="auto"/>
              </w:rPr>
              <w:t>Number</w:t>
            </w:r>
          </w:p>
        </w:tc>
        <w:tc>
          <w:tcPr>
            <w:tcW w:w="4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580" w:type="dxa"/>
            <w:vAlign w:val="bottom"/>
            <w:tcBorders>
              <w:top w:val="single" w:sz="8" w:color="auto"/>
            </w:tcBorders>
          </w:tcPr>
          <w:p>
            <w:pPr>
              <w:ind w:left="40"/>
              <w:spacing w:after="0"/>
              <w:rPr>
                <w:sz w:val="20"/>
                <w:szCs w:val="20"/>
                <w:color w:val="auto"/>
              </w:rPr>
            </w:pPr>
            <w:r>
              <w:rPr>
                <w:rFonts w:ascii="Arial" w:cs="Arial" w:eastAsia="Arial" w:hAnsi="Arial"/>
                <w:sz w:val="13"/>
                <w:szCs w:val="13"/>
                <w:color w:val="auto"/>
              </w:rPr>
              <w:t>3.1*</w:t>
            </w:r>
          </w:p>
        </w:tc>
        <w:tc>
          <w:tcPr>
            <w:tcW w:w="200" w:type="dxa"/>
            <w:vAlign w:val="bottom"/>
          </w:tcPr>
          <w:p>
            <w:pPr>
              <w:spacing w:after="0"/>
              <w:rPr>
                <w:sz w:val="16"/>
                <w:szCs w:val="16"/>
                <w:color w:val="auto"/>
              </w:rPr>
            </w:pPr>
          </w:p>
        </w:tc>
        <w:tc>
          <w:tcPr>
            <w:tcW w:w="4540" w:type="dxa"/>
            <w:vAlign w:val="bottom"/>
            <w:tcBorders>
              <w:top w:val="single" w:sz="8" w:color="auto"/>
            </w:tcBorders>
          </w:tcPr>
          <w:p>
            <w:pPr>
              <w:ind w:left="20"/>
              <w:spacing w:after="0"/>
              <w:rPr>
                <w:rFonts w:ascii="Arial" w:cs="Arial" w:eastAsia="Arial" w:hAnsi="Arial"/>
                <w:sz w:val="13"/>
                <w:szCs w:val="13"/>
                <w:color w:val="auto"/>
                <w:w w:val="99"/>
              </w:rPr>
            </w:pPr>
            <w:hyperlink r:id="rId209">
              <w:r>
                <w:rPr>
                  <w:rFonts w:ascii="Arial" w:cs="Arial" w:eastAsia="Arial" w:hAnsi="Arial"/>
                  <w:sz w:val="13"/>
                  <w:szCs w:val="13"/>
                  <w:color w:val="auto"/>
                  <w:w w:val="99"/>
                </w:rPr>
                <w:t>Articles of Amendment and Restatement of the Company, dated May 21, 1997</w:t>
              </w:r>
            </w:hyperlink>
          </w:p>
        </w:tc>
        <w:tc>
          <w:tcPr>
            <w:tcW w:w="0" w:type="dxa"/>
            <w:vAlign w:val="bottom"/>
          </w:tcPr>
          <w:p>
            <w:pPr>
              <w:spacing w:after="0"/>
              <w:rPr>
                <w:sz w:val="1"/>
                <w:szCs w:val="1"/>
                <w:color w:val="auto"/>
              </w:rPr>
            </w:pPr>
          </w:p>
        </w:tc>
      </w:tr>
      <w:tr>
        <w:trPr>
          <w:trHeight w:val="204"/>
        </w:trPr>
        <w:tc>
          <w:tcPr>
            <w:tcW w:w="580" w:type="dxa"/>
            <w:vAlign w:val="bottom"/>
          </w:tcPr>
          <w:p>
            <w:pPr>
              <w:ind w:left="40"/>
              <w:spacing w:after="0"/>
              <w:rPr>
                <w:sz w:val="20"/>
                <w:szCs w:val="20"/>
                <w:color w:val="auto"/>
              </w:rPr>
            </w:pPr>
            <w:r>
              <w:rPr>
                <w:rFonts w:ascii="Arial" w:cs="Arial" w:eastAsia="Arial" w:hAnsi="Arial"/>
                <w:sz w:val="13"/>
                <w:szCs w:val="13"/>
                <w:color w:val="auto"/>
              </w:rPr>
              <w:t>3.2*</w:t>
            </w:r>
          </w:p>
        </w:tc>
        <w:tc>
          <w:tcPr>
            <w:tcW w:w="200" w:type="dxa"/>
            <w:vAlign w:val="bottom"/>
          </w:tcPr>
          <w:p>
            <w:pPr>
              <w:spacing w:after="0"/>
              <w:rPr>
                <w:sz w:val="17"/>
                <w:szCs w:val="17"/>
                <w:color w:val="auto"/>
              </w:rPr>
            </w:pPr>
          </w:p>
        </w:tc>
        <w:tc>
          <w:tcPr>
            <w:tcW w:w="4540" w:type="dxa"/>
            <w:vAlign w:val="bottom"/>
          </w:tcPr>
          <w:p>
            <w:pPr>
              <w:ind w:left="20"/>
              <w:spacing w:after="0"/>
              <w:rPr>
                <w:rFonts w:ascii="Arial" w:cs="Arial" w:eastAsia="Arial" w:hAnsi="Arial"/>
                <w:sz w:val="13"/>
                <w:szCs w:val="13"/>
                <w:color w:val="auto"/>
              </w:rPr>
            </w:pPr>
            <w:hyperlink r:id="rId209">
              <w:r>
                <w:rPr>
                  <w:rFonts w:ascii="Arial" w:cs="Arial" w:eastAsia="Arial" w:hAnsi="Arial"/>
                  <w:sz w:val="13"/>
                  <w:szCs w:val="13"/>
                  <w:color w:val="auto"/>
                </w:rPr>
                <w:t>Certificate of Correction of the Company, dated June 20, 1997</w:t>
              </w:r>
            </w:hyperlink>
          </w:p>
        </w:tc>
        <w:tc>
          <w:tcPr>
            <w:tcW w:w="0" w:type="dxa"/>
            <w:vAlign w:val="bottom"/>
          </w:tcPr>
          <w:p>
            <w:pPr>
              <w:spacing w:after="0"/>
              <w:rPr>
                <w:sz w:val="1"/>
                <w:szCs w:val="1"/>
                <w:color w:val="auto"/>
              </w:rPr>
            </w:pPr>
          </w:p>
        </w:tc>
      </w:tr>
      <w:tr>
        <w:trPr>
          <w:trHeight w:val="204"/>
        </w:trPr>
        <w:tc>
          <w:tcPr>
            <w:tcW w:w="580" w:type="dxa"/>
            <w:vAlign w:val="bottom"/>
          </w:tcPr>
          <w:p>
            <w:pPr>
              <w:ind w:left="40"/>
              <w:spacing w:after="0"/>
              <w:rPr>
                <w:sz w:val="20"/>
                <w:szCs w:val="20"/>
                <w:color w:val="auto"/>
              </w:rPr>
            </w:pPr>
            <w:r>
              <w:rPr>
                <w:rFonts w:ascii="Arial" w:cs="Arial" w:eastAsia="Arial" w:hAnsi="Arial"/>
                <w:sz w:val="13"/>
                <w:szCs w:val="13"/>
                <w:color w:val="auto"/>
              </w:rPr>
              <w:t>3.3*</w:t>
            </w:r>
          </w:p>
        </w:tc>
        <w:tc>
          <w:tcPr>
            <w:tcW w:w="200" w:type="dxa"/>
            <w:vAlign w:val="bottom"/>
          </w:tcPr>
          <w:p>
            <w:pPr>
              <w:spacing w:after="0"/>
              <w:rPr>
                <w:sz w:val="17"/>
                <w:szCs w:val="17"/>
                <w:color w:val="auto"/>
              </w:rPr>
            </w:pPr>
          </w:p>
        </w:tc>
        <w:tc>
          <w:tcPr>
            <w:tcW w:w="4540" w:type="dxa"/>
            <w:vAlign w:val="bottom"/>
          </w:tcPr>
          <w:p>
            <w:pPr>
              <w:ind w:left="20"/>
              <w:spacing w:after="0"/>
              <w:rPr>
                <w:rFonts w:ascii="Arial" w:cs="Arial" w:eastAsia="Arial" w:hAnsi="Arial"/>
                <w:sz w:val="13"/>
                <w:szCs w:val="13"/>
                <w:color w:val="auto"/>
              </w:rPr>
            </w:pPr>
            <w:hyperlink r:id="rId210">
              <w:r>
                <w:rPr>
                  <w:rFonts w:ascii="Arial" w:cs="Arial" w:eastAsia="Arial" w:hAnsi="Arial"/>
                  <w:sz w:val="13"/>
                  <w:szCs w:val="13"/>
                  <w:color w:val="auto"/>
                </w:rPr>
                <w:t>Articles of Amendment of the Company, effective as of May 10, 2017</w:t>
              </w:r>
            </w:hyperlink>
          </w:p>
        </w:tc>
        <w:tc>
          <w:tcPr>
            <w:tcW w:w="0" w:type="dxa"/>
            <w:vAlign w:val="bottom"/>
          </w:tcPr>
          <w:p>
            <w:pPr>
              <w:spacing w:after="0"/>
              <w:rPr>
                <w:sz w:val="1"/>
                <w:szCs w:val="1"/>
                <w:color w:val="auto"/>
              </w:rPr>
            </w:pPr>
          </w:p>
        </w:tc>
      </w:tr>
      <w:tr>
        <w:trPr>
          <w:trHeight w:val="204"/>
        </w:trPr>
        <w:tc>
          <w:tcPr>
            <w:tcW w:w="580" w:type="dxa"/>
            <w:vAlign w:val="bottom"/>
          </w:tcPr>
          <w:p>
            <w:pPr>
              <w:ind w:left="40"/>
              <w:spacing w:after="0"/>
              <w:rPr>
                <w:sz w:val="20"/>
                <w:szCs w:val="20"/>
                <w:color w:val="auto"/>
              </w:rPr>
            </w:pPr>
            <w:r>
              <w:rPr>
                <w:rFonts w:ascii="Arial" w:cs="Arial" w:eastAsia="Arial" w:hAnsi="Arial"/>
                <w:sz w:val="13"/>
                <w:szCs w:val="13"/>
                <w:color w:val="auto"/>
              </w:rPr>
              <w:t>3.4*</w:t>
            </w:r>
          </w:p>
        </w:tc>
        <w:tc>
          <w:tcPr>
            <w:tcW w:w="200" w:type="dxa"/>
            <w:vAlign w:val="bottom"/>
          </w:tcPr>
          <w:p>
            <w:pPr>
              <w:spacing w:after="0"/>
              <w:rPr>
                <w:sz w:val="17"/>
                <w:szCs w:val="17"/>
                <w:color w:val="auto"/>
              </w:rPr>
            </w:pPr>
          </w:p>
        </w:tc>
        <w:tc>
          <w:tcPr>
            <w:tcW w:w="4540" w:type="dxa"/>
            <w:vAlign w:val="bottom"/>
          </w:tcPr>
          <w:p>
            <w:pPr>
              <w:ind w:left="20"/>
              <w:spacing w:after="0"/>
              <w:rPr>
                <w:rFonts w:ascii="Arial" w:cs="Arial" w:eastAsia="Arial" w:hAnsi="Arial"/>
                <w:sz w:val="13"/>
                <w:szCs w:val="13"/>
                <w:color w:val="auto"/>
              </w:rPr>
            </w:pPr>
            <w:hyperlink r:id="rId211">
              <w:r>
                <w:rPr>
                  <w:rFonts w:ascii="Arial" w:cs="Arial" w:eastAsia="Arial" w:hAnsi="Arial"/>
                  <w:sz w:val="13"/>
                  <w:szCs w:val="13"/>
                  <w:color w:val="auto"/>
                </w:rPr>
                <w:t>Articles of Amendment of the Company, effective as of May 18, 2022</w:t>
              </w:r>
            </w:hyperlink>
          </w:p>
        </w:tc>
        <w:tc>
          <w:tcPr>
            <w:tcW w:w="0" w:type="dxa"/>
            <w:vAlign w:val="bottom"/>
          </w:tcPr>
          <w:p>
            <w:pPr>
              <w:spacing w:after="0"/>
              <w:rPr>
                <w:sz w:val="1"/>
                <w:szCs w:val="1"/>
                <w:color w:val="auto"/>
              </w:rPr>
            </w:pPr>
          </w:p>
        </w:tc>
      </w:tr>
      <w:tr>
        <w:trPr>
          <w:trHeight w:val="144"/>
        </w:trPr>
        <w:tc>
          <w:tcPr>
            <w:tcW w:w="580" w:type="dxa"/>
            <w:vAlign w:val="bottom"/>
          </w:tcPr>
          <w:p>
            <w:pPr>
              <w:ind w:left="40"/>
              <w:spacing w:after="0" w:line="144" w:lineRule="exact"/>
              <w:rPr>
                <w:sz w:val="20"/>
                <w:szCs w:val="20"/>
                <w:color w:val="auto"/>
              </w:rPr>
            </w:pPr>
            <w:r>
              <w:rPr>
                <w:rFonts w:ascii="Arial" w:cs="Arial" w:eastAsia="Arial" w:hAnsi="Arial"/>
                <w:sz w:val="13"/>
                <w:szCs w:val="13"/>
                <w:color w:val="auto"/>
              </w:rPr>
              <w:t>3.5*</w:t>
            </w:r>
          </w:p>
        </w:tc>
        <w:tc>
          <w:tcPr>
            <w:tcW w:w="200" w:type="dxa"/>
            <w:vAlign w:val="bottom"/>
          </w:tcPr>
          <w:p>
            <w:pPr>
              <w:spacing w:after="0"/>
              <w:rPr>
                <w:sz w:val="12"/>
                <w:szCs w:val="12"/>
                <w:color w:val="auto"/>
              </w:rPr>
            </w:pPr>
          </w:p>
        </w:tc>
        <w:tc>
          <w:tcPr>
            <w:tcW w:w="4540" w:type="dxa"/>
            <w:vAlign w:val="bottom"/>
          </w:tcPr>
          <w:p>
            <w:pPr>
              <w:ind w:left="20"/>
              <w:spacing w:after="0" w:line="144" w:lineRule="exact"/>
              <w:rPr>
                <w:rFonts w:ascii="Arial" w:cs="Arial" w:eastAsia="Arial" w:hAnsi="Arial"/>
                <w:sz w:val="13"/>
                <w:szCs w:val="13"/>
                <w:color w:val="auto"/>
              </w:rPr>
            </w:pPr>
            <w:hyperlink r:id="rId212">
              <w:r>
                <w:rPr>
                  <w:rFonts w:ascii="Arial" w:cs="Arial" w:eastAsia="Arial" w:hAnsi="Arial"/>
                  <w:sz w:val="13"/>
                  <w:szCs w:val="13"/>
                  <w:color w:val="auto"/>
                </w:rPr>
                <w:t>Articles Supplementary, dated June 9, 1999, relating to the 9.50% Series A</w:t>
              </w:r>
            </w:hyperlink>
          </w:p>
        </w:tc>
        <w:tc>
          <w:tcPr>
            <w:tcW w:w="0" w:type="dxa"/>
            <w:vAlign w:val="bottom"/>
          </w:tcPr>
          <w:p>
            <w:pPr>
              <w:spacing w:after="0"/>
              <w:rPr>
                <w:sz w:val="1"/>
                <w:szCs w:val="1"/>
                <w:color w:val="auto"/>
              </w:rPr>
            </w:pPr>
          </w:p>
        </w:tc>
      </w:tr>
      <w:tr>
        <w:trPr>
          <w:trHeight w:val="160"/>
        </w:trPr>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540" w:type="dxa"/>
            <w:vAlign w:val="bottom"/>
          </w:tcPr>
          <w:p>
            <w:pPr>
              <w:ind w:left="20"/>
              <w:spacing w:after="0"/>
              <w:rPr>
                <w:rFonts w:ascii="Arial" w:cs="Arial" w:eastAsia="Arial" w:hAnsi="Arial"/>
                <w:sz w:val="13"/>
                <w:szCs w:val="13"/>
                <w:color w:val="auto"/>
              </w:rPr>
            </w:pPr>
            <w:hyperlink r:id="rId212">
              <w:r>
                <w:rPr>
                  <w:rFonts w:ascii="Arial" w:cs="Arial" w:eastAsia="Arial" w:hAnsi="Arial"/>
                  <w:sz w:val="13"/>
                  <w:szCs w:val="13"/>
                  <w:color w:val="auto"/>
                </w:rPr>
                <w:t>Cumulative Redeemable Preferred Stock</w:t>
              </w:r>
            </w:hyperlink>
          </w:p>
        </w:tc>
        <w:tc>
          <w:tcPr>
            <w:tcW w:w="0" w:type="dxa"/>
            <w:vAlign w:val="bottom"/>
          </w:tcPr>
          <w:p>
            <w:pPr>
              <w:spacing w:after="0"/>
              <w:rPr>
                <w:sz w:val="1"/>
                <w:szCs w:val="1"/>
                <w:color w:val="auto"/>
              </w:rPr>
            </w:pPr>
          </w:p>
        </w:tc>
      </w:tr>
      <w:tr>
        <w:trPr>
          <w:trHeight w:val="141"/>
        </w:trPr>
        <w:tc>
          <w:tcPr>
            <w:tcW w:w="580" w:type="dxa"/>
            <w:vAlign w:val="bottom"/>
          </w:tcPr>
          <w:p>
            <w:pPr>
              <w:ind w:left="40"/>
              <w:spacing w:after="0" w:line="141" w:lineRule="exact"/>
              <w:rPr>
                <w:sz w:val="20"/>
                <w:szCs w:val="20"/>
                <w:color w:val="auto"/>
              </w:rPr>
            </w:pPr>
            <w:r>
              <w:rPr>
                <w:rFonts w:ascii="Arial" w:cs="Arial" w:eastAsia="Arial" w:hAnsi="Arial"/>
                <w:sz w:val="13"/>
                <w:szCs w:val="13"/>
                <w:color w:val="auto"/>
              </w:rPr>
              <w:t>3.6*</w:t>
            </w:r>
          </w:p>
        </w:tc>
        <w:tc>
          <w:tcPr>
            <w:tcW w:w="200" w:type="dxa"/>
            <w:vAlign w:val="bottom"/>
          </w:tcPr>
          <w:p>
            <w:pPr>
              <w:spacing w:after="0"/>
              <w:rPr>
                <w:sz w:val="12"/>
                <w:szCs w:val="12"/>
                <w:color w:val="auto"/>
              </w:rPr>
            </w:pPr>
          </w:p>
        </w:tc>
        <w:tc>
          <w:tcPr>
            <w:tcW w:w="4540" w:type="dxa"/>
            <w:vAlign w:val="bottom"/>
          </w:tcPr>
          <w:p>
            <w:pPr>
              <w:ind w:left="20"/>
              <w:spacing w:after="0" w:line="141" w:lineRule="exact"/>
              <w:rPr>
                <w:rFonts w:ascii="Arial" w:cs="Arial" w:eastAsia="Arial" w:hAnsi="Arial"/>
                <w:sz w:val="13"/>
                <w:szCs w:val="13"/>
                <w:color w:val="auto"/>
                <w:w w:val="99"/>
              </w:rPr>
            </w:pPr>
            <w:hyperlink r:id="rId213">
              <w:r>
                <w:rPr>
                  <w:rFonts w:ascii="Arial" w:cs="Arial" w:eastAsia="Arial" w:hAnsi="Arial"/>
                  <w:sz w:val="13"/>
                  <w:szCs w:val="13"/>
                  <w:color w:val="auto"/>
                  <w:w w:val="99"/>
                </w:rPr>
                <w:t>Articles Supplementary, dated February 10, 2000, relating to the election to be</w:t>
              </w:r>
            </w:hyperlink>
          </w:p>
        </w:tc>
        <w:tc>
          <w:tcPr>
            <w:tcW w:w="0" w:type="dxa"/>
            <w:vAlign w:val="bottom"/>
          </w:tcPr>
          <w:p>
            <w:pPr>
              <w:spacing w:after="0"/>
              <w:rPr>
                <w:sz w:val="1"/>
                <w:szCs w:val="1"/>
                <w:color w:val="auto"/>
              </w:rPr>
            </w:pPr>
          </w:p>
        </w:tc>
      </w:tr>
      <w:tr>
        <w:trPr>
          <w:trHeight w:val="160"/>
        </w:trPr>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540" w:type="dxa"/>
            <w:vAlign w:val="bottom"/>
          </w:tcPr>
          <w:p>
            <w:pPr>
              <w:ind w:left="20"/>
              <w:spacing w:after="0"/>
              <w:rPr>
                <w:rFonts w:ascii="Arial" w:cs="Arial" w:eastAsia="Arial" w:hAnsi="Arial"/>
                <w:sz w:val="13"/>
                <w:szCs w:val="13"/>
                <w:color w:val="auto"/>
              </w:rPr>
            </w:pPr>
            <w:hyperlink r:id="rId213">
              <w:r>
                <w:rPr>
                  <w:rFonts w:ascii="Arial" w:cs="Arial" w:eastAsia="Arial" w:hAnsi="Arial"/>
                  <w:sz w:val="13"/>
                  <w:szCs w:val="13"/>
                  <w:color w:val="auto"/>
                </w:rPr>
                <w:t>subject to Subtitle 8 of Title 3 of the Maryland General Corporation Law</w:t>
              </w:r>
            </w:hyperlink>
          </w:p>
        </w:tc>
        <w:tc>
          <w:tcPr>
            <w:tcW w:w="0" w:type="dxa"/>
            <w:vAlign w:val="bottom"/>
          </w:tcPr>
          <w:p>
            <w:pPr>
              <w:spacing w:after="0"/>
              <w:rPr>
                <w:sz w:val="1"/>
                <w:szCs w:val="1"/>
                <w:color w:val="auto"/>
              </w:rPr>
            </w:pPr>
          </w:p>
        </w:tc>
      </w:tr>
      <w:tr>
        <w:trPr>
          <w:trHeight w:val="141"/>
        </w:trPr>
        <w:tc>
          <w:tcPr>
            <w:tcW w:w="580" w:type="dxa"/>
            <w:vAlign w:val="bottom"/>
          </w:tcPr>
          <w:p>
            <w:pPr>
              <w:ind w:left="40"/>
              <w:spacing w:after="0" w:line="141" w:lineRule="exact"/>
              <w:rPr>
                <w:sz w:val="20"/>
                <w:szCs w:val="20"/>
                <w:color w:val="auto"/>
              </w:rPr>
            </w:pPr>
            <w:r>
              <w:rPr>
                <w:rFonts w:ascii="Arial" w:cs="Arial" w:eastAsia="Arial" w:hAnsi="Arial"/>
                <w:sz w:val="13"/>
                <w:szCs w:val="13"/>
                <w:color w:val="auto"/>
              </w:rPr>
              <w:t>3.7*</w:t>
            </w:r>
          </w:p>
        </w:tc>
        <w:tc>
          <w:tcPr>
            <w:tcW w:w="200" w:type="dxa"/>
            <w:vAlign w:val="bottom"/>
          </w:tcPr>
          <w:p>
            <w:pPr>
              <w:spacing w:after="0"/>
              <w:rPr>
                <w:sz w:val="12"/>
                <w:szCs w:val="12"/>
                <w:color w:val="auto"/>
              </w:rPr>
            </w:pPr>
          </w:p>
        </w:tc>
        <w:tc>
          <w:tcPr>
            <w:tcW w:w="4540" w:type="dxa"/>
            <w:vAlign w:val="bottom"/>
          </w:tcPr>
          <w:p>
            <w:pPr>
              <w:ind w:left="20"/>
              <w:spacing w:after="0" w:line="141" w:lineRule="exact"/>
              <w:rPr>
                <w:rFonts w:ascii="Arial" w:cs="Arial" w:eastAsia="Arial" w:hAnsi="Arial"/>
                <w:sz w:val="13"/>
                <w:szCs w:val="13"/>
                <w:color w:val="auto"/>
              </w:rPr>
            </w:pPr>
            <w:hyperlink r:id="rId213">
              <w:r>
                <w:rPr>
                  <w:rFonts w:ascii="Arial" w:cs="Arial" w:eastAsia="Arial" w:hAnsi="Arial"/>
                  <w:sz w:val="13"/>
                  <w:szCs w:val="13"/>
                  <w:color w:val="auto"/>
                </w:rPr>
                <w:t>Articles Supplementary, dated February 10, 2000, relating to the Series A</w:t>
              </w:r>
            </w:hyperlink>
          </w:p>
        </w:tc>
        <w:tc>
          <w:tcPr>
            <w:tcW w:w="0" w:type="dxa"/>
            <w:vAlign w:val="bottom"/>
          </w:tcPr>
          <w:p>
            <w:pPr>
              <w:spacing w:after="0"/>
              <w:rPr>
                <w:sz w:val="1"/>
                <w:szCs w:val="1"/>
                <w:color w:val="auto"/>
              </w:rPr>
            </w:pPr>
          </w:p>
        </w:tc>
      </w:tr>
      <w:tr>
        <w:trPr>
          <w:trHeight w:val="160"/>
        </w:trPr>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540" w:type="dxa"/>
            <w:vAlign w:val="bottom"/>
          </w:tcPr>
          <w:p>
            <w:pPr>
              <w:ind w:left="20"/>
              <w:spacing w:after="0"/>
              <w:rPr>
                <w:rFonts w:ascii="Arial" w:cs="Arial" w:eastAsia="Arial" w:hAnsi="Arial"/>
                <w:sz w:val="13"/>
                <w:szCs w:val="13"/>
                <w:color w:val="auto"/>
              </w:rPr>
            </w:pPr>
            <w:hyperlink r:id="rId213">
              <w:r>
                <w:rPr>
                  <w:rFonts w:ascii="Arial" w:cs="Arial" w:eastAsia="Arial" w:hAnsi="Arial"/>
                  <w:sz w:val="13"/>
                  <w:szCs w:val="13"/>
                  <w:color w:val="auto"/>
                </w:rPr>
                <w:t>Junior Participating Preferred Stock</w:t>
              </w:r>
            </w:hyperlink>
          </w:p>
        </w:tc>
        <w:tc>
          <w:tcPr>
            <w:tcW w:w="0" w:type="dxa"/>
            <w:vAlign w:val="bottom"/>
          </w:tcPr>
          <w:p>
            <w:pPr>
              <w:spacing w:after="0"/>
              <w:rPr>
                <w:sz w:val="1"/>
                <w:szCs w:val="1"/>
                <w:color w:val="auto"/>
              </w:rPr>
            </w:pPr>
          </w:p>
        </w:tc>
      </w:tr>
      <w:tr>
        <w:trPr>
          <w:trHeight w:val="141"/>
        </w:trPr>
        <w:tc>
          <w:tcPr>
            <w:tcW w:w="580" w:type="dxa"/>
            <w:vAlign w:val="bottom"/>
          </w:tcPr>
          <w:p>
            <w:pPr>
              <w:ind w:left="40"/>
              <w:spacing w:after="0" w:line="141" w:lineRule="exact"/>
              <w:rPr>
                <w:sz w:val="20"/>
                <w:szCs w:val="20"/>
                <w:color w:val="auto"/>
              </w:rPr>
            </w:pPr>
            <w:r>
              <w:rPr>
                <w:rFonts w:ascii="Arial" w:cs="Arial" w:eastAsia="Arial" w:hAnsi="Arial"/>
                <w:sz w:val="13"/>
                <w:szCs w:val="13"/>
                <w:color w:val="auto"/>
              </w:rPr>
              <w:t>3.8*</w:t>
            </w:r>
          </w:p>
        </w:tc>
        <w:tc>
          <w:tcPr>
            <w:tcW w:w="200" w:type="dxa"/>
            <w:vAlign w:val="bottom"/>
          </w:tcPr>
          <w:p>
            <w:pPr>
              <w:spacing w:after="0"/>
              <w:rPr>
                <w:sz w:val="12"/>
                <w:szCs w:val="12"/>
                <w:color w:val="auto"/>
              </w:rPr>
            </w:pPr>
          </w:p>
        </w:tc>
        <w:tc>
          <w:tcPr>
            <w:tcW w:w="4540" w:type="dxa"/>
            <w:vAlign w:val="bottom"/>
          </w:tcPr>
          <w:p>
            <w:pPr>
              <w:ind w:left="20"/>
              <w:spacing w:after="0" w:line="141" w:lineRule="exact"/>
              <w:rPr>
                <w:rFonts w:ascii="Arial" w:cs="Arial" w:eastAsia="Arial" w:hAnsi="Arial"/>
                <w:sz w:val="13"/>
                <w:szCs w:val="13"/>
                <w:color w:val="auto"/>
              </w:rPr>
            </w:pPr>
            <w:hyperlink r:id="rId214">
              <w:r>
                <w:rPr>
                  <w:rFonts w:ascii="Arial" w:cs="Arial" w:eastAsia="Arial" w:hAnsi="Arial"/>
                  <w:sz w:val="13"/>
                  <w:szCs w:val="13"/>
                  <w:color w:val="auto"/>
                </w:rPr>
                <w:t>Articles Supplementary, dated January 18, 2002, relating to the 9.10%</w:t>
              </w:r>
            </w:hyperlink>
          </w:p>
        </w:tc>
        <w:tc>
          <w:tcPr>
            <w:tcW w:w="0" w:type="dxa"/>
            <w:vAlign w:val="bottom"/>
          </w:tcPr>
          <w:p>
            <w:pPr>
              <w:spacing w:after="0"/>
              <w:rPr>
                <w:sz w:val="1"/>
                <w:szCs w:val="1"/>
                <w:color w:val="auto"/>
              </w:rPr>
            </w:pPr>
          </w:p>
        </w:tc>
      </w:tr>
      <w:tr>
        <w:trPr>
          <w:trHeight w:val="160"/>
        </w:trPr>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540" w:type="dxa"/>
            <w:vAlign w:val="bottom"/>
          </w:tcPr>
          <w:p>
            <w:pPr>
              <w:ind w:left="20"/>
              <w:spacing w:after="0"/>
              <w:rPr>
                <w:rFonts w:ascii="Arial" w:cs="Arial" w:eastAsia="Arial" w:hAnsi="Arial"/>
                <w:sz w:val="13"/>
                <w:szCs w:val="13"/>
                <w:color w:val="auto"/>
              </w:rPr>
            </w:pPr>
            <w:hyperlink r:id="rId214">
              <w:r>
                <w:rPr>
                  <w:rFonts w:ascii="Arial" w:cs="Arial" w:eastAsia="Arial" w:hAnsi="Arial"/>
                  <w:sz w:val="13"/>
                  <w:szCs w:val="13"/>
                  <w:color w:val="auto"/>
                </w:rPr>
                <w:t>Series B Cumulative Redeemable Preferred Stock</w:t>
              </w:r>
            </w:hyperlink>
          </w:p>
        </w:tc>
        <w:tc>
          <w:tcPr>
            <w:tcW w:w="0" w:type="dxa"/>
            <w:vAlign w:val="bottom"/>
          </w:tcPr>
          <w:p>
            <w:pPr>
              <w:spacing w:after="0"/>
              <w:rPr>
                <w:sz w:val="1"/>
                <w:szCs w:val="1"/>
                <w:color w:val="auto"/>
              </w:rPr>
            </w:pPr>
          </w:p>
        </w:tc>
      </w:tr>
      <w:tr>
        <w:trPr>
          <w:trHeight w:val="141"/>
        </w:trPr>
        <w:tc>
          <w:tcPr>
            <w:tcW w:w="580" w:type="dxa"/>
            <w:vAlign w:val="bottom"/>
          </w:tcPr>
          <w:p>
            <w:pPr>
              <w:ind w:left="40"/>
              <w:spacing w:after="0" w:line="141" w:lineRule="exact"/>
              <w:rPr>
                <w:sz w:val="20"/>
                <w:szCs w:val="20"/>
                <w:color w:val="auto"/>
              </w:rPr>
            </w:pPr>
            <w:r>
              <w:rPr>
                <w:rFonts w:ascii="Arial" w:cs="Arial" w:eastAsia="Arial" w:hAnsi="Arial"/>
                <w:sz w:val="13"/>
                <w:szCs w:val="13"/>
                <w:color w:val="auto"/>
              </w:rPr>
              <w:t>3.9*</w:t>
            </w:r>
          </w:p>
        </w:tc>
        <w:tc>
          <w:tcPr>
            <w:tcW w:w="200" w:type="dxa"/>
            <w:vAlign w:val="bottom"/>
          </w:tcPr>
          <w:p>
            <w:pPr>
              <w:spacing w:after="0"/>
              <w:rPr>
                <w:sz w:val="12"/>
                <w:szCs w:val="12"/>
                <w:color w:val="auto"/>
              </w:rPr>
            </w:pPr>
          </w:p>
        </w:tc>
        <w:tc>
          <w:tcPr>
            <w:tcW w:w="4540" w:type="dxa"/>
            <w:vAlign w:val="bottom"/>
          </w:tcPr>
          <w:p>
            <w:pPr>
              <w:ind w:left="20"/>
              <w:spacing w:after="0" w:line="141" w:lineRule="exact"/>
              <w:rPr>
                <w:rFonts w:ascii="Arial" w:cs="Arial" w:eastAsia="Arial" w:hAnsi="Arial"/>
                <w:sz w:val="13"/>
                <w:szCs w:val="13"/>
                <w:color w:val="auto"/>
              </w:rPr>
            </w:pPr>
            <w:hyperlink r:id="rId215">
              <w:r>
                <w:rPr>
                  <w:rFonts w:ascii="Arial" w:cs="Arial" w:eastAsia="Arial" w:hAnsi="Arial"/>
                  <w:sz w:val="13"/>
                  <w:szCs w:val="13"/>
                  <w:color w:val="auto"/>
                </w:rPr>
                <w:t>Articles Supplementary, dated June 22, 2004, relating to the 8.375% Series C</w:t>
              </w:r>
            </w:hyperlink>
          </w:p>
        </w:tc>
        <w:tc>
          <w:tcPr>
            <w:tcW w:w="0" w:type="dxa"/>
            <w:vAlign w:val="bottom"/>
          </w:tcPr>
          <w:p>
            <w:pPr>
              <w:spacing w:after="0"/>
              <w:rPr>
                <w:sz w:val="1"/>
                <w:szCs w:val="1"/>
                <w:color w:val="auto"/>
              </w:rPr>
            </w:pPr>
          </w:p>
        </w:tc>
      </w:tr>
      <w:tr>
        <w:trPr>
          <w:trHeight w:val="160"/>
        </w:trPr>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540" w:type="dxa"/>
            <w:vAlign w:val="bottom"/>
          </w:tcPr>
          <w:p>
            <w:pPr>
              <w:ind w:left="20"/>
              <w:spacing w:after="0"/>
              <w:rPr>
                <w:rFonts w:ascii="Arial" w:cs="Arial" w:eastAsia="Arial" w:hAnsi="Arial"/>
                <w:sz w:val="13"/>
                <w:szCs w:val="13"/>
                <w:color w:val="auto"/>
              </w:rPr>
            </w:pPr>
            <w:hyperlink r:id="rId215">
              <w:r>
                <w:rPr>
                  <w:rFonts w:ascii="Arial" w:cs="Arial" w:eastAsia="Arial" w:hAnsi="Arial"/>
                  <w:sz w:val="13"/>
                  <w:szCs w:val="13"/>
                  <w:color w:val="auto"/>
                </w:rPr>
                <w:t>Cumulative Redeemable Preferred Stock</w:t>
              </w:r>
            </w:hyperlink>
          </w:p>
        </w:tc>
        <w:tc>
          <w:tcPr>
            <w:tcW w:w="0" w:type="dxa"/>
            <w:vAlign w:val="bottom"/>
          </w:tcPr>
          <w:p>
            <w:pPr>
              <w:spacing w:after="0"/>
              <w:rPr>
                <w:sz w:val="1"/>
                <w:szCs w:val="1"/>
                <w:color w:val="auto"/>
              </w:rPr>
            </w:pPr>
          </w:p>
        </w:tc>
      </w:tr>
      <w:tr>
        <w:trPr>
          <w:trHeight w:val="141"/>
        </w:trPr>
        <w:tc>
          <w:tcPr>
            <w:tcW w:w="580" w:type="dxa"/>
            <w:vAlign w:val="bottom"/>
          </w:tcPr>
          <w:p>
            <w:pPr>
              <w:ind w:left="40"/>
              <w:spacing w:after="0" w:line="141" w:lineRule="exact"/>
              <w:rPr>
                <w:sz w:val="20"/>
                <w:szCs w:val="20"/>
                <w:color w:val="auto"/>
              </w:rPr>
            </w:pPr>
            <w:r>
              <w:rPr>
                <w:rFonts w:ascii="Arial" w:cs="Arial" w:eastAsia="Arial" w:hAnsi="Arial"/>
                <w:sz w:val="13"/>
                <w:szCs w:val="13"/>
                <w:color w:val="auto"/>
              </w:rPr>
              <w:t>3.10*</w:t>
            </w:r>
          </w:p>
        </w:tc>
        <w:tc>
          <w:tcPr>
            <w:tcW w:w="200" w:type="dxa"/>
            <w:vAlign w:val="bottom"/>
          </w:tcPr>
          <w:p>
            <w:pPr>
              <w:spacing w:after="0"/>
              <w:rPr>
                <w:sz w:val="12"/>
                <w:szCs w:val="12"/>
                <w:color w:val="auto"/>
              </w:rPr>
            </w:pPr>
          </w:p>
        </w:tc>
        <w:tc>
          <w:tcPr>
            <w:tcW w:w="4540" w:type="dxa"/>
            <w:vAlign w:val="bottom"/>
          </w:tcPr>
          <w:p>
            <w:pPr>
              <w:ind w:left="20"/>
              <w:spacing w:after="0" w:line="141" w:lineRule="exact"/>
              <w:rPr>
                <w:rFonts w:ascii="Arial" w:cs="Arial" w:eastAsia="Arial" w:hAnsi="Arial"/>
                <w:sz w:val="13"/>
                <w:szCs w:val="13"/>
                <w:color w:val="auto"/>
              </w:rPr>
            </w:pPr>
            <w:hyperlink r:id="rId216">
              <w:r>
                <w:rPr>
                  <w:rFonts w:ascii="Arial" w:cs="Arial" w:eastAsia="Arial" w:hAnsi="Arial"/>
                  <w:sz w:val="13"/>
                  <w:szCs w:val="13"/>
                  <w:color w:val="auto"/>
                </w:rPr>
                <w:t>Articles Supplementary, dated March 25, 2008, relating to the 7.00% Series D</w:t>
              </w:r>
            </w:hyperlink>
          </w:p>
        </w:tc>
        <w:tc>
          <w:tcPr>
            <w:tcW w:w="0" w:type="dxa"/>
            <w:vAlign w:val="bottom"/>
          </w:tcPr>
          <w:p>
            <w:pPr>
              <w:spacing w:after="0"/>
              <w:rPr>
                <w:sz w:val="1"/>
                <w:szCs w:val="1"/>
                <w:color w:val="auto"/>
              </w:rPr>
            </w:pPr>
          </w:p>
        </w:tc>
      </w:tr>
      <w:tr>
        <w:trPr>
          <w:trHeight w:val="160"/>
        </w:trPr>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540" w:type="dxa"/>
            <w:vAlign w:val="bottom"/>
          </w:tcPr>
          <w:p>
            <w:pPr>
              <w:ind w:left="20"/>
              <w:spacing w:after="0"/>
              <w:rPr>
                <w:rFonts w:ascii="Arial" w:cs="Arial" w:eastAsia="Arial" w:hAnsi="Arial"/>
                <w:sz w:val="13"/>
                <w:szCs w:val="13"/>
                <w:color w:val="auto"/>
              </w:rPr>
            </w:pPr>
            <w:hyperlink r:id="rId216">
              <w:r>
                <w:rPr>
                  <w:rFonts w:ascii="Arial" w:cs="Arial" w:eastAsia="Arial" w:hAnsi="Arial"/>
                  <w:sz w:val="13"/>
                  <w:szCs w:val="13"/>
                  <w:color w:val="auto"/>
                </w:rPr>
                <w:t>Cumulative Convertible Preferred Stock</w:t>
              </w:r>
            </w:hyperlink>
          </w:p>
        </w:tc>
        <w:tc>
          <w:tcPr>
            <w:tcW w:w="0" w:type="dxa"/>
            <w:vAlign w:val="bottom"/>
          </w:tcPr>
          <w:p>
            <w:pPr>
              <w:spacing w:after="0"/>
              <w:rPr>
                <w:sz w:val="1"/>
                <w:szCs w:val="1"/>
                <w:color w:val="auto"/>
              </w:rPr>
            </w:pPr>
          </w:p>
        </w:tc>
      </w:tr>
      <w:tr>
        <w:trPr>
          <w:trHeight w:val="141"/>
        </w:trPr>
        <w:tc>
          <w:tcPr>
            <w:tcW w:w="580" w:type="dxa"/>
            <w:vAlign w:val="bottom"/>
          </w:tcPr>
          <w:p>
            <w:pPr>
              <w:ind w:left="40"/>
              <w:spacing w:after="0" w:line="141" w:lineRule="exact"/>
              <w:rPr>
                <w:sz w:val="20"/>
                <w:szCs w:val="20"/>
                <w:color w:val="auto"/>
              </w:rPr>
            </w:pPr>
            <w:r>
              <w:rPr>
                <w:rFonts w:ascii="Arial" w:cs="Arial" w:eastAsia="Arial" w:hAnsi="Arial"/>
                <w:sz w:val="13"/>
                <w:szCs w:val="13"/>
                <w:color w:val="auto"/>
              </w:rPr>
              <w:t>3.11*</w:t>
            </w:r>
          </w:p>
        </w:tc>
        <w:tc>
          <w:tcPr>
            <w:tcW w:w="200" w:type="dxa"/>
            <w:vAlign w:val="bottom"/>
          </w:tcPr>
          <w:p>
            <w:pPr>
              <w:spacing w:after="0"/>
              <w:rPr>
                <w:sz w:val="12"/>
                <w:szCs w:val="12"/>
                <w:color w:val="auto"/>
              </w:rPr>
            </w:pPr>
          </w:p>
        </w:tc>
        <w:tc>
          <w:tcPr>
            <w:tcW w:w="4540" w:type="dxa"/>
            <w:vAlign w:val="bottom"/>
          </w:tcPr>
          <w:p>
            <w:pPr>
              <w:ind w:left="20"/>
              <w:spacing w:after="0" w:line="141" w:lineRule="exact"/>
              <w:rPr>
                <w:rFonts w:ascii="Arial" w:cs="Arial" w:eastAsia="Arial" w:hAnsi="Arial"/>
                <w:sz w:val="13"/>
                <w:szCs w:val="13"/>
                <w:color w:val="auto"/>
              </w:rPr>
            </w:pPr>
            <w:hyperlink r:id="rId217">
              <w:r>
                <w:rPr>
                  <w:rFonts w:ascii="Arial" w:cs="Arial" w:eastAsia="Arial" w:hAnsi="Arial"/>
                  <w:sz w:val="13"/>
                  <w:szCs w:val="13"/>
                  <w:color w:val="auto"/>
                </w:rPr>
                <w:t>Articles Supplementary, dated March 12, 2012, relating to the 6.45% Series E</w:t>
              </w:r>
            </w:hyperlink>
          </w:p>
        </w:tc>
        <w:tc>
          <w:tcPr>
            <w:tcW w:w="0" w:type="dxa"/>
            <w:vAlign w:val="bottom"/>
          </w:tcPr>
          <w:p>
            <w:pPr>
              <w:spacing w:after="0"/>
              <w:rPr>
                <w:sz w:val="1"/>
                <w:szCs w:val="1"/>
                <w:color w:val="auto"/>
              </w:rPr>
            </w:pPr>
          </w:p>
        </w:tc>
      </w:tr>
      <w:tr>
        <w:trPr>
          <w:trHeight w:val="160"/>
        </w:trPr>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540" w:type="dxa"/>
            <w:vAlign w:val="bottom"/>
          </w:tcPr>
          <w:p>
            <w:pPr>
              <w:ind w:left="20"/>
              <w:spacing w:after="0"/>
              <w:rPr>
                <w:rFonts w:ascii="Arial" w:cs="Arial" w:eastAsia="Arial" w:hAnsi="Arial"/>
                <w:sz w:val="13"/>
                <w:szCs w:val="13"/>
                <w:color w:val="auto"/>
              </w:rPr>
            </w:pPr>
            <w:hyperlink r:id="rId217">
              <w:r>
                <w:rPr>
                  <w:rFonts w:ascii="Arial" w:cs="Arial" w:eastAsia="Arial" w:hAnsi="Arial"/>
                  <w:sz w:val="13"/>
                  <w:szCs w:val="13"/>
                  <w:color w:val="auto"/>
                </w:rPr>
                <w:t>Cumulative Redeemable Preferred Stock</w:t>
              </w:r>
            </w:hyperlink>
          </w:p>
        </w:tc>
        <w:tc>
          <w:tcPr>
            <w:tcW w:w="0" w:type="dxa"/>
            <w:vAlign w:val="bottom"/>
          </w:tcPr>
          <w:p>
            <w:pPr>
              <w:spacing w:after="0"/>
              <w:rPr>
                <w:sz w:val="1"/>
                <w:szCs w:val="1"/>
                <w:color w:val="auto"/>
              </w:rPr>
            </w:pPr>
          </w:p>
        </w:tc>
      </w:tr>
      <w:tr>
        <w:trPr>
          <w:trHeight w:val="141"/>
        </w:trPr>
        <w:tc>
          <w:tcPr>
            <w:tcW w:w="580" w:type="dxa"/>
            <w:vAlign w:val="bottom"/>
          </w:tcPr>
          <w:p>
            <w:pPr>
              <w:ind w:left="40"/>
              <w:spacing w:after="0" w:line="141" w:lineRule="exact"/>
              <w:rPr>
                <w:sz w:val="20"/>
                <w:szCs w:val="20"/>
                <w:color w:val="auto"/>
              </w:rPr>
            </w:pPr>
            <w:r>
              <w:rPr>
                <w:rFonts w:ascii="Arial" w:cs="Arial" w:eastAsia="Arial" w:hAnsi="Arial"/>
                <w:sz w:val="13"/>
                <w:szCs w:val="13"/>
                <w:color w:val="auto"/>
              </w:rPr>
              <w:t>3.12*</w:t>
            </w:r>
          </w:p>
        </w:tc>
        <w:tc>
          <w:tcPr>
            <w:tcW w:w="200" w:type="dxa"/>
            <w:vAlign w:val="bottom"/>
          </w:tcPr>
          <w:p>
            <w:pPr>
              <w:spacing w:after="0"/>
              <w:rPr>
                <w:sz w:val="12"/>
                <w:szCs w:val="12"/>
                <w:color w:val="auto"/>
              </w:rPr>
            </w:pPr>
          </w:p>
        </w:tc>
        <w:tc>
          <w:tcPr>
            <w:tcW w:w="4540" w:type="dxa"/>
            <w:vAlign w:val="bottom"/>
          </w:tcPr>
          <w:p>
            <w:pPr>
              <w:ind w:left="20"/>
              <w:spacing w:after="0" w:line="141" w:lineRule="exact"/>
              <w:rPr>
                <w:rFonts w:ascii="Arial" w:cs="Arial" w:eastAsia="Arial" w:hAnsi="Arial"/>
                <w:sz w:val="13"/>
                <w:szCs w:val="13"/>
                <w:color w:val="auto"/>
              </w:rPr>
            </w:pPr>
            <w:hyperlink r:id="rId218">
              <w:r>
                <w:rPr>
                  <w:rFonts w:ascii="Arial" w:cs="Arial" w:eastAsia="Arial" w:hAnsi="Arial"/>
                  <w:sz w:val="13"/>
                  <w:szCs w:val="13"/>
                  <w:color w:val="auto"/>
                </w:rPr>
                <w:t>Articles Supplementary, effective as of May 10, 2017, relating to Reclassified</w:t>
              </w:r>
            </w:hyperlink>
          </w:p>
        </w:tc>
        <w:tc>
          <w:tcPr>
            <w:tcW w:w="0" w:type="dxa"/>
            <w:vAlign w:val="bottom"/>
          </w:tcPr>
          <w:p>
            <w:pPr>
              <w:spacing w:after="0"/>
              <w:rPr>
                <w:sz w:val="1"/>
                <w:szCs w:val="1"/>
                <w:color w:val="auto"/>
              </w:rPr>
            </w:pPr>
          </w:p>
        </w:tc>
      </w:tr>
      <w:tr>
        <w:trPr>
          <w:trHeight w:val="160"/>
        </w:trPr>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540" w:type="dxa"/>
            <w:vAlign w:val="bottom"/>
          </w:tcPr>
          <w:p>
            <w:pPr>
              <w:ind w:left="20"/>
              <w:spacing w:after="0"/>
              <w:rPr>
                <w:rFonts w:ascii="Arial" w:cs="Arial" w:eastAsia="Arial" w:hAnsi="Arial"/>
                <w:sz w:val="13"/>
                <w:szCs w:val="13"/>
                <w:color w:val="auto"/>
              </w:rPr>
            </w:pPr>
            <w:hyperlink r:id="rId218">
              <w:r>
                <w:rPr>
                  <w:rFonts w:ascii="Arial" w:cs="Arial" w:eastAsia="Arial" w:hAnsi="Arial"/>
                  <w:sz w:val="13"/>
                  <w:szCs w:val="13"/>
                  <w:color w:val="auto"/>
                </w:rPr>
                <w:t>Preferred Stock</w:t>
              </w:r>
            </w:hyperlink>
          </w:p>
        </w:tc>
        <w:tc>
          <w:tcPr>
            <w:tcW w:w="0" w:type="dxa"/>
            <w:vAlign w:val="bottom"/>
          </w:tcPr>
          <w:p>
            <w:pPr>
              <w:spacing w:after="0"/>
              <w:rPr>
                <w:sz w:val="1"/>
                <w:szCs w:val="1"/>
                <w:color w:val="auto"/>
              </w:rPr>
            </w:pPr>
          </w:p>
        </w:tc>
      </w:tr>
      <w:tr>
        <w:trPr>
          <w:trHeight w:val="141"/>
        </w:trPr>
        <w:tc>
          <w:tcPr>
            <w:tcW w:w="580" w:type="dxa"/>
            <w:vAlign w:val="bottom"/>
          </w:tcPr>
          <w:p>
            <w:pPr>
              <w:ind w:left="40"/>
              <w:spacing w:after="0" w:line="141" w:lineRule="exact"/>
              <w:rPr>
                <w:sz w:val="20"/>
                <w:szCs w:val="20"/>
                <w:color w:val="auto"/>
              </w:rPr>
            </w:pPr>
            <w:r>
              <w:rPr>
                <w:rFonts w:ascii="Arial" w:cs="Arial" w:eastAsia="Arial" w:hAnsi="Arial"/>
                <w:sz w:val="13"/>
                <w:szCs w:val="13"/>
                <w:color w:val="auto"/>
              </w:rPr>
              <w:t>3.13*</w:t>
            </w:r>
          </w:p>
        </w:tc>
        <w:tc>
          <w:tcPr>
            <w:tcW w:w="200" w:type="dxa"/>
            <w:vAlign w:val="bottom"/>
          </w:tcPr>
          <w:p>
            <w:pPr>
              <w:spacing w:after="0"/>
              <w:rPr>
                <w:sz w:val="12"/>
                <w:szCs w:val="12"/>
                <w:color w:val="auto"/>
              </w:rPr>
            </w:pPr>
          </w:p>
        </w:tc>
        <w:tc>
          <w:tcPr>
            <w:tcW w:w="4540" w:type="dxa"/>
            <w:vAlign w:val="bottom"/>
          </w:tcPr>
          <w:p>
            <w:pPr>
              <w:ind w:left="20"/>
              <w:spacing w:after="0" w:line="141" w:lineRule="exact"/>
              <w:rPr>
                <w:rFonts w:ascii="Arial" w:cs="Arial" w:eastAsia="Arial" w:hAnsi="Arial"/>
                <w:sz w:val="13"/>
                <w:szCs w:val="13"/>
                <w:color w:val="auto"/>
              </w:rPr>
            </w:pPr>
            <w:hyperlink r:id="rId219">
              <w:r>
                <w:rPr>
                  <w:rFonts w:ascii="Arial" w:cs="Arial" w:eastAsia="Arial" w:hAnsi="Arial"/>
                  <w:sz w:val="13"/>
                  <w:szCs w:val="13"/>
                  <w:color w:val="auto"/>
                </w:rPr>
                <w:t>Amended and Restated Bylaws of the Company (Amended September 21,</w:t>
              </w:r>
            </w:hyperlink>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540" w:type="dxa"/>
            <w:vAlign w:val="bottom"/>
          </w:tcPr>
          <w:p>
            <w:pPr>
              <w:ind w:left="20"/>
              <w:spacing w:after="0"/>
              <w:rPr>
                <w:rFonts w:ascii="Arial" w:cs="Arial" w:eastAsia="Arial" w:hAnsi="Arial"/>
                <w:sz w:val="13"/>
                <w:szCs w:val="13"/>
                <w:color w:val="auto"/>
              </w:rPr>
            </w:pPr>
            <w:hyperlink r:id="rId219">
              <w:r>
                <w:rPr>
                  <w:rFonts w:ascii="Arial" w:cs="Arial" w:eastAsia="Arial" w:hAnsi="Arial"/>
                  <w:sz w:val="13"/>
                  <w:szCs w:val="13"/>
                  <w:color w:val="auto"/>
                </w:rPr>
                <w:t>2023)</w:t>
              </w:r>
            </w:hyperlink>
          </w:p>
        </w:tc>
        <w:tc>
          <w:tcPr>
            <w:tcW w:w="0" w:type="dxa"/>
            <w:vAlign w:val="bottom"/>
          </w:tcPr>
          <w:p>
            <w:pPr>
              <w:spacing w:after="0"/>
              <w:rPr>
                <w:sz w:val="1"/>
                <w:szCs w:val="1"/>
                <w:color w:val="auto"/>
              </w:rPr>
            </w:pPr>
          </w:p>
        </w:tc>
      </w:tr>
      <w:tr>
        <w:trPr>
          <w:trHeight w:val="192"/>
        </w:trPr>
        <w:tc>
          <w:tcPr>
            <w:tcW w:w="580" w:type="dxa"/>
            <w:vAlign w:val="bottom"/>
          </w:tcPr>
          <w:p>
            <w:pPr>
              <w:ind w:left="40"/>
              <w:spacing w:after="0"/>
              <w:rPr>
                <w:sz w:val="20"/>
                <w:szCs w:val="20"/>
                <w:color w:val="auto"/>
              </w:rPr>
            </w:pPr>
            <w:r>
              <w:rPr>
                <w:rFonts w:ascii="Arial" w:cs="Arial" w:eastAsia="Arial" w:hAnsi="Arial"/>
                <w:sz w:val="13"/>
                <w:szCs w:val="13"/>
                <w:color w:val="auto"/>
              </w:rPr>
              <w:t>10.1*</w:t>
            </w:r>
          </w:p>
        </w:tc>
        <w:tc>
          <w:tcPr>
            <w:tcW w:w="200" w:type="dxa"/>
            <w:vAlign w:val="bottom"/>
          </w:tcPr>
          <w:p>
            <w:pPr>
              <w:spacing w:after="0"/>
              <w:rPr>
                <w:sz w:val="16"/>
                <w:szCs w:val="16"/>
                <w:color w:val="auto"/>
              </w:rPr>
            </w:pPr>
          </w:p>
        </w:tc>
        <w:tc>
          <w:tcPr>
            <w:tcW w:w="4540" w:type="dxa"/>
            <w:vAlign w:val="bottom"/>
          </w:tcPr>
          <w:p>
            <w:pPr>
              <w:ind w:left="20"/>
              <w:spacing w:after="0"/>
              <w:rPr>
                <w:rFonts w:ascii="Arial" w:cs="Arial" w:eastAsia="Arial" w:hAnsi="Arial"/>
                <w:sz w:val="13"/>
                <w:szCs w:val="13"/>
                <w:color w:val="auto"/>
                <w:w w:val="99"/>
              </w:rPr>
            </w:pPr>
            <w:hyperlink r:id="rId220">
              <w:r>
                <w:rPr>
                  <w:rFonts w:ascii="Arial" w:cs="Arial" w:eastAsia="Arial" w:hAnsi="Arial"/>
                  <w:sz w:val="13"/>
                  <w:szCs w:val="13"/>
                  <w:color w:val="auto"/>
                  <w:w w:val="99"/>
                </w:rPr>
                <w:t>Amended and Restated 1997 Stock Award and Incentive Plan of the Company</w:t>
              </w:r>
            </w:hyperlink>
          </w:p>
        </w:tc>
        <w:tc>
          <w:tcPr>
            <w:tcW w:w="0" w:type="dxa"/>
            <w:vAlign w:val="bottom"/>
          </w:tcPr>
          <w:p>
            <w:pPr>
              <w:spacing w:after="0"/>
              <w:rPr>
                <w:sz w:val="1"/>
                <w:szCs w:val="1"/>
                <w:color w:val="auto"/>
              </w:rPr>
            </w:pPr>
          </w:p>
        </w:tc>
      </w:tr>
      <w:tr>
        <w:trPr>
          <w:trHeight w:val="204"/>
        </w:trPr>
        <w:tc>
          <w:tcPr>
            <w:tcW w:w="580" w:type="dxa"/>
            <w:vAlign w:val="bottom"/>
          </w:tcPr>
          <w:p>
            <w:pPr>
              <w:ind w:left="40"/>
              <w:spacing w:after="0"/>
              <w:rPr>
                <w:sz w:val="20"/>
                <w:szCs w:val="20"/>
                <w:color w:val="auto"/>
              </w:rPr>
            </w:pPr>
            <w:r>
              <w:rPr>
                <w:rFonts w:ascii="Arial" w:cs="Arial" w:eastAsia="Arial" w:hAnsi="Arial"/>
                <w:sz w:val="13"/>
                <w:szCs w:val="13"/>
                <w:color w:val="auto"/>
              </w:rPr>
              <w:t>22.1</w:t>
            </w:r>
          </w:p>
        </w:tc>
        <w:tc>
          <w:tcPr>
            <w:tcW w:w="200" w:type="dxa"/>
            <w:vAlign w:val="bottom"/>
          </w:tcPr>
          <w:p>
            <w:pPr>
              <w:spacing w:after="0"/>
              <w:rPr>
                <w:sz w:val="17"/>
                <w:szCs w:val="17"/>
                <w:color w:val="auto"/>
              </w:rPr>
            </w:pPr>
          </w:p>
        </w:tc>
        <w:tc>
          <w:tcPr>
            <w:tcW w:w="4540" w:type="dxa"/>
            <w:vAlign w:val="bottom"/>
          </w:tcPr>
          <w:p>
            <w:pPr>
              <w:ind w:left="20"/>
              <w:spacing w:after="0"/>
              <w:rPr>
                <w:sz w:val="20"/>
                <w:szCs w:val="20"/>
                <w:color w:val="auto"/>
              </w:rPr>
            </w:pPr>
            <w:r>
              <w:rPr>
                <w:rFonts w:ascii="Arial" w:cs="Arial" w:eastAsia="Arial" w:hAnsi="Arial"/>
                <w:sz w:val="13"/>
                <w:szCs w:val="13"/>
                <w:color w:val="auto"/>
              </w:rPr>
              <w:t>List of Guarantor Subsidiaries of the Company</w:t>
            </w:r>
          </w:p>
        </w:tc>
        <w:tc>
          <w:tcPr>
            <w:tcW w:w="0" w:type="dxa"/>
            <w:vAlign w:val="bottom"/>
          </w:tcPr>
          <w:p>
            <w:pPr>
              <w:spacing w:after="0"/>
              <w:rPr>
                <w:sz w:val="1"/>
                <w:szCs w:val="1"/>
                <w:color w:val="auto"/>
              </w:rPr>
            </w:pPr>
          </w:p>
        </w:tc>
      </w:tr>
      <w:tr>
        <w:trPr>
          <w:trHeight w:val="153"/>
        </w:trPr>
        <w:tc>
          <w:tcPr>
            <w:tcW w:w="580" w:type="dxa"/>
            <w:vAlign w:val="bottom"/>
          </w:tcPr>
          <w:p>
            <w:pPr>
              <w:ind w:left="40"/>
              <w:spacing w:after="0"/>
              <w:rPr>
                <w:sz w:val="20"/>
                <w:szCs w:val="20"/>
                <w:color w:val="auto"/>
              </w:rPr>
            </w:pPr>
            <w:r>
              <w:rPr>
                <w:rFonts w:ascii="Arial" w:cs="Arial" w:eastAsia="Arial" w:hAnsi="Arial"/>
                <w:sz w:val="13"/>
                <w:szCs w:val="13"/>
                <w:color w:val="auto"/>
              </w:rPr>
              <w:t>31.1</w:t>
            </w:r>
          </w:p>
        </w:tc>
        <w:tc>
          <w:tcPr>
            <w:tcW w:w="200" w:type="dxa"/>
            <w:vAlign w:val="bottom"/>
          </w:tcPr>
          <w:p>
            <w:pPr>
              <w:spacing w:after="0"/>
              <w:rPr>
                <w:sz w:val="13"/>
                <w:szCs w:val="13"/>
                <w:color w:val="auto"/>
              </w:rPr>
            </w:pPr>
          </w:p>
        </w:tc>
        <w:tc>
          <w:tcPr>
            <w:tcW w:w="4540" w:type="dxa"/>
            <w:vAlign w:val="bottom"/>
          </w:tcPr>
          <w:p>
            <w:pPr>
              <w:ind w:left="20"/>
              <w:spacing w:after="0"/>
              <w:rPr>
                <w:sz w:val="20"/>
                <w:szCs w:val="20"/>
                <w:color w:val="auto"/>
              </w:rPr>
            </w:pPr>
            <w:r>
              <w:rPr>
                <w:rFonts w:ascii="Arial" w:cs="Arial" w:eastAsia="Arial" w:hAnsi="Arial"/>
                <w:sz w:val="13"/>
                <w:szCs w:val="13"/>
                <w:color w:val="auto"/>
              </w:rPr>
              <w:t>Certification of Principal Executive Officer Pursuant to Section 302 of the</w:t>
            </w: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540" w:type="dxa"/>
            <w:vAlign w:val="bottom"/>
          </w:tcPr>
          <w:p>
            <w:pPr>
              <w:ind w:left="20"/>
              <w:spacing w:after="0"/>
              <w:rPr>
                <w:sz w:val="20"/>
                <w:szCs w:val="20"/>
                <w:color w:val="auto"/>
              </w:rPr>
            </w:pPr>
            <w:r>
              <w:rPr>
                <w:rFonts w:ascii="Arial" w:cs="Arial" w:eastAsia="Arial" w:hAnsi="Arial"/>
                <w:sz w:val="13"/>
                <w:szCs w:val="13"/>
                <w:color w:val="auto"/>
              </w:rPr>
              <w:t>Sarbanes-Oxley Act of 2002</w:t>
            </w:r>
          </w:p>
        </w:tc>
        <w:tc>
          <w:tcPr>
            <w:tcW w:w="0" w:type="dxa"/>
            <w:vAlign w:val="bottom"/>
          </w:tcPr>
          <w:p>
            <w:pPr>
              <w:spacing w:after="0"/>
              <w:rPr>
                <w:sz w:val="1"/>
                <w:szCs w:val="1"/>
                <w:color w:val="auto"/>
              </w:rPr>
            </w:pPr>
          </w:p>
        </w:tc>
      </w:tr>
      <w:tr>
        <w:trPr>
          <w:trHeight w:val="143"/>
        </w:trPr>
        <w:tc>
          <w:tcPr>
            <w:tcW w:w="580" w:type="dxa"/>
            <w:vAlign w:val="bottom"/>
          </w:tcPr>
          <w:p>
            <w:pPr>
              <w:ind w:left="40"/>
              <w:spacing w:after="0" w:line="143" w:lineRule="exact"/>
              <w:rPr>
                <w:sz w:val="20"/>
                <w:szCs w:val="20"/>
                <w:color w:val="auto"/>
              </w:rPr>
            </w:pPr>
            <w:r>
              <w:rPr>
                <w:rFonts w:ascii="Arial" w:cs="Arial" w:eastAsia="Arial" w:hAnsi="Arial"/>
                <w:sz w:val="13"/>
                <w:szCs w:val="13"/>
                <w:color w:val="auto"/>
              </w:rPr>
              <w:t>31.2</w:t>
            </w:r>
          </w:p>
        </w:tc>
        <w:tc>
          <w:tcPr>
            <w:tcW w:w="200" w:type="dxa"/>
            <w:vAlign w:val="bottom"/>
          </w:tcPr>
          <w:p>
            <w:pPr>
              <w:spacing w:after="0"/>
              <w:rPr>
                <w:sz w:val="12"/>
                <w:szCs w:val="12"/>
                <w:color w:val="auto"/>
              </w:rPr>
            </w:pPr>
          </w:p>
        </w:tc>
        <w:tc>
          <w:tcPr>
            <w:tcW w:w="4540" w:type="dxa"/>
            <w:vAlign w:val="bottom"/>
          </w:tcPr>
          <w:p>
            <w:pPr>
              <w:ind w:left="20"/>
              <w:spacing w:after="0" w:line="143" w:lineRule="exact"/>
              <w:rPr>
                <w:sz w:val="20"/>
                <w:szCs w:val="20"/>
                <w:color w:val="auto"/>
              </w:rPr>
            </w:pPr>
            <w:r>
              <w:rPr>
                <w:rFonts w:ascii="Arial" w:cs="Arial" w:eastAsia="Arial" w:hAnsi="Arial"/>
                <w:sz w:val="13"/>
                <w:szCs w:val="13"/>
                <w:color w:val="auto"/>
              </w:rPr>
              <w:t>Certification of Principal Executive Officer Pursuant to Section 302 of the</w:t>
            </w: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540" w:type="dxa"/>
            <w:vAlign w:val="bottom"/>
          </w:tcPr>
          <w:p>
            <w:pPr>
              <w:ind w:left="20"/>
              <w:spacing w:after="0"/>
              <w:rPr>
                <w:sz w:val="20"/>
                <w:szCs w:val="20"/>
                <w:color w:val="auto"/>
              </w:rPr>
            </w:pPr>
            <w:r>
              <w:rPr>
                <w:rFonts w:ascii="Arial" w:cs="Arial" w:eastAsia="Arial" w:hAnsi="Arial"/>
                <w:sz w:val="13"/>
                <w:szCs w:val="13"/>
                <w:color w:val="auto"/>
              </w:rPr>
              <w:t>Sarbanes-Oxley Act of 2002</w:t>
            </w:r>
          </w:p>
        </w:tc>
        <w:tc>
          <w:tcPr>
            <w:tcW w:w="0" w:type="dxa"/>
            <w:vAlign w:val="bottom"/>
          </w:tcPr>
          <w:p>
            <w:pPr>
              <w:spacing w:after="0"/>
              <w:rPr>
                <w:sz w:val="1"/>
                <w:szCs w:val="1"/>
                <w:color w:val="auto"/>
              </w:rPr>
            </w:pPr>
          </w:p>
        </w:tc>
      </w:tr>
      <w:tr>
        <w:trPr>
          <w:trHeight w:val="143"/>
        </w:trPr>
        <w:tc>
          <w:tcPr>
            <w:tcW w:w="580" w:type="dxa"/>
            <w:vAlign w:val="bottom"/>
          </w:tcPr>
          <w:p>
            <w:pPr>
              <w:ind w:left="40"/>
              <w:spacing w:after="0" w:line="143" w:lineRule="exact"/>
              <w:rPr>
                <w:sz w:val="20"/>
                <w:szCs w:val="20"/>
                <w:color w:val="auto"/>
              </w:rPr>
            </w:pPr>
            <w:r>
              <w:rPr>
                <w:rFonts w:ascii="Arial" w:cs="Arial" w:eastAsia="Arial" w:hAnsi="Arial"/>
                <w:sz w:val="13"/>
                <w:szCs w:val="13"/>
                <w:color w:val="auto"/>
              </w:rPr>
              <w:t>31.3</w:t>
            </w:r>
          </w:p>
        </w:tc>
        <w:tc>
          <w:tcPr>
            <w:tcW w:w="200" w:type="dxa"/>
            <w:vAlign w:val="bottom"/>
          </w:tcPr>
          <w:p>
            <w:pPr>
              <w:spacing w:after="0"/>
              <w:rPr>
                <w:sz w:val="12"/>
                <w:szCs w:val="12"/>
                <w:color w:val="auto"/>
              </w:rPr>
            </w:pPr>
          </w:p>
        </w:tc>
        <w:tc>
          <w:tcPr>
            <w:tcW w:w="4540" w:type="dxa"/>
            <w:vAlign w:val="bottom"/>
          </w:tcPr>
          <w:p>
            <w:pPr>
              <w:ind w:left="20"/>
              <w:spacing w:after="0" w:line="143" w:lineRule="exact"/>
              <w:rPr>
                <w:sz w:val="20"/>
                <w:szCs w:val="20"/>
                <w:color w:val="auto"/>
              </w:rPr>
            </w:pPr>
            <w:r>
              <w:rPr>
                <w:rFonts w:ascii="Arial" w:cs="Arial" w:eastAsia="Arial" w:hAnsi="Arial"/>
                <w:sz w:val="13"/>
                <w:szCs w:val="13"/>
                <w:color w:val="auto"/>
              </w:rPr>
              <w:t>Certification of Principal Financial Officer Pursuant to Section 302 of the</w:t>
            </w: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540" w:type="dxa"/>
            <w:vAlign w:val="bottom"/>
          </w:tcPr>
          <w:p>
            <w:pPr>
              <w:ind w:left="20"/>
              <w:spacing w:after="0"/>
              <w:rPr>
                <w:sz w:val="20"/>
                <w:szCs w:val="20"/>
                <w:color w:val="auto"/>
              </w:rPr>
            </w:pPr>
            <w:r>
              <w:rPr>
                <w:rFonts w:ascii="Arial" w:cs="Arial" w:eastAsia="Arial" w:hAnsi="Arial"/>
                <w:sz w:val="13"/>
                <w:szCs w:val="13"/>
                <w:color w:val="auto"/>
              </w:rPr>
              <w:t>Sarbanes-Oxley Act of 2002</w:t>
            </w:r>
          </w:p>
        </w:tc>
        <w:tc>
          <w:tcPr>
            <w:tcW w:w="0" w:type="dxa"/>
            <w:vAlign w:val="bottom"/>
          </w:tcPr>
          <w:p>
            <w:pPr>
              <w:spacing w:after="0"/>
              <w:rPr>
                <w:sz w:val="1"/>
                <w:szCs w:val="1"/>
                <w:color w:val="auto"/>
              </w:rPr>
            </w:pPr>
          </w:p>
        </w:tc>
      </w:tr>
      <w:tr>
        <w:trPr>
          <w:trHeight w:val="154"/>
        </w:trPr>
        <w:tc>
          <w:tcPr>
            <w:tcW w:w="580" w:type="dxa"/>
            <w:vAlign w:val="bottom"/>
          </w:tcPr>
          <w:p>
            <w:pPr>
              <w:ind w:left="40"/>
              <w:spacing w:after="0"/>
              <w:rPr>
                <w:sz w:val="20"/>
                <w:szCs w:val="20"/>
                <w:color w:val="auto"/>
              </w:rPr>
            </w:pPr>
            <w:r>
              <w:rPr>
                <w:rFonts w:ascii="Arial" w:cs="Arial" w:eastAsia="Arial" w:hAnsi="Arial"/>
                <w:sz w:val="13"/>
                <w:szCs w:val="13"/>
                <w:color w:val="auto"/>
              </w:rPr>
              <w:t>32.0</w:t>
            </w:r>
          </w:p>
        </w:tc>
        <w:tc>
          <w:tcPr>
            <w:tcW w:w="200" w:type="dxa"/>
            <w:vAlign w:val="bottom"/>
          </w:tcPr>
          <w:p>
            <w:pPr>
              <w:spacing w:after="0"/>
              <w:rPr>
                <w:sz w:val="13"/>
                <w:szCs w:val="13"/>
                <w:color w:val="auto"/>
              </w:rPr>
            </w:pPr>
          </w:p>
        </w:tc>
        <w:tc>
          <w:tcPr>
            <w:tcW w:w="4540" w:type="dxa"/>
            <w:vAlign w:val="bottom"/>
          </w:tcPr>
          <w:p>
            <w:pPr>
              <w:ind w:left="20"/>
              <w:spacing w:after="0"/>
              <w:rPr>
                <w:sz w:val="20"/>
                <w:szCs w:val="20"/>
                <w:color w:val="auto"/>
              </w:rPr>
            </w:pPr>
            <w:r>
              <w:rPr>
                <w:rFonts w:ascii="Arial" w:cs="Arial" w:eastAsia="Arial" w:hAnsi="Arial"/>
                <w:sz w:val="13"/>
                <w:szCs w:val="13"/>
                <w:color w:val="auto"/>
              </w:rPr>
              <w:t>Certification of Principal Executive Officers and Principal Financial Officer</w:t>
            </w:r>
          </w:p>
        </w:tc>
        <w:tc>
          <w:tcPr>
            <w:tcW w:w="0" w:type="dxa"/>
            <w:vAlign w:val="bottom"/>
          </w:tcPr>
          <w:p>
            <w:pPr>
              <w:spacing w:after="0"/>
              <w:rPr>
                <w:sz w:val="1"/>
                <w:szCs w:val="1"/>
                <w:color w:val="auto"/>
              </w:rPr>
            </w:pPr>
          </w:p>
        </w:tc>
      </w:tr>
      <w:tr>
        <w:trPr>
          <w:trHeight w:val="129"/>
        </w:trPr>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540" w:type="dxa"/>
            <w:vAlign w:val="bottom"/>
          </w:tcPr>
          <w:p>
            <w:pPr>
              <w:ind w:left="20"/>
              <w:spacing w:after="0" w:line="129" w:lineRule="exact"/>
              <w:rPr>
                <w:sz w:val="20"/>
                <w:szCs w:val="20"/>
                <w:color w:val="auto"/>
              </w:rPr>
            </w:pPr>
            <w:r>
              <w:rPr>
                <w:rFonts w:ascii="Arial" w:cs="Arial" w:eastAsia="Arial" w:hAnsi="Arial"/>
                <w:sz w:val="13"/>
                <w:szCs w:val="13"/>
                <w:color w:val="auto"/>
              </w:rPr>
              <w:t>Pursuant to 18 U.S.C. Section 1350, as Adopted Pursuant to Section 906 of</w:t>
            </w: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540" w:type="dxa"/>
            <w:vAlign w:val="bottom"/>
          </w:tcPr>
          <w:p>
            <w:pPr>
              <w:ind w:left="20"/>
              <w:spacing w:after="0"/>
              <w:rPr>
                <w:sz w:val="20"/>
                <w:szCs w:val="20"/>
                <w:color w:val="auto"/>
              </w:rPr>
            </w:pPr>
            <w:r>
              <w:rPr>
                <w:rFonts w:ascii="Arial" w:cs="Arial" w:eastAsia="Arial" w:hAnsi="Arial"/>
                <w:sz w:val="13"/>
                <w:szCs w:val="13"/>
                <w:color w:val="auto"/>
              </w:rPr>
              <w:t>the Sarbanes-Oxley Act of 2002</w:t>
            </w:r>
          </w:p>
        </w:tc>
        <w:tc>
          <w:tcPr>
            <w:tcW w:w="0" w:type="dxa"/>
            <w:vAlign w:val="bottom"/>
          </w:tcPr>
          <w:p>
            <w:pPr>
              <w:spacing w:after="0"/>
              <w:rPr>
                <w:sz w:val="1"/>
                <w:szCs w:val="1"/>
                <w:color w:val="auto"/>
              </w:rPr>
            </w:pPr>
          </w:p>
        </w:tc>
      </w:tr>
      <w:tr>
        <w:trPr>
          <w:trHeight w:val="154"/>
        </w:trPr>
        <w:tc>
          <w:tcPr>
            <w:tcW w:w="580" w:type="dxa"/>
            <w:vAlign w:val="bottom"/>
          </w:tcPr>
          <w:p>
            <w:pPr>
              <w:ind w:left="40"/>
              <w:spacing w:after="0"/>
              <w:rPr>
                <w:sz w:val="20"/>
                <w:szCs w:val="20"/>
                <w:color w:val="auto"/>
              </w:rPr>
            </w:pPr>
            <w:r>
              <w:rPr>
                <w:rFonts w:ascii="Arial" w:cs="Arial" w:eastAsia="Arial" w:hAnsi="Arial"/>
                <w:sz w:val="13"/>
                <w:szCs w:val="13"/>
                <w:color w:val="auto"/>
              </w:rPr>
              <w:t>101.1</w:t>
            </w:r>
          </w:p>
        </w:tc>
        <w:tc>
          <w:tcPr>
            <w:tcW w:w="200" w:type="dxa"/>
            <w:vAlign w:val="bottom"/>
          </w:tcPr>
          <w:p>
            <w:pPr>
              <w:spacing w:after="0"/>
              <w:rPr>
                <w:sz w:val="13"/>
                <w:szCs w:val="13"/>
                <w:color w:val="auto"/>
              </w:rPr>
            </w:pPr>
          </w:p>
        </w:tc>
        <w:tc>
          <w:tcPr>
            <w:tcW w:w="4540" w:type="dxa"/>
            <w:vAlign w:val="bottom"/>
          </w:tcPr>
          <w:p>
            <w:pPr>
              <w:ind w:left="20"/>
              <w:spacing w:after="0"/>
              <w:rPr>
                <w:sz w:val="20"/>
                <w:szCs w:val="20"/>
                <w:color w:val="auto"/>
              </w:rPr>
            </w:pPr>
            <w:r>
              <w:rPr>
                <w:rFonts w:ascii="Arial" w:cs="Arial" w:eastAsia="Arial" w:hAnsi="Arial"/>
                <w:sz w:val="13"/>
                <w:szCs w:val="13"/>
                <w:color w:val="auto"/>
              </w:rPr>
              <w:t>The following materials from the Company’s quarterly report on Form 10-Q for</w:t>
            </w:r>
          </w:p>
        </w:tc>
        <w:tc>
          <w:tcPr>
            <w:tcW w:w="0" w:type="dxa"/>
            <w:vAlign w:val="bottom"/>
          </w:tcPr>
          <w:p>
            <w:pPr>
              <w:spacing w:after="0"/>
              <w:rPr>
                <w:sz w:val="1"/>
                <w:szCs w:val="1"/>
                <w:color w:val="auto"/>
              </w:rPr>
            </w:pPr>
          </w:p>
        </w:tc>
      </w:tr>
      <w:tr>
        <w:trPr>
          <w:trHeight w:val="141"/>
        </w:trPr>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540" w:type="dxa"/>
            <w:vAlign w:val="bottom"/>
          </w:tcPr>
          <w:p>
            <w:pPr>
              <w:ind w:left="20"/>
              <w:spacing w:after="0" w:line="141" w:lineRule="exact"/>
              <w:rPr>
                <w:sz w:val="20"/>
                <w:szCs w:val="20"/>
                <w:color w:val="auto"/>
              </w:rPr>
            </w:pPr>
            <w:r>
              <w:rPr>
                <w:rFonts w:ascii="Arial" w:cs="Arial" w:eastAsia="Arial" w:hAnsi="Arial"/>
                <w:sz w:val="13"/>
                <w:szCs w:val="13"/>
                <w:color w:val="auto"/>
              </w:rPr>
              <w:t>the quarterly period ended June 30, 2024, formatted in iXBRL (Inline</w:t>
            </w:r>
          </w:p>
        </w:tc>
        <w:tc>
          <w:tcPr>
            <w:tcW w:w="0" w:type="dxa"/>
            <w:vAlign w:val="bottom"/>
          </w:tcPr>
          <w:p>
            <w:pPr>
              <w:spacing w:after="0"/>
              <w:rPr>
                <w:sz w:val="1"/>
                <w:szCs w:val="1"/>
                <w:color w:val="auto"/>
              </w:rPr>
            </w:pPr>
          </w:p>
        </w:tc>
      </w:tr>
    </w:tbl>
    <w:p>
      <w:pPr>
        <w:ind w:left="1440" w:right="100"/>
        <w:spacing w:after="0" w:line="211" w:lineRule="auto"/>
        <w:rPr>
          <w:sz w:val="20"/>
          <w:szCs w:val="20"/>
          <w:color w:val="auto"/>
        </w:rPr>
      </w:pPr>
      <w:r>
        <w:rPr>
          <w:rFonts w:ascii="Arial" w:cs="Arial" w:eastAsia="Arial" w:hAnsi="Arial"/>
          <w:sz w:val="13"/>
          <w:szCs w:val="13"/>
          <w:color w:val="auto"/>
        </w:rPr>
        <w:t>eXtensible Business Reporting Language): (i) Consolidated Balance Sheets as of June 30, 2024 and December 31, 2023 (unaudited), (ii) Consolidated Statements of Operations for the three and six months ended June 30, 2024 and 2023 (unaudited), (iii) Consolidated Statements of Comprehensive Income for the three and six months ended June 30, 2024 and 2023 (unaudited), (iv) Consolidated Statements of Changes in Stockholders’ Equity and Noncontrolling Interests for the three and six months ended June 30, 2024 and 2023 (unaudited), (v) Consolidated Statements of Cash Flows for the six months ended June 30, 2024 and 2023 (unaudited), and (vi) Notes to Consolidated Financial Statements (unaudited)</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12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97"/>
              </w:rPr>
              <w:t>Incorporated by</w:t>
            </w:r>
          </w:p>
        </w:tc>
        <w:tc>
          <w:tcPr>
            <w:tcW w:w="12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9"/>
              </w:rPr>
              <w:t>Date Filed</w:t>
            </w:r>
          </w:p>
        </w:tc>
        <w:tc>
          <w:tcPr>
            <w:tcW w:w="0" w:type="dxa"/>
            <w:vAlign w:val="bottom"/>
          </w:tcPr>
          <w:p>
            <w:pPr>
              <w:spacing w:after="0"/>
              <w:rPr>
                <w:sz w:val="1"/>
                <w:szCs w:val="1"/>
                <w:color w:val="auto"/>
              </w:rPr>
            </w:pPr>
          </w:p>
        </w:tc>
      </w:tr>
      <w:tr>
        <w:trPr>
          <w:trHeight w:val="161"/>
        </w:trPr>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Reference to:</w:t>
            </w:r>
          </w:p>
        </w:tc>
        <w:tc>
          <w:tcPr>
            <w:tcW w:w="40" w:type="dxa"/>
            <w:vAlign w:val="bottom"/>
          </w:tcPr>
          <w:p>
            <w:pPr>
              <w:spacing w:after="0"/>
              <w:rPr>
                <w:sz w:val="13"/>
                <w:szCs w:val="13"/>
                <w:color w:val="auto"/>
              </w:rPr>
            </w:pPr>
          </w:p>
        </w:tc>
        <w:tc>
          <w:tcPr>
            <w:tcW w:w="12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1120" w:type="dxa"/>
            <w:vAlign w:val="bottom"/>
            <w:gridSpan w:val="2"/>
          </w:tcPr>
          <w:p>
            <w:pPr>
              <w:jc w:val="center"/>
              <w:ind w:right="40"/>
              <w:spacing w:after="0"/>
              <w:rPr>
                <w:sz w:val="20"/>
                <w:szCs w:val="20"/>
                <w:color w:val="auto"/>
              </w:rPr>
            </w:pPr>
            <w:r>
              <w:rPr>
                <w:rFonts w:ascii="Arial" w:cs="Arial" w:eastAsia="Arial" w:hAnsi="Arial"/>
                <w:sz w:val="13"/>
                <w:szCs w:val="13"/>
                <w:color w:val="auto"/>
              </w:rPr>
              <w:t>Form 10-Q</w:t>
            </w:r>
          </w:p>
        </w:tc>
        <w:tc>
          <w:tcPr>
            <w:tcW w:w="1260" w:type="dxa"/>
            <w:vAlign w:val="bottom"/>
          </w:tcPr>
          <w:p>
            <w:pPr>
              <w:jc w:val="center"/>
              <w:spacing w:after="0"/>
              <w:rPr>
                <w:sz w:val="20"/>
                <w:szCs w:val="20"/>
                <w:color w:val="auto"/>
              </w:rPr>
            </w:pPr>
            <w:r>
              <w:rPr>
                <w:rFonts w:ascii="Arial" w:cs="Arial" w:eastAsia="Arial" w:hAnsi="Arial"/>
                <w:sz w:val="13"/>
                <w:szCs w:val="13"/>
                <w:color w:val="auto"/>
                <w:w w:val="99"/>
              </w:rPr>
              <w:t>August 14, 1997</w:t>
            </w:r>
          </w:p>
        </w:tc>
        <w:tc>
          <w:tcPr>
            <w:tcW w:w="0" w:type="dxa"/>
            <w:vAlign w:val="bottom"/>
          </w:tcPr>
          <w:p>
            <w:pPr>
              <w:spacing w:after="0"/>
              <w:rPr>
                <w:sz w:val="1"/>
                <w:szCs w:val="1"/>
                <w:color w:val="auto"/>
              </w:rPr>
            </w:pPr>
          </w:p>
        </w:tc>
      </w:tr>
      <w:tr>
        <w:trPr>
          <w:trHeight w:val="204"/>
        </w:trPr>
        <w:tc>
          <w:tcPr>
            <w:tcW w:w="1120" w:type="dxa"/>
            <w:vAlign w:val="bottom"/>
            <w:gridSpan w:val="2"/>
          </w:tcPr>
          <w:p>
            <w:pPr>
              <w:jc w:val="center"/>
              <w:ind w:right="40"/>
              <w:spacing w:after="0"/>
              <w:rPr>
                <w:sz w:val="20"/>
                <w:szCs w:val="20"/>
                <w:color w:val="auto"/>
              </w:rPr>
            </w:pPr>
            <w:r>
              <w:rPr>
                <w:rFonts w:ascii="Arial" w:cs="Arial" w:eastAsia="Arial" w:hAnsi="Arial"/>
                <w:sz w:val="13"/>
                <w:szCs w:val="13"/>
                <w:color w:val="auto"/>
              </w:rPr>
              <w:t>Form 10-Q</w:t>
            </w:r>
          </w:p>
        </w:tc>
        <w:tc>
          <w:tcPr>
            <w:tcW w:w="1260" w:type="dxa"/>
            <w:vAlign w:val="bottom"/>
          </w:tcPr>
          <w:p>
            <w:pPr>
              <w:jc w:val="center"/>
              <w:spacing w:after="0"/>
              <w:rPr>
                <w:sz w:val="20"/>
                <w:szCs w:val="20"/>
                <w:color w:val="auto"/>
              </w:rPr>
            </w:pPr>
            <w:r>
              <w:rPr>
                <w:rFonts w:ascii="Arial" w:cs="Arial" w:eastAsia="Arial" w:hAnsi="Arial"/>
                <w:sz w:val="13"/>
                <w:szCs w:val="13"/>
                <w:color w:val="auto"/>
                <w:w w:val="99"/>
              </w:rPr>
              <w:t>August 14, 1997</w:t>
            </w:r>
          </w:p>
        </w:tc>
        <w:tc>
          <w:tcPr>
            <w:tcW w:w="0" w:type="dxa"/>
            <w:vAlign w:val="bottom"/>
          </w:tcPr>
          <w:p>
            <w:pPr>
              <w:spacing w:after="0"/>
              <w:rPr>
                <w:sz w:val="1"/>
                <w:szCs w:val="1"/>
                <w:color w:val="auto"/>
              </w:rPr>
            </w:pPr>
          </w:p>
        </w:tc>
      </w:tr>
      <w:tr>
        <w:trPr>
          <w:trHeight w:val="204"/>
        </w:trPr>
        <w:tc>
          <w:tcPr>
            <w:tcW w:w="1120" w:type="dxa"/>
            <w:vAlign w:val="bottom"/>
            <w:gridSpan w:val="2"/>
          </w:tcPr>
          <w:p>
            <w:pPr>
              <w:jc w:val="center"/>
              <w:ind w:right="40"/>
              <w:spacing w:after="0"/>
              <w:rPr>
                <w:sz w:val="20"/>
                <w:szCs w:val="20"/>
                <w:color w:val="auto"/>
              </w:rPr>
            </w:pPr>
            <w:r>
              <w:rPr>
                <w:rFonts w:ascii="Arial" w:cs="Arial" w:eastAsia="Arial" w:hAnsi="Arial"/>
                <w:sz w:val="13"/>
                <w:szCs w:val="13"/>
                <w:color w:val="auto"/>
                <w:w w:val="95"/>
              </w:rPr>
              <w:t>Form 8-K</w:t>
            </w:r>
          </w:p>
        </w:tc>
        <w:tc>
          <w:tcPr>
            <w:tcW w:w="1260" w:type="dxa"/>
            <w:vAlign w:val="bottom"/>
          </w:tcPr>
          <w:p>
            <w:pPr>
              <w:jc w:val="center"/>
              <w:spacing w:after="0"/>
              <w:rPr>
                <w:sz w:val="20"/>
                <w:szCs w:val="20"/>
                <w:color w:val="auto"/>
              </w:rPr>
            </w:pPr>
            <w:r>
              <w:rPr>
                <w:rFonts w:ascii="Arial" w:cs="Arial" w:eastAsia="Arial" w:hAnsi="Arial"/>
                <w:sz w:val="13"/>
                <w:szCs w:val="13"/>
                <w:color w:val="auto"/>
                <w:w w:val="98"/>
              </w:rPr>
              <w:t>May 12, 2017</w:t>
            </w:r>
          </w:p>
        </w:tc>
        <w:tc>
          <w:tcPr>
            <w:tcW w:w="0" w:type="dxa"/>
            <w:vAlign w:val="bottom"/>
          </w:tcPr>
          <w:p>
            <w:pPr>
              <w:spacing w:after="0"/>
              <w:rPr>
                <w:sz w:val="1"/>
                <w:szCs w:val="1"/>
                <w:color w:val="auto"/>
              </w:rPr>
            </w:pPr>
          </w:p>
        </w:tc>
      </w:tr>
      <w:tr>
        <w:trPr>
          <w:trHeight w:val="204"/>
        </w:trPr>
        <w:tc>
          <w:tcPr>
            <w:tcW w:w="1120" w:type="dxa"/>
            <w:vAlign w:val="bottom"/>
            <w:gridSpan w:val="2"/>
          </w:tcPr>
          <w:p>
            <w:pPr>
              <w:jc w:val="center"/>
              <w:ind w:right="40"/>
              <w:spacing w:after="0"/>
              <w:rPr>
                <w:sz w:val="20"/>
                <w:szCs w:val="20"/>
                <w:color w:val="auto"/>
              </w:rPr>
            </w:pPr>
            <w:r>
              <w:rPr>
                <w:rFonts w:ascii="Arial" w:cs="Arial" w:eastAsia="Arial" w:hAnsi="Arial"/>
                <w:sz w:val="13"/>
                <w:szCs w:val="13"/>
                <w:color w:val="auto"/>
                <w:w w:val="95"/>
              </w:rPr>
              <w:t>Form 8-K</w:t>
            </w:r>
          </w:p>
        </w:tc>
        <w:tc>
          <w:tcPr>
            <w:tcW w:w="1260" w:type="dxa"/>
            <w:vAlign w:val="bottom"/>
          </w:tcPr>
          <w:p>
            <w:pPr>
              <w:jc w:val="center"/>
              <w:spacing w:after="0"/>
              <w:rPr>
                <w:sz w:val="20"/>
                <w:szCs w:val="20"/>
                <w:color w:val="auto"/>
              </w:rPr>
            </w:pPr>
            <w:r>
              <w:rPr>
                <w:rFonts w:ascii="Arial" w:cs="Arial" w:eastAsia="Arial" w:hAnsi="Arial"/>
                <w:sz w:val="13"/>
                <w:szCs w:val="13"/>
                <w:color w:val="auto"/>
                <w:w w:val="98"/>
              </w:rPr>
              <w:t>May 19, 2022</w:t>
            </w:r>
          </w:p>
        </w:tc>
        <w:tc>
          <w:tcPr>
            <w:tcW w:w="0" w:type="dxa"/>
            <w:vAlign w:val="bottom"/>
          </w:tcPr>
          <w:p>
            <w:pPr>
              <w:spacing w:after="0"/>
              <w:rPr>
                <w:sz w:val="1"/>
                <w:szCs w:val="1"/>
                <w:color w:val="auto"/>
              </w:rPr>
            </w:pPr>
          </w:p>
        </w:tc>
      </w:tr>
      <w:tr>
        <w:trPr>
          <w:trHeight w:val="204"/>
        </w:trPr>
        <w:tc>
          <w:tcPr>
            <w:tcW w:w="1120" w:type="dxa"/>
            <w:vAlign w:val="bottom"/>
            <w:gridSpan w:val="2"/>
          </w:tcPr>
          <w:p>
            <w:pPr>
              <w:jc w:val="center"/>
              <w:ind w:right="40"/>
              <w:spacing w:after="0"/>
              <w:rPr>
                <w:sz w:val="20"/>
                <w:szCs w:val="20"/>
                <w:color w:val="auto"/>
              </w:rPr>
            </w:pPr>
            <w:r>
              <w:rPr>
                <w:rFonts w:ascii="Arial" w:cs="Arial" w:eastAsia="Arial" w:hAnsi="Arial"/>
                <w:sz w:val="13"/>
                <w:szCs w:val="13"/>
                <w:color w:val="auto"/>
              </w:rPr>
              <w:t>Form 10-Q</w:t>
            </w:r>
          </w:p>
        </w:tc>
        <w:tc>
          <w:tcPr>
            <w:tcW w:w="1260" w:type="dxa"/>
            <w:vAlign w:val="bottom"/>
          </w:tcPr>
          <w:p>
            <w:pPr>
              <w:jc w:val="center"/>
              <w:spacing w:after="0"/>
              <w:rPr>
                <w:sz w:val="20"/>
                <w:szCs w:val="20"/>
                <w:color w:val="auto"/>
              </w:rPr>
            </w:pPr>
            <w:r>
              <w:rPr>
                <w:rFonts w:ascii="Arial" w:cs="Arial" w:eastAsia="Arial" w:hAnsi="Arial"/>
                <w:sz w:val="13"/>
                <w:szCs w:val="13"/>
                <w:color w:val="auto"/>
                <w:w w:val="99"/>
              </w:rPr>
              <w:t>August 13, 1999</w:t>
            </w:r>
          </w:p>
        </w:tc>
        <w:tc>
          <w:tcPr>
            <w:tcW w:w="0" w:type="dxa"/>
            <w:vAlign w:val="bottom"/>
          </w:tcPr>
          <w:p>
            <w:pPr>
              <w:spacing w:after="0"/>
              <w:rPr>
                <w:sz w:val="1"/>
                <w:szCs w:val="1"/>
                <w:color w:val="auto"/>
              </w:rPr>
            </w:pPr>
          </w:p>
        </w:tc>
      </w:tr>
      <w:tr>
        <w:trPr>
          <w:trHeight w:val="301"/>
        </w:trPr>
        <w:tc>
          <w:tcPr>
            <w:tcW w:w="1120" w:type="dxa"/>
            <w:vAlign w:val="bottom"/>
            <w:gridSpan w:val="2"/>
          </w:tcPr>
          <w:p>
            <w:pPr>
              <w:jc w:val="center"/>
              <w:ind w:right="40"/>
              <w:spacing w:after="0"/>
              <w:rPr>
                <w:sz w:val="20"/>
                <w:szCs w:val="20"/>
                <w:color w:val="auto"/>
              </w:rPr>
            </w:pPr>
            <w:r>
              <w:rPr>
                <w:rFonts w:ascii="Arial" w:cs="Arial" w:eastAsia="Arial" w:hAnsi="Arial"/>
                <w:sz w:val="13"/>
                <w:szCs w:val="13"/>
                <w:color w:val="auto"/>
                <w:w w:val="95"/>
              </w:rPr>
              <w:t>Form 8-K</w:t>
            </w:r>
          </w:p>
        </w:tc>
        <w:tc>
          <w:tcPr>
            <w:tcW w:w="1260" w:type="dxa"/>
            <w:vAlign w:val="bottom"/>
          </w:tcPr>
          <w:p>
            <w:pPr>
              <w:jc w:val="center"/>
              <w:spacing w:after="0"/>
              <w:rPr>
                <w:sz w:val="20"/>
                <w:szCs w:val="20"/>
                <w:color w:val="auto"/>
              </w:rPr>
            </w:pPr>
            <w:r>
              <w:rPr>
                <w:rFonts w:ascii="Arial" w:cs="Arial" w:eastAsia="Arial" w:hAnsi="Arial"/>
                <w:sz w:val="13"/>
                <w:szCs w:val="13"/>
                <w:color w:val="auto"/>
                <w:w w:val="99"/>
              </w:rPr>
              <w:t>February 10, 2000</w:t>
            </w:r>
          </w:p>
        </w:tc>
        <w:tc>
          <w:tcPr>
            <w:tcW w:w="0" w:type="dxa"/>
            <w:vAlign w:val="bottom"/>
          </w:tcPr>
          <w:p>
            <w:pPr>
              <w:spacing w:after="0"/>
              <w:rPr>
                <w:sz w:val="1"/>
                <w:szCs w:val="1"/>
                <w:color w:val="auto"/>
              </w:rPr>
            </w:pPr>
          </w:p>
        </w:tc>
      </w:tr>
      <w:tr>
        <w:trPr>
          <w:trHeight w:val="301"/>
        </w:trPr>
        <w:tc>
          <w:tcPr>
            <w:tcW w:w="1120" w:type="dxa"/>
            <w:vAlign w:val="bottom"/>
            <w:gridSpan w:val="2"/>
          </w:tcPr>
          <w:p>
            <w:pPr>
              <w:jc w:val="center"/>
              <w:ind w:right="40"/>
              <w:spacing w:after="0"/>
              <w:rPr>
                <w:sz w:val="20"/>
                <w:szCs w:val="20"/>
                <w:color w:val="auto"/>
              </w:rPr>
            </w:pPr>
            <w:r>
              <w:rPr>
                <w:rFonts w:ascii="Arial" w:cs="Arial" w:eastAsia="Arial" w:hAnsi="Arial"/>
                <w:sz w:val="13"/>
                <w:szCs w:val="13"/>
                <w:color w:val="auto"/>
                <w:w w:val="95"/>
              </w:rPr>
              <w:t>Form 8-K</w:t>
            </w:r>
          </w:p>
        </w:tc>
        <w:tc>
          <w:tcPr>
            <w:tcW w:w="1260" w:type="dxa"/>
            <w:vAlign w:val="bottom"/>
          </w:tcPr>
          <w:p>
            <w:pPr>
              <w:jc w:val="center"/>
              <w:spacing w:after="0"/>
              <w:rPr>
                <w:sz w:val="20"/>
                <w:szCs w:val="20"/>
                <w:color w:val="auto"/>
              </w:rPr>
            </w:pPr>
            <w:r>
              <w:rPr>
                <w:rFonts w:ascii="Arial" w:cs="Arial" w:eastAsia="Arial" w:hAnsi="Arial"/>
                <w:sz w:val="13"/>
                <w:szCs w:val="13"/>
                <w:color w:val="auto"/>
                <w:w w:val="99"/>
              </w:rPr>
              <w:t>February 10, 2000</w:t>
            </w:r>
          </w:p>
        </w:tc>
        <w:tc>
          <w:tcPr>
            <w:tcW w:w="0" w:type="dxa"/>
            <w:vAlign w:val="bottom"/>
          </w:tcPr>
          <w:p>
            <w:pPr>
              <w:spacing w:after="0"/>
              <w:rPr>
                <w:sz w:val="1"/>
                <w:szCs w:val="1"/>
                <w:color w:val="auto"/>
              </w:rPr>
            </w:pPr>
          </w:p>
        </w:tc>
      </w:tr>
      <w:tr>
        <w:trPr>
          <w:trHeight w:val="301"/>
        </w:trPr>
        <w:tc>
          <w:tcPr>
            <w:tcW w:w="1120" w:type="dxa"/>
            <w:vAlign w:val="bottom"/>
            <w:gridSpan w:val="2"/>
          </w:tcPr>
          <w:p>
            <w:pPr>
              <w:jc w:val="center"/>
              <w:ind w:right="40"/>
              <w:spacing w:after="0"/>
              <w:rPr>
                <w:sz w:val="20"/>
                <w:szCs w:val="20"/>
                <w:color w:val="auto"/>
              </w:rPr>
            </w:pPr>
            <w:r>
              <w:rPr>
                <w:rFonts w:ascii="Arial" w:cs="Arial" w:eastAsia="Arial" w:hAnsi="Arial"/>
                <w:sz w:val="13"/>
                <w:szCs w:val="13"/>
                <w:color w:val="auto"/>
                <w:w w:val="95"/>
              </w:rPr>
              <w:t>Form 8-A</w:t>
            </w:r>
          </w:p>
        </w:tc>
        <w:tc>
          <w:tcPr>
            <w:tcW w:w="1260" w:type="dxa"/>
            <w:vAlign w:val="bottom"/>
          </w:tcPr>
          <w:p>
            <w:pPr>
              <w:jc w:val="center"/>
              <w:spacing w:after="0"/>
              <w:rPr>
                <w:sz w:val="20"/>
                <w:szCs w:val="20"/>
                <w:color w:val="auto"/>
              </w:rPr>
            </w:pPr>
            <w:r>
              <w:rPr>
                <w:rFonts w:ascii="Arial" w:cs="Arial" w:eastAsia="Arial" w:hAnsi="Arial"/>
                <w:sz w:val="13"/>
                <w:szCs w:val="13"/>
                <w:color w:val="auto"/>
                <w:w w:val="99"/>
              </w:rPr>
              <w:t>January 18, 2002</w:t>
            </w:r>
          </w:p>
        </w:tc>
        <w:tc>
          <w:tcPr>
            <w:tcW w:w="0" w:type="dxa"/>
            <w:vAlign w:val="bottom"/>
          </w:tcPr>
          <w:p>
            <w:pPr>
              <w:spacing w:after="0"/>
              <w:rPr>
                <w:sz w:val="1"/>
                <w:szCs w:val="1"/>
                <w:color w:val="auto"/>
              </w:rPr>
            </w:pPr>
          </w:p>
        </w:tc>
      </w:tr>
      <w:tr>
        <w:trPr>
          <w:trHeight w:val="301"/>
        </w:trPr>
        <w:tc>
          <w:tcPr>
            <w:tcW w:w="1120" w:type="dxa"/>
            <w:vAlign w:val="bottom"/>
            <w:gridSpan w:val="2"/>
          </w:tcPr>
          <w:p>
            <w:pPr>
              <w:jc w:val="center"/>
              <w:ind w:right="40"/>
              <w:spacing w:after="0"/>
              <w:rPr>
                <w:sz w:val="20"/>
                <w:szCs w:val="20"/>
                <w:color w:val="auto"/>
              </w:rPr>
            </w:pPr>
            <w:r>
              <w:rPr>
                <w:rFonts w:ascii="Arial" w:cs="Arial" w:eastAsia="Arial" w:hAnsi="Arial"/>
                <w:sz w:val="13"/>
                <w:szCs w:val="13"/>
                <w:color w:val="auto"/>
                <w:w w:val="95"/>
              </w:rPr>
              <w:t>Form 8-A</w:t>
            </w:r>
          </w:p>
        </w:tc>
        <w:tc>
          <w:tcPr>
            <w:tcW w:w="1260" w:type="dxa"/>
            <w:vAlign w:val="bottom"/>
          </w:tcPr>
          <w:p>
            <w:pPr>
              <w:jc w:val="center"/>
              <w:spacing w:after="0"/>
              <w:rPr>
                <w:sz w:val="20"/>
                <w:szCs w:val="20"/>
                <w:color w:val="auto"/>
              </w:rPr>
            </w:pPr>
            <w:r>
              <w:rPr>
                <w:rFonts w:ascii="Arial" w:cs="Arial" w:eastAsia="Arial" w:hAnsi="Arial"/>
                <w:sz w:val="13"/>
                <w:szCs w:val="13"/>
                <w:color w:val="auto"/>
                <w:w w:val="99"/>
              </w:rPr>
              <w:t>June 28, 2004</w:t>
            </w:r>
          </w:p>
        </w:tc>
        <w:tc>
          <w:tcPr>
            <w:tcW w:w="0" w:type="dxa"/>
            <w:vAlign w:val="bottom"/>
          </w:tcPr>
          <w:p>
            <w:pPr>
              <w:spacing w:after="0"/>
              <w:rPr>
                <w:sz w:val="1"/>
                <w:szCs w:val="1"/>
                <w:color w:val="auto"/>
              </w:rPr>
            </w:pPr>
          </w:p>
        </w:tc>
      </w:tr>
      <w:tr>
        <w:trPr>
          <w:trHeight w:val="301"/>
        </w:trPr>
        <w:tc>
          <w:tcPr>
            <w:tcW w:w="1120" w:type="dxa"/>
            <w:vAlign w:val="bottom"/>
            <w:gridSpan w:val="2"/>
          </w:tcPr>
          <w:p>
            <w:pPr>
              <w:jc w:val="center"/>
              <w:ind w:right="40"/>
              <w:spacing w:after="0"/>
              <w:rPr>
                <w:sz w:val="20"/>
                <w:szCs w:val="20"/>
                <w:color w:val="auto"/>
              </w:rPr>
            </w:pPr>
            <w:r>
              <w:rPr>
                <w:rFonts w:ascii="Arial" w:cs="Arial" w:eastAsia="Arial" w:hAnsi="Arial"/>
                <w:sz w:val="13"/>
                <w:szCs w:val="13"/>
                <w:color w:val="auto"/>
                <w:w w:val="95"/>
              </w:rPr>
              <w:t>Form 8-K</w:t>
            </w:r>
          </w:p>
        </w:tc>
        <w:tc>
          <w:tcPr>
            <w:tcW w:w="1260" w:type="dxa"/>
            <w:vAlign w:val="bottom"/>
          </w:tcPr>
          <w:p>
            <w:pPr>
              <w:jc w:val="center"/>
              <w:spacing w:after="0"/>
              <w:rPr>
                <w:sz w:val="20"/>
                <w:szCs w:val="20"/>
                <w:color w:val="auto"/>
              </w:rPr>
            </w:pPr>
            <w:r>
              <w:rPr>
                <w:rFonts w:ascii="Arial" w:cs="Arial" w:eastAsia="Arial" w:hAnsi="Arial"/>
                <w:sz w:val="13"/>
                <w:szCs w:val="13"/>
                <w:color w:val="auto"/>
                <w:w w:val="99"/>
              </w:rPr>
              <w:t>March 25, 2008</w:t>
            </w:r>
          </w:p>
        </w:tc>
        <w:tc>
          <w:tcPr>
            <w:tcW w:w="0" w:type="dxa"/>
            <w:vAlign w:val="bottom"/>
          </w:tcPr>
          <w:p>
            <w:pPr>
              <w:spacing w:after="0"/>
              <w:rPr>
                <w:sz w:val="1"/>
                <w:szCs w:val="1"/>
                <w:color w:val="auto"/>
              </w:rPr>
            </w:pPr>
          </w:p>
        </w:tc>
      </w:tr>
      <w:tr>
        <w:trPr>
          <w:trHeight w:val="301"/>
        </w:trPr>
        <w:tc>
          <w:tcPr>
            <w:tcW w:w="1120" w:type="dxa"/>
            <w:vAlign w:val="bottom"/>
            <w:gridSpan w:val="2"/>
          </w:tcPr>
          <w:p>
            <w:pPr>
              <w:jc w:val="center"/>
              <w:ind w:right="40"/>
              <w:spacing w:after="0"/>
              <w:rPr>
                <w:sz w:val="20"/>
                <w:szCs w:val="20"/>
                <w:color w:val="auto"/>
              </w:rPr>
            </w:pPr>
            <w:r>
              <w:rPr>
                <w:rFonts w:ascii="Arial" w:cs="Arial" w:eastAsia="Arial" w:hAnsi="Arial"/>
                <w:sz w:val="13"/>
                <w:szCs w:val="13"/>
                <w:color w:val="auto"/>
                <w:w w:val="95"/>
              </w:rPr>
              <w:t>Form 8-K</w:t>
            </w:r>
          </w:p>
        </w:tc>
        <w:tc>
          <w:tcPr>
            <w:tcW w:w="1260" w:type="dxa"/>
            <w:vAlign w:val="bottom"/>
          </w:tcPr>
          <w:p>
            <w:pPr>
              <w:jc w:val="center"/>
              <w:spacing w:after="0"/>
              <w:rPr>
                <w:sz w:val="20"/>
                <w:szCs w:val="20"/>
                <w:color w:val="auto"/>
              </w:rPr>
            </w:pPr>
            <w:r>
              <w:rPr>
                <w:rFonts w:ascii="Arial" w:cs="Arial" w:eastAsia="Arial" w:hAnsi="Arial"/>
                <w:sz w:val="13"/>
                <w:szCs w:val="13"/>
                <w:color w:val="auto"/>
                <w:w w:val="99"/>
              </w:rPr>
              <w:t>March 14, 2012</w:t>
            </w:r>
          </w:p>
        </w:tc>
        <w:tc>
          <w:tcPr>
            <w:tcW w:w="0" w:type="dxa"/>
            <w:vAlign w:val="bottom"/>
          </w:tcPr>
          <w:p>
            <w:pPr>
              <w:spacing w:after="0"/>
              <w:rPr>
                <w:sz w:val="1"/>
                <w:szCs w:val="1"/>
                <w:color w:val="auto"/>
              </w:rPr>
            </w:pPr>
          </w:p>
        </w:tc>
      </w:tr>
      <w:tr>
        <w:trPr>
          <w:trHeight w:val="301"/>
        </w:trPr>
        <w:tc>
          <w:tcPr>
            <w:tcW w:w="1120" w:type="dxa"/>
            <w:vAlign w:val="bottom"/>
            <w:gridSpan w:val="2"/>
          </w:tcPr>
          <w:p>
            <w:pPr>
              <w:jc w:val="center"/>
              <w:ind w:right="40"/>
              <w:spacing w:after="0"/>
              <w:rPr>
                <w:sz w:val="20"/>
                <w:szCs w:val="20"/>
                <w:color w:val="auto"/>
              </w:rPr>
            </w:pPr>
            <w:r>
              <w:rPr>
                <w:rFonts w:ascii="Arial" w:cs="Arial" w:eastAsia="Arial" w:hAnsi="Arial"/>
                <w:sz w:val="13"/>
                <w:szCs w:val="13"/>
                <w:color w:val="auto"/>
                <w:w w:val="95"/>
              </w:rPr>
              <w:t>Form 8-K</w:t>
            </w:r>
          </w:p>
        </w:tc>
        <w:tc>
          <w:tcPr>
            <w:tcW w:w="1260" w:type="dxa"/>
            <w:vAlign w:val="bottom"/>
          </w:tcPr>
          <w:p>
            <w:pPr>
              <w:jc w:val="center"/>
              <w:spacing w:after="0"/>
              <w:rPr>
                <w:sz w:val="20"/>
                <w:szCs w:val="20"/>
                <w:color w:val="auto"/>
              </w:rPr>
            </w:pPr>
            <w:r>
              <w:rPr>
                <w:rFonts w:ascii="Arial" w:cs="Arial" w:eastAsia="Arial" w:hAnsi="Arial"/>
                <w:sz w:val="13"/>
                <w:szCs w:val="13"/>
                <w:color w:val="auto"/>
                <w:w w:val="98"/>
              </w:rPr>
              <w:t>May 12, 2017</w:t>
            </w:r>
          </w:p>
        </w:tc>
        <w:tc>
          <w:tcPr>
            <w:tcW w:w="0" w:type="dxa"/>
            <w:vAlign w:val="bottom"/>
          </w:tcPr>
          <w:p>
            <w:pPr>
              <w:spacing w:after="0"/>
              <w:rPr>
                <w:sz w:val="1"/>
                <w:szCs w:val="1"/>
                <w:color w:val="auto"/>
              </w:rPr>
            </w:pPr>
          </w:p>
        </w:tc>
      </w:tr>
      <w:tr>
        <w:trPr>
          <w:trHeight w:val="301"/>
        </w:trPr>
        <w:tc>
          <w:tcPr>
            <w:tcW w:w="1120" w:type="dxa"/>
            <w:vAlign w:val="bottom"/>
            <w:gridSpan w:val="2"/>
          </w:tcPr>
          <w:p>
            <w:pPr>
              <w:jc w:val="center"/>
              <w:ind w:right="40"/>
              <w:spacing w:after="0"/>
              <w:rPr>
                <w:sz w:val="20"/>
                <w:szCs w:val="20"/>
                <w:color w:val="auto"/>
              </w:rPr>
            </w:pPr>
            <w:r>
              <w:rPr>
                <w:rFonts w:ascii="Arial" w:cs="Arial" w:eastAsia="Arial" w:hAnsi="Arial"/>
                <w:sz w:val="13"/>
                <w:szCs w:val="13"/>
                <w:color w:val="auto"/>
                <w:w w:val="95"/>
              </w:rPr>
              <w:t>Form 8-K</w:t>
            </w:r>
          </w:p>
        </w:tc>
        <w:tc>
          <w:tcPr>
            <w:tcW w:w="1260" w:type="dxa"/>
            <w:vAlign w:val="bottom"/>
          </w:tcPr>
          <w:p>
            <w:pPr>
              <w:jc w:val="center"/>
              <w:spacing w:after="0"/>
              <w:rPr>
                <w:sz w:val="20"/>
                <w:szCs w:val="20"/>
                <w:color w:val="auto"/>
              </w:rPr>
            </w:pPr>
            <w:r>
              <w:rPr>
                <w:rFonts w:ascii="Arial" w:cs="Arial" w:eastAsia="Arial" w:hAnsi="Arial"/>
                <w:sz w:val="13"/>
                <w:szCs w:val="13"/>
                <w:color w:val="auto"/>
              </w:rPr>
              <w:t>September 21, 2023</w:t>
            </w:r>
          </w:p>
        </w:tc>
        <w:tc>
          <w:tcPr>
            <w:tcW w:w="0" w:type="dxa"/>
            <w:vAlign w:val="bottom"/>
          </w:tcPr>
          <w:p>
            <w:pPr>
              <w:spacing w:after="0"/>
              <w:rPr>
                <w:sz w:val="1"/>
                <w:szCs w:val="1"/>
                <w:color w:val="auto"/>
              </w:rPr>
            </w:pPr>
          </w:p>
        </w:tc>
      </w:tr>
      <w:tr>
        <w:trPr>
          <w:trHeight w:val="301"/>
        </w:trPr>
        <w:tc>
          <w:tcPr>
            <w:tcW w:w="1120" w:type="dxa"/>
            <w:vAlign w:val="bottom"/>
            <w:gridSpan w:val="2"/>
          </w:tcPr>
          <w:p>
            <w:pPr>
              <w:jc w:val="center"/>
              <w:ind w:right="40"/>
              <w:spacing w:after="0"/>
              <w:rPr>
                <w:sz w:val="20"/>
                <w:szCs w:val="20"/>
                <w:color w:val="auto"/>
              </w:rPr>
            </w:pPr>
            <w:r>
              <w:rPr>
                <w:rFonts w:ascii="Arial" w:cs="Arial" w:eastAsia="Arial" w:hAnsi="Arial"/>
                <w:sz w:val="13"/>
                <w:szCs w:val="13"/>
                <w:color w:val="auto"/>
                <w:w w:val="95"/>
              </w:rPr>
              <w:t>Form 8-K</w:t>
            </w:r>
          </w:p>
        </w:tc>
        <w:tc>
          <w:tcPr>
            <w:tcW w:w="1260" w:type="dxa"/>
            <w:vAlign w:val="bottom"/>
          </w:tcPr>
          <w:p>
            <w:pPr>
              <w:jc w:val="center"/>
              <w:spacing w:after="0"/>
              <w:rPr>
                <w:sz w:val="20"/>
                <w:szCs w:val="20"/>
                <w:color w:val="auto"/>
              </w:rPr>
            </w:pPr>
            <w:r>
              <w:rPr>
                <w:rFonts w:ascii="Arial" w:cs="Arial" w:eastAsia="Arial" w:hAnsi="Arial"/>
                <w:sz w:val="13"/>
                <w:szCs w:val="13"/>
                <w:color w:val="auto"/>
                <w:w w:val="98"/>
              </w:rPr>
              <w:t>May 16, 2024</w:t>
            </w:r>
          </w:p>
        </w:tc>
        <w:tc>
          <w:tcPr>
            <w:tcW w:w="0" w:type="dxa"/>
            <w:vAlign w:val="bottom"/>
          </w:tcPr>
          <w:p>
            <w:pPr>
              <w:spacing w:after="0"/>
              <w:rPr>
                <w:sz w:val="1"/>
                <w:szCs w:val="1"/>
                <w:color w:val="auto"/>
              </w:rPr>
            </w:pPr>
          </w:p>
        </w:tc>
      </w:tr>
      <w:tr>
        <w:trPr>
          <w:trHeight w:val="204"/>
        </w:trPr>
        <w:tc>
          <w:tcPr>
            <w:tcW w:w="1120" w:type="dxa"/>
            <w:vAlign w:val="bottom"/>
            <w:gridSpan w:val="2"/>
          </w:tcPr>
          <w:p>
            <w:pPr>
              <w:jc w:val="center"/>
              <w:ind w:right="40"/>
              <w:spacing w:after="0"/>
              <w:rPr>
                <w:sz w:val="20"/>
                <w:szCs w:val="20"/>
                <w:color w:val="auto"/>
              </w:rPr>
            </w:pPr>
            <w:r>
              <w:rPr>
                <w:rFonts w:ascii="Arial" w:cs="Arial" w:eastAsia="Arial" w:hAnsi="Arial"/>
                <w:sz w:val="13"/>
                <w:szCs w:val="13"/>
                <w:color w:val="auto"/>
                <w:w w:val="92"/>
              </w:rPr>
              <w:t>N/A</w:t>
            </w:r>
          </w:p>
        </w:tc>
        <w:tc>
          <w:tcPr>
            <w:tcW w:w="1260" w:type="dxa"/>
            <w:vAlign w:val="bottom"/>
          </w:tcPr>
          <w:p>
            <w:pPr>
              <w:jc w:val="center"/>
              <w:spacing w:after="0"/>
              <w:rPr>
                <w:sz w:val="20"/>
                <w:szCs w:val="20"/>
                <w:color w:val="auto"/>
              </w:rPr>
            </w:pPr>
            <w:r>
              <w:rPr>
                <w:rFonts w:ascii="Arial" w:cs="Arial" w:eastAsia="Arial" w:hAnsi="Arial"/>
                <w:sz w:val="13"/>
                <w:szCs w:val="13"/>
                <w:color w:val="auto"/>
                <w:w w:val="98"/>
              </w:rPr>
              <w:t>Filed herewith</w:t>
            </w:r>
          </w:p>
        </w:tc>
        <w:tc>
          <w:tcPr>
            <w:tcW w:w="0" w:type="dxa"/>
            <w:vAlign w:val="bottom"/>
          </w:tcPr>
          <w:p>
            <w:pPr>
              <w:spacing w:after="0"/>
              <w:rPr>
                <w:sz w:val="1"/>
                <w:szCs w:val="1"/>
                <w:color w:val="auto"/>
              </w:rPr>
            </w:pPr>
          </w:p>
        </w:tc>
      </w:tr>
      <w:tr>
        <w:trPr>
          <w:trHeight w:val="204"/>
        </w:trPr>
        <w:tc>
          <w:tcPr>
            <w:tcW w:w="1120" w:type="dxa"/>
            <w:vAlign w:val="bottom"/>
            <w:gridSpan w:val="2"/>
          </w:tcPr>
          <w:p>
            <w:pPr>
              <w:jc w:val="center"/>
              <w:ind w:right="40"/>
              <w:spacing w:after="0"/>
              <w:rPr>
                <w:sz w:val="20"/>
                <w:szCs w:val="20"/>
                <w:color w:val="auto"/>
              </w:rPr>
            </w:pPr>
            <w:r>
              <w:rPr>
                <w:rFonts w:ascii="Arial" w:cs="Arial" w:eastAsia="Arial" w:hAnsi="Arial"/>
                <w:sz w:val="13"/>
                <w:szCs w:val="13"/>
                <w:color w:val="auto"/>
                <w:w w:val="92"/>
              </w:rPr>
              <w:t>N/A</w:t>
            </w:r>
          </w:p>
        </w:tc>
        <w:tc>
          <w:tcPr>
            <w:tcW w:w="1260" w:type="dxa"/>
            <w:vAlign w:val="bottom"/>
          </w:tcPr>
          <w:p>
            <w:pPr>
              <w:jc w:val="center"/>
              <w:spacing w:after="0"/>
              <w:rPr>
                <w:sz w:val="20"/>
                <w:szCs w:val="20"/>
                <w:color w:val="auto"/>
              </w:rPr>
            </w:pPr>
            <w:r>
              <w:rPr>
                <w:rFonts w:ascii="Arial" w:cs="Arial" w:eastAsia="Arial" w:hAnsi="Arial"/>
                <w:sz w:val="13"/>
                <w:szCs w:val="13"/>
                <w:color w:val="auto"/>
                <w:w w:val="98"/>
              </w:rPr>
              <w:t>Filed herewith</w:t>
            </w:r>
          </w:p>
        </w:tc>
        <w:tc>
          <w:tcPr>
            <w:tcW w:w="0" w:type="dxa"/>
            <w:vAlign w:val="bottom"/>
          </w:tcPr>
          <w:p>
            <w:pPr>
              <w:spacing w:after="0"/>
              <w:rPr>
                <w:sz w:val="1"/>
                <w:szCs w:val="1"/>
                <w:color w:val="auto"/>
              </w:rPr>
            </w:pPr>
          </w:p>
        </w:tc>
      </w:tr>
      <w:tr>
        <w:trPr>
          <w:trHeight w:val="311"/>
        </w:trPr>
        <w:tc>
          <w:tcPr>
            <w:tcW w:w="1120" w:type="dxa"/>
            <w:vAlign w:val="bottom"/>
            <w:gridSpan w:val="2"/>
          </w:tcPr>
          <w:p>
            <w:pPr>
              <w:jc w:val="center"/>
              <w:ind w:right="40"/>
              <w:spacing w:after="0"/>
              <w:rPr>
                <w:sz w:val="20"/>
                <w:szCs w:val="20"/>
                <w:color w:val="auto"/>
              </w:rPr>
            </w:pPr>
            <w:r>
              <w:rPr>
                <w:rFonts w:ascii="Arial" w:cs="Arial" w:eastAsia="Arial" w:hAnsi="Arial"/>
                <w:sz w:val="13"/>
                <w:szCs w:val="13"/>
                <w:color w:val="auto"/>
                <w:w w:val="92"/>
              </w:rPr>
              <w:t>N/A</w:t>
            </w:r>
          </w:p>
        </w:tc>
        <w:tc>
          <w:tcPr>
            <w:tcW w:w="1260" w:type="dxa"/>
            <w:vAlign w:val="bottom"/>
          </w:tcPr>
          <w:p>
            <w:pPr>
              <w:jc w:val="center"/>
              <w:spacing w:after="0"/>
              <w:rPr>
                <w:sz w:val="20"/>
                <w:szCs w:val="20"/>
                <w:color w:val="auto"/>
              </w:rPr>
            </w:pPr>
            <w:r>
              <w:rPr>
                <w:rFonts w:ascii="Arial" w:cs="Arial" w:eastAsia="Arial" w:hAnsi="Arial"/>
                <w:sz w:val="13"/>
                <w:szCs w:val="13"/>
                <w:color w:val="auto"/>
                <w:w w:val="98"/>
              </w:rPr>
              <w:t>Filed herewith</w:t>
            </w:r>
          </w:p>
        </w:tc>
        <w:tc>
          <w:tcPr>
            <w:tcW w:w="0" w:type="dxa"/>
            <w:vAlign w:val="bottom"/>
          </w:tcPr>
          <w:p>
            <w:pPr>
              <w:spacing w:after="0"/>
              <w:rPr>
                <w:sz w:val="1"/>
                <w:szCs w:val="1"/>
                <w:color w:val="auto"/>
              </w:rPr>
            </w:pPr>
          </w:p>
        </w:tc>
      </w:tr>
      <w:tr>
        <w:trPr>
          <w:trHeight w:val="311"/>
        </w:trPr>
        <w:tc>
          <w:tcPr>
            <w:tcW w:w="1120" w:type="dxa"/>
            <w:vAlign w:val="bottom"/>
            <w:gridSpan w:val="2"/>
          </w:tcPr>
          <w:p>
            <w:pPr>
              <w:jc w:val="center"/>
              <w:ind w:right="40"/>
              <w:spacing w:after="0"/>
              <w:rPr>
                <w:sz w:val="20"/>
                <w:szCs w:val="20"/>
                <w:color w:val="auto"/>
              </w:rPr>
            </w:pPr>
            <w:r>
              <w:rPr>
                <w:rFonts w:ascii="Arial" w:cs="Arial" w:eastAsia="Arial" w:hAnsi="Arial"/>
                <w:sz w:val="13"/>
                <w:szCs w:val="13"/>
                <w:color w:val="auto"/>
                <w:w w:val="92"/>
              </w:rPr>
              <w:t>N/A</w:t>
            </w:r>
          </w:p>
        </w:tc>
        <w:tc>
          <w:tcPr>
            <w:tcW w:w="1260" w:type="dxa"/>
            <w:vAlign w:val="bottom"/>
          </w:tcPr>
          <w:p>
            <w:pPr>
              <w:jc w:val="center"/>
              <w:spacing w:after="0"/>
              <w:rPr>
                <w:sz w:val="20"/>
                <w:szCs w:val="20"/>
                <w:color w:val="auto"/>
              </w:rPr>
            </w:pPr>
            <w:r>
              <w:rPr>
                <w:rFonts w:ascii="Arial" w:cs="Arial" w:eastAsia="Arial" w:hAnsi="Arial"/>
                <w:sz w:val="13"/>
                <w:szCs w:val="13"/>
                <w:color w:val="auto"/>
                <w:w w:val="98"/>
              </w:rPr>
              <w:t>Filed herewith</w:t>
            </w:r>
          </w:p>
        </w:tc>
        <w:tc>
          <w:tcPr>
            <w:tcW w:w="0" w:type="dxa"/>
            <w:vAlign w:val="bottom"/>
          </w:tcPr>
          <w:p>
            <w:pPr>
              <w:spacing w:after="0"/>
              <w:rPr>
                <w:sz w:val="1"/>
                <w:szCs w:val="1"/>
                <w:color w:val="auto"/>
              </w:rPr>
            </w:pPr>
          </w:p>
        </w:tc>
      </w:tr>
      <w:tr>
        <w:trPr>
          <w:trHeight w:val="311"/>
        </w:trPr>
        <w:tc>
          <w:tcPr>
            <w:tcW w:w="1120" w:type="dxa"/>
            <w:vAlign w:val="bottom"/>
            <w:gridSpan w:val="2"/>
          </w:tcPr>
          <w:p>
            <w:pPr>
              <w:jc w:val="center"/>
              <w:ind w:right="40"/>
              <w:spacing w:after="0"/>
              <w:rPr>
                <w:sz w:val="20"/>
                <w:szCs w:val="20"/>
                <w:color w:val="auto"/>
              </w:rPr>
            </w:pPr>
            <w:r>
              <w:rPr>
                <w:rFonts w:ascii="Arial" w:cs="Arial" w:eastAsia="Arial" w:hAnsi="Arial"/>
                <w:sz w:val="13"/>
                <w:szCs w:val="13"/>
                <w:color w:val="auto"/>
                <w:w w:val="92"/>
              </w:rPr>
              <w:t>N/A</w:t>
            </w:r>
          </w:p>
        </w:tc>
        <w:tc>
          <w:tcPr>
            <w:tcW w:w="1260" w:type="dxa"/>
            <w:vAlign w:val="bottom"/>
          </w:tcPr>
          <w:p>
            <w:pPr>
              <w:jc w:val="center"/>
              <w:spacing w:after="0"/>
              <w:rPr>
                <w:sz w:val="20"/>
                <w:szCs w:val="20"/>
                <w:color w:val="auto"/>
              </w:rPr>
            </w:pPr>
            <w:r>
              <w:rPr>
                <w:rFonts w:ascii="Arial" w:cs="Arial" w:eastAsia="Arial" w:hAnsi="Arial"/>
                <w:sz w:val="13"/>
                <w:szCs w:val="13"/>
                <w:color w:val="auto"/>
                <w:w w:val="98"/>
              </w:rPr>
              <w:t>Filed herewith</w:t>
            </w:r>
          </w:p>
        </w:tc>
        <w:tc>
          <w:tcPr>
            <w:tcW w:w="0" w:type="dxa"/>
            <w:vAlign w:val="bottom"/>
          </w:tcPr>
          <w:p>
            <w:pPr>
              <w:spacing w:after="0"/>
              <w:rPr>
                <w:sz w:val="1"/>
                <w:szCs w:val="1"/>
                <w:color w:val="auto"/>
              </w:rPr>
            </w:pPr>
          </w:p>
        </w:tc>
      </w:tr>
      <w:tr>
        <w:trPr>
          <w:trHeight w:val="462"/>
        </w:trPr>
        <w:tc>
          <w:tcPr>
            <w:tcW w:w="1120" w:type="dxa"/>
            <w:vAlign w:val="bottom"/>
            <w:gridSpan w:val="2"/>
          </w:tcPr>
          <w:p>
            <w:pPr>
              <w:jc w:val="center"/>
              <w:ind w:right="40"/>
              <w:spacing w:after="0"/>
              <w:rPr>
                <w:sz w:val="20"/>
                <w:szCs w:val="20"/>
                <w:color w:val="auto"/>
              </w:rPr>
            </w:pPr>
            <w:r>
              <w:rPr>
                <w:rFonts w:ascii="Arial" w:cs="Arial" w:eastAsia="Arial" w:hAnsi="Arial"/>
                <w:sz w:val="13"/>
                <w:szCs w:val="13"/>
                <w:color w:val="auto"/>
                <w:w w:val="92"/>
              </w:rPr>
              <w:t>N/A</w:t>
            </w:r>
          </w:p>
        </w:tc>
        <w:tc>
          <w:tcPr>
            <w:tcW w:w="1260" w:type="dxa"/>
            <w:vAlign w:val="bottom"/>
          </w:tcPr>
          <w:p>
            <w:pPr>
              <w:jc w:val="center"/>
              <w:spacing w:after="0"/>
              <w:rPr>
                <w:sz w:val="20"/>
                <w:szCs w:val="20"/>
                <w:color w:val="auto"/>
              </w:rPr>
            </w:pPr>
            <w:r>
              <w:rPr>
                <w:rFonts w:ascii="Arial" w:cs="Arial" w:eastAsia="Arial" w:hAnsi="Arial"/>
                <w:sz w:val="13"/>
                <w:szCs w:val="13"/>
                <w:color w:val="auto"/>
                <w:w w:val="98"/>
              </w:rPr>
              <w:t>Filed herewith</w:t>
            </w:r>
          </w:p>
        </w:tc>
        <w:tc>
          <w:tcPr>
            <w:tcW w:w="0" w:type="dxa"/>
            <w:vAlign w:val="bottom"/>
          </w:tcPr>
          <w:p>
            <w:pPr>
              <w:spacing w:after="0"/>
              <w:rPr>
                <w:sz w:val="1"/>
                <w:szCs w:val="1"/>
                <w:color w:val="auto"/>
              </w:rPr>
            </w:pPr>
          </w:p>
        </w:tc>
      </w:tr>
    </w:tbl>
    <w:p>
      <w:pPr>
        <w:spacing w:after="0" w:line="1453" w:lineRule="exact"/>
        <w:rPr>
          <w:sz w:val="20"/>
          <w:szCs w:val="20"/>
          <w:color w:val="auto"/>
        </w:rPr>
      </w:pPr>
    </w:p>
    <w:p>
      <w:pPr>
        <w:sectPr>
          <w:pgSz w:w="11900" w:h="16838" w:orient="portrait"/>
          <w:cols w:equalWidth="0" w:num="2">
            <w:col w:w="5960" w:space="40"/>
            <w:col w:w="3019"/>
          </w:cols>
          <w:pgMar w:left="1440" w:top="118" w:right="1440" w:bottom="0" w:gutter="0" w:footer="0" w:header="0"/>
          <w:type w:val="continuous"/>
        </w:sectPr>
      </w:pPr>
    </w:p>
    <w:p>
      <w:pPr>
        <w:ind w:left="1440" w:right="879" w:hanging="759"/>
        <w:spacing w:after="0" w:line="216" w:lineRule="auto"/>
        <w:tabs>
          <w:tab w:leader="none" w:pos="1420" w:val="left"/>
        </w:tabs>
        <w:rPr>
          <w:sz w:val="20"/>
          <w:szCs w:val="20"/>
          <w:color w:val="auto"/>
        </w:rPr>
      </w:pPr>
      <w:r>
        <w:rPr>
          <w:rFonts w:ascii="Arial" w:cs="Arial" w:eastAsia="Arial" w:hAnsi="Arial"/>
          <w:sz w:val="13"/>
          <w:szCs w:val="13"/>
          <w:color w:val="auto"/>
        </w:rPr>
        <w:t>104</w:t>
      </w:r>
      <w:r>
        <w:rPr>
          <w:sz w:val="20"/>
          <w:szCs w:val="20"/>
          <w:color w:val="auto"/>
        </w:rPr>
        <w:tab/>
      </w:r>
      <w:r>
        <w:rPr>
          <w:rFonts w:ascii="Arial" w:cs="Arial" w:eastAsia="Arial" w:hAnsi="Arial"/>
          <w:sz w:val="13"/>
          <w:szCs w:val="13"/>
          <w:color w:val="auto"/>
        </w:rPr>
        <w:t>Cover Page Interactive Data File – the cover page from this Quarterly Report N/A Filed herewith on Form 10-Q for the quarter ended June 30, 2024 is formatted in Inline XBRL</w:t>
      </w:r>
    </w:p>
    <w:p>
      <w:pPr>
        <w:spacing w:after="0" w:line="1" w:lineRule="exact"/>
        <w:rPr>
          <w:sz w:val="20"/>
          <w:szCs w:val="20"/>
          <w:color w:val="auto"/>
        </w:rPr>
      </w:pPr>
    </w:p>
    <w:p>
      <w:pPr>
        <w:ind w:left="1440"/>
        <w:spacing w:after="0"/>
        <w:rPr>
          <w:sz w:val="20"/>
          <w:szCs w:val="20"/>
          <w:color w:val="auto"/>
        </w:rPr>
      </w:pPr>
      <w:r>
        <w:rPr>
          <w:rFonts w:ascii="Arial" w:cs="Arial" w:eastAsia="Arial" w:hAnsi="Arial"/>
          <w:sz w:val="13"/>
          <w:szCs w:val="13"/>
          <w:color w:val="auto"/>
        </w:rPr>
        <w:t>and contained in Exhibit 101.1</w:t>
      </w:r>
    </w:p>
    <w:p>
      <w:pPr>
        <w:spacing w:after="0" w:line="68" w:lineRule="exact"/>
        <w:rPr>
          <w:sz w:val="20"/>
          <w:szCs w:val="20"/>
          <w:color w:val="auto"/>
        </w:rPr>
      </w:pPr>
    </w:p>
    <w:p>
      <w:pPr>
        <w:ind w:left="640"/>
        <w:spacing w:after="0"/>
        <w:rPr>
          <w:sz w:val="20"/>
          <w:szCs w:val="20"/>
          <w:color w:val="auto"/>
        </w:rPr>
      </w:pPr>
      <w:r>
        <w:rPr>
          <w:rFonts w:ascii="Arial" w:cs="Arial" w:eastAsia="Arial" w:hAnsi="Arial"/>
          <w:sz w:val="11"/>
          <w:szCs w:val="11"/>
          <w:color w:val="auto"/>
        </w:rPr>
        <w:t>(*) Incorporated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188595</wp:posOffset>
            </wp:positionV>
            <wp:extent cx="5584190" cy="127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1">
                      <a:extLst>
                        <a:ext uri="{28A0092B-C50C-407E-A947-70E740481C1C}"/>
                      </a:extLst>
                    </a:blip>
                    <a:srcRect/>
                    <a:stretch>
                      <a:fillRect/>
                    </a:stretch>
                  </pic:blipFill>
                  <pic:spPr bwMode="auto">
                    <a:xfrm>
                      <a:off x="0" y="0"/>
                      <a:ext cx="5584190" cy="127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SIGNATURES</w:t>
      </w:r>
    </w:p>
    <w:p>
      <w:pPr>
        <w:spacing w:after="0" w:line="162" w:lineRule="exact"/>
        <w:rPr>
          <w:sz w:val="20"/>
          <w:szCs w:val="20"/>
          <w:color w:val="auto"/>
        </w:rPr>
      </w:pPr>
    </w:p>
    <w:p>
      <w:pPr>
        <w:ind w:left="640" w:right="819" w:firstLine="516"/>
        <w:spacing w:after="0" w:line="272" w:lineRule="auto"/>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thereunto duly authorized, on July 22, 2024.</w:t>
      </w:r>
    </w:p>
    <w:p>
      <w:pPr>
        <w:spacing w:after="0" w:line="166" w:lineRule="exact"/>
        <w:rPr>
          <w:sz w:val="20"/>
          <w:szCs w:val="20"/>
          <w:color w:val="auto"/>
        </w:rPr>
      </w:pPr>
    </w:p>
    <w:p>
      <w:pPr>
        <w:ind w:left="4560"/>
        <w:spacing w:after="0"/>
        <w:rPr>
          <w:sz w:val="20"/>
          <w:szCs w:val="20"/>
          <w:color w:val="auto"/>
        </w:rPr>
      </w:pPr>
      <w:r>
        <w:rPr>
          <w:rFonts w:ascii="Arial" w:cs="Arial" w:eastAsia="Arial" w:hAnsi="Arial"/>
          <w:sz w:val="13"/>
          <w:szCs w:val="13"/>
          <w:color w:val="auto"/>
        </w:rPr>
        <w:t>ALEXANDRIA REAL ESTATE EQUITIES, INC.</w:t>
      </w:r>
    </w:p>
    <w:p>
      <w:pPr>
        <w:sectPr>
          <w:pgSz w:w="11900" w:h="16838" w:orient="portrait"/>
          <w:cols w:equalWidth="0" w:num="1">
            <w:col w:w="9019"/>
          </w:cols>
          <w:pgMar w:left="1440" w:top="118" w:right="1440" w:bottom="0" w:gutter="0" w:footer="0" w:header="0"/>
          <w:type w:val="continuous"/>
        </w:sectPr>
      </w:pPr>
    </w:p>
    <w:bookmarkStart w:id="78" w:name="page79"/>
    <w:bookmarkEnd w:id="78"/>
    <w:p>
      <w:pPr>
        <w:ind w:left="456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982345</wp:posOffset>
            </wp:positionH>
            <wp:positionV relativeFrom="page">
              <wp:posOffset>88900</wp:posOffset>
            </wp:positionV>
            <wp:extent cx="5584190" cy="593598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2">
                      <a:extLst>
                        <a:ext uri="{28A0092B-C50C-407E-A947-70E740481C1C}"/>
                      </a:extLst>
                    </a:blip>
                    <a:srcRect/>
                    <a:stretch>
                      <a:fillRect/>
                    </a:stretch>
                  </pic:blipFill>
                  <pic:spPr bwMode="auto">
                    <a:xfrm>
                      <a:off x="0" y="0"/>
                      <a:ext cx="5584190" cy="5935980"/>
                    </a:xfrm>
                    <a:prstGeom prst="rect">
                      <a:avLst/>
                    </a:prstGeom>
                    <a:noFill/>
                  </pic:spPr>
                </pic:pic>
              </a:graphicData>
            </a:graphic>
          </wp:anchor>
        </w:drawing>
        <w:t>/s/ Joel S. Marcus</w:t>
      </w:r>
    </w:p>
    <w:p>
      <w:pPr>
        <w:spacing w:after="0" w:line="100" w:lineRule="exact"/>
        <w:rPr>
          <w:sz w:val="20"/>
          <w:szCs w:val="20"/>
          <w:color w:val="auto"/>
        </w:rPr>
      </w:pPr>
    </w:p>
    <w:p>
      <w:pPr>
        <w:ind w:left="4560"/>
        <w:spacing w:after="0"/>
        <w:rPr>
          <w:sz w:val="20"/>
          <w:szCs w:val="20"/>
          <w:color w:val="auto"/>
        </w:rPr>
      </w:pPr>
      <w:r>
        <w:rPr>
          <w:rFonts w:ascii="Arial" w:cs="Arial" w:eastAsia="Arial" w:hAnsi="Arial"/>
          <w:sz w:val="13"/>
          <w:szCs w:val="13"/>
          <w:color w:val="auto"/>
        </w:rPr>
        <w:t>Joel S. Marcus</w:t>
      </w:r>
    </w:p>
    <w:p>
      <w:pPr>
        <w:ind w:left="4560"/>
        <w:spacing w:after="0" w:line="206" w:lineRule="auto"/>
        <w:rPr>
          <w:sz w:val="20"/>
          <w:szCs w:val="20"/>
          <w:color w:val="auto"/>
        </w:rPr>
      </w:pPr>
      <w:r>
        <w:rPr>
          <w:rFonts w:ascii="Arial" w:cs="Arial" w:eastAsia="Arial" w:hAnsi="Arial"/>
          <w:sz w:val="13"/>
          <w:szCs w:val="13"/>
          <w:color w:val="auto"/>
        </w:rPr>
        <w:t>Executive Chairman</w:t>
      </w:r>
    </w:p>
    <w:p>
      <w:pPr>
        <w:spacing w:after="0" w:line="1" w:lineRule="exact"/>
        <w:rPr>
          <w:sz w:val="20"/>
          <w:szCs w:val="20"/>
          <w:color w:val="auto"/>
        </w:rPr>
      </w:pPr>
    </w:p>
    <w:p>
      <w:pPr>
        <w:ind w:left="4560"/>
        <w:spacing w:after="0"/>
        <w:rPr>
          <w:sz w:val="20"/>
          <w:szCs w:val="20"/>
          <w:color w:val="auto"/>
        </w:rPr>
      </w:pPr>
      <w:r>
        <w:rPr>
          <w:rFonts w:ascii="Arial" w:cs="Arial" w:eastAsia="Arial" w:hAnsi="Arial"/>
          <w:sz w:val="13"/>
          <w:szCs w:val="13"/>
          <w:color w:val="auto"/>
        </w:rPr>
        <w:t>(Principal Executive Officer)</w:t>
      </w:r>
    </w:p>
    <w:p>
      <w:pPr>
        <w:spacing w:after="0" w:line="200" w:lineRule="exact"/>
        <w:rPr>
          <w:sz w:val="20"/>
          <w:szCs w:val="20"/>
          <w:color w:val="auto"/>
        </w:rPr>
      </w:pPr>
    </w:p>
    <w:p>
      <w:pPr>
        <w:spacing w:after="0" w:line="240" w:lineRule="exact"/>
        <w:rPr>
          <w:sz w:val="20"/>
          <w:szCs w:val="20"/>
          <w:color w:val="auto"/>
        </w:rPr>
      </w:pPr>
    </w:p>
    <w:p>
      <w:pPr>
        <w:ind w:left="4560"/>
        <w:spacing w:after="0"/>
        <w:rPr>
          <w:sz w:val="20"/>
          <w:szCs w:val="20"/>
          <w:color w:val="auto"/>
        </w:rPr>
      </w:pPr>
      <w:r>
        <w:rPr>
          <w:rFonts w:ascii="Arial" w:cs="Arial" w:eastAsia="Arial" w:hAnsi="Arial"/>
          <w:sz w:val="13"/>
          <w:szCs w:val="13"/>
          <w:color w:val="auto"/>
        </w:rPr>
        <w:t>/s/ Peter M. Moglia</w:t>
      </w:r>
    </w:p>
    <w:p>
      <w:pPr>
        <w:spacing w:after="0" w:line="57" w:lineRule="exact"/>
        <w:rPr>
          <w:sz w:val="20"/>
          <w:szCs w:val="20"/>
          <w:color w:val="auto"/>
        </w:rPr>
      </w:pPr>
    </w:p>
    <w:p>
      <w:pPr>
        <w:ind w:left="4560"/>
        <w:spacing w:after="0"/>
        <w:rPr>
          <w:sz w:val="20"/>
          <w:szCs w:val="20"/>
          <w:color w:val="auto"/>
        </w:rPr>
      </w:pPr>
      <w:r>
        <w:rPr>
          <w:rFonts w:ascii="Arial" w:cs="Arial" w:eastAsia="Arial" w:hAnsi="Arial"/>
          <w:sz w:val="13"/>
          <w:szCs w:val="13"/>
          <w:color w:val="auto"/>
        </w:rPr>
        <w:t>Peter M. Moglia</w:t>
      </w:r>
    </w:p>
    <w:p>
      <w:pPr>
        <w:ind w:left="4560"/>
        <w:spacing w:after="0" w:line="224" w:lineRule="auto"/>
        <w:rPr>
          <w:sz w:val="20"/>
          <w:szCs w:val="20"/>
          <w:color w:val="auto"/>
        </w:rPr>
      </w:pPr>
      <w:r>
        <w:rPr>
          <w:rFonts w:ascii="Arial" w:cs="Arial" w:eastAsia="Arial" w:hAnsi="Arial"/>
          <w:sz w:val="12"/>
          <w:szCs w:val="12"/>
          <w:color w:val="auto"/>
        </w:rPr>
        <w:t>Chief Executive Officer and Chief Investment Officer</w:t>
      </w:r>
    </w:p>
    <w:p>
      <w:pPr>
        <w:ind w:left="4560"/>
        <w:spacing w:after="0"/>
        <w:rPr>
          <w:sz w:val="20"/>
          <w:szCs w:val="20"/>
          <w:color w:val="auto"/>
        </w:rPr>
      </w:pPr>
      <w:r>
        <w:rPr>
          <w:rFonts w:ascii="Arial" w:cs="Arial" w:eastAsia="Arial" w:hAnsi="Arial"/>
          <w:sz w:val="13"/>
          <w:szCs w:val="13"/>
          <w:color w:val="auto"/>
        </w:rPr>
        <w:t>(Principal Executive Officer)</w:t>
      </w:r>
    </w:p>
    <w:p>
      <w:pPr>
        <w:spacing w:after="0" w:line="200" w:lineRule="exact"/>
        <w:rPr>
          <w:sz w:val="20"/>
          <w:szCs w:val="20"/>
          <w:color w:val="auto"/>
        </w:rPr>
      </w:pPr>
    </w:p>
    <w:p>
      <w:pPr>
        <w:spacing w:after="0" w:line="240" w:lineRule="exact"/>
        <w:rPr>
          <w:sz w:val="20"/>
          <w:szCs w:val="20"/>
          <w:color w:val="auto"/>
        </w:rPr>
      </w:pPr>
    </w:p>
    <w:p>
      <w:pPr>
        <w:ind w:left="4560"/>
        <w:spacing w:after="0"/>
        <w:rPr>
          <w:sz w:val="20"/>
          <w:szCs w:val="20"/>
          <w:color w:val="auto"/>
        </w:rPr>
      </w:pPr>
      <w:r>
        <w:rPr>
          <w:rFonts w:ascii="Arial" w:cs="Arial" w:eastAsia="Arial" w:hAnsi="Arial"/>
          <w:sz w:val="13"/>
          <w:szCs w:val="13"/>
          <w:color w:val="auto"/>
        </w:rPr>
        <w:t>/s/ Marc E. Binda</w:t>
      </w:r>
    </w:p>
    <w:p>
      <w:pPr>
        <w:spacing w:after="0" w:line="78" w:lineRule="exact"/>
        <w:rPr>
          <w:sz w:val="20"/>
          <w:szCs w:val="20"/>
          <w:color w:val="auto"/>
        </w:rPr>
      </w:pPr>
    </w:p>
    <w:p>
      <w:pPr>
        <w:ind w:left="4560"/>
        <w:spacing w:after="0"/>
        <w:rPr>
          <w:sz w:val="20"/>
          <w:szCs w:val="20"/>
          <w:color w:val="auto"/>
        </w:rPr>
      </w:pPr>
      <w:r>
        <w:rPr>
          <w:rFonts w:ascii="Arial" w:cs="Arial" w:eastAsia="Arial" w:hAnsi="Arial"/>
          <w:sz w:val="13"/>
          <w:szCs w:val="13"/>
          <w:color w:val="auto"/>
        </w:rPr>
        <w:t>Marc E. Binda</w:t>
      </w:r>
    </w:p>
    <w:p>
      <w:pPr>
        <w:ind w:left="4560"/>
        <w:spacing w:after="0" w:line="206" w:lineRule="auto"/>
        <w:rPr>
          <w:sz w:val="20"/>
          <w:szCs w:val="20"/>
          <w:color w:val="auto"/>
        </w:rPr>
      </w:pPr>
      <w:r>
        <w:rPr>
          <w:rFonts w:ascii="Arial" w:cs="Arial" w:eastAsia="Arial" w:hAnsi="Arial"/>
          <w:sz w:val="13"/>
          <w:szCs w:val="13"/>
          <w:color w:val="auto"/>
        </w:rPr>
        <w:t>Chief Financial Officer and Treasurer</w:t>
      </w:r>
    </w:p>
    <w:p>
      <w:pPr>
        <w:spacing w:after="0" w:line="1" w:lineRule="exact"/>
        <w:rPr>
          <w:sz w:val="20"/>
          <w:szCs w:val="20"/>
          <w:color w:val="auto"/>
        </w:rPr>
      </w:pPr>
    </w:p>
    <w:p>
      <w:pPr>
        <w:ind w:left="4560"/>
        <w:spacing w:after="0"/>
        <w:rPr>
          <w:sz w:val="20"/>
          <w:szCs w:val="20"/>
          <w:color w:val="auto"/>
        </w:rPr>
      </w:pPr>
      <w:r>
        <w:rPr>
          <w:rFonts w:ascii="Arial" w:cs="Arial" w:eastAsia="Arial" w:hAnsi="Arial"/>
          <w:sz w:val="13"/>
          <w:szCs w:val="13"/>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1"/>
          <w:szCs w:val="11"/>
          <w:color w:val="auto"/>
        </w:rPr>
        <w:t>115</w:t>
      </w:r>
    </w:p>
    <w:p>
      <w:pPr>
        <w:sectPr>
          <w:pgSz w:w="11900" w:h="16838" w:orient="portrait"/>
          <w:cols w:equalWidth="0" w:num="1">
            <w:col w:w="9019"/>
          </w:cols>
          <w:pgMar w:left="1440" w:top="311" w:right="1440" w:bottom="1440" w:gutter="0" w:footer="0" w:header="0"/>
        </w:sectPr>
      </w:pPr>
    </w:p>
    <w:bookmarkStart w:id="79" w:name="page80"/>
    <w:bookmarkEnd w:id="79"/>
    <w:p>
      <w:pPr>
        <w:jc w:val="right"/>
        <w:spacing w:after="0"/>
        <w:rPr>
          <w:sz w:val="20"/>
          <w:szCs w:val="20"/>
          <w:color w:val="auto"/>
        </w:rPr>
      </w:pPr>
      <w:r>
        <w:rPr>
          <w:rFonts w:ascii="Arial" w:cs="Arial" w:eastAsia="Arial" w:hAnsi="Arial"/>
          <w:sz w:val="14"/>
          <w:szCs w:val="14"/>
          <w:b w:val="1"/>
          <w:bCs w:val="1"/>
          <w:color w:val="auto"/>
        </w:rPr>
        <w:t>EXHIBIT 22.1</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List of Guarantor Subsidiaries of Alexandria Real Estate Equities, Inc.</w:t>
      </w:r>
    </w:p>
    <w:p>
      <w:pPr>
        <w:spacing w:after="0" w:line="208" w:lineRule="exact"/>
        <w:rPr>
          <w:sz w:val="20"/>
          <w:szCs w:val="20"/>
          <w:color w:val="auto"/>
        </w:rPr>
      </w:pPr>
    </w:p>
    <w:p>
      <w:pPr>
        <w:ind w:right="80" w:firstLine="515"/>
        <w:spacing w:after="0" w:line="257" w:lineRule="auto"/>
        <w:rPr>
          <w:sz w:val="20"/>
          <w:szCs w:val="20"/>
          <w:color w:val="auto"/>
        </w:rPr>
      </w:pPr>
      <w:r>
        <w:rPr>
          <w:rFonts w:ascii="Arial" w:cs="Arial" w:eastAsia="Arial" w:hAnsi="Arial"/>
          <w:sz w:val="13"/>
          <w:szCs w:val="13"/>
          <w:color w:val="auto"/>
        </w:rPr>
        <w:t>The following subsidiary was, as of June 30, 2024, a guarantor of the registrant's 3.45% Senior Notes due 2025, 4.30% Senior Notes due 2026, 3.80% Senior Notes due 2026, 3.95% Senior Notes due 2027, 3.95% Senior Notes due 2028, 4.50% Senior Notes due 2029, 2.75% Senior Notes due 2029, 4.70% Senior Notes due 2030, 4.90% Senior Notes due 2030, 3.375% Senior Notes due 2031, 2.00% Senior Notes due 2032, 1.875% Senior Notes due 2033, 2.95% Senior Notes due 2034, 4.75% Senior Notes due 2035, 5.25% Senior Notes due 2036, 4.85% Senior Notes due 2049, 4.00% Senior Notes due 2050, 3.00% Senior Notes due 2051, 3.55% Senior Notes due 2052, 5.15% Senior Notes due 2053, and 5.625% Senior Notes due 2054.</w:t>
      </w:r>
    </w:p>
    <w:p>
      <w:pPr>
        <w:spacing w:after="0" w:line="294" w:lineRule="exact"/>
        <w:rPr>
          <w:sz w:val="20"/>
          <w:szCs w:val="20"/>
          <w:color w:val="auto"/>
        </w:rPr>
      </w:pPr>
    </w:p>
    <w:tbl>
      <w:tblPr>
        <w:tblLayout w:type="fixed"/>
        <w:tblInd w:w="1280" w:type="dxa"/>
        <w:tblCellMar>
          <w:top w:w="0" w:type="dxa"/>
          <w:left w:w="0" w:type="dxa"/>
          <w:bottom w:w="0" w:type="dxa"/>
          <w:right w:w="0" w:type="dxa"/>
        </w:tblCellMar>
      </w:tblPr>
      <w:tr>
        <w:trPr>
          <w:trHeight w:val="170"/>
        </w:trPr>
        <w:tc>
          <w:tcPr>
            <w:tcW w:w="45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Name of Subsidiary</w:t>
            </w:r>
          </w:p>
        </w:tc>
        <w:tc>
          <w:tcPr>
            <w:tcW w:w="120" w:type="dxa"/>
            <w:vAlign w:val="bottom"/>
          </w:tcPr>
          <w:p>
            <w:pPr>
              <w:spacing w:after="0"/>
              <w:rPr>
                <w:sz w:val="14"/>
                <w:szCs w:val="14"/>
                <w:color w:val="auto"/>
              </w:rPr>
            </w:pPr>
          </w:p>
        </w:tc>
        <w:tc>
          <w:tcPr>
            <w:tcW w:w="40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Jurisdiction of Organization</w:t>
            </w:r>
          </w:p>
        </w:tc>
      </w:tr>
      <w:tr>
        <w:trPr>
          <w:trHeight w:val="161"/>
        </w:trPr>
        <w:tc>
          <w:tcPr>
            <w:tcW w:w="4620" w:type="dxa"/>
            <w:vAlign w:val="bottom"/>
            <w:gridSpan w:val="2"/>
          </w:tcPr>
          <w:p>
            <w:pPr>
              <w:ind w:left="20"/>
              <w:spacing w:after="0"/>
              <w:rPr>
                <w:sz w:val="20"/>
                <w:szCs w:val="20"/>
                <w:color w:val="auto"/>
              </w:rPr>
            </w:pPr>
            <w:r>
              <w:rPr>
                <w:rFonts w:ascii="Arial" w:cs="Arial" w:eastAsia="Arial" w:hAnsi="Arial"/>
                <w:sz w:val="13"/>
                <w:szCs w:val="13"/>
                <w:color w:val="auto"/>
              </w:rPr>
              <w:t>Alexandria Real Estate Equities, L.P.</w:t>
            </w:r>
          </w:p>
        </w:tc>
        <w:tc>
          <w:tcPr>
            <w:tcW w:w="4000" w:type="dxa"/>
            <w:vAlign w:val="bottom"/>
          </w:tcPr>
          <w:p>
            <w:pPr>
              <w:spacing w:after="0"/>
              <w:rPr>
                <w:sz w:val="20"/>
                <w:szCs w:val="20"/>
                <w:color w:val="auto"/>
              </w:rPr>
            </w:pPr>
            <w:r>
              <w:rPr>
                <w:rFonts w:ascii="Arial" w:cs="Arial" w:eastAsia="Arial" w:hAnsi="Arial"/>
                <w:sz w:val="13"/>
                <w:szCs w:val="13"/>
                <w:color w:val="auto"/>
              </w:rPr>
              <w:t>Delaware</w:t>
            </w:r>
          </w:p>
        </w:tc>
      </w:tr>
    </w:tbl>
    <w:p>
      <w:pPr>
        <w:sectPr>
          <w:pgSz w:w="11900" w:h="16838" w:orient="portrait"/>
          <w:cols w:equalWidth="0" w:num="1">
            <w:col w:w="11280"/>
          </w:cols>
          <w:pgMar w:left="300" w:top="737" w:right="319" w:bottom="1440" w:gutter="0" w:footer="0" w:header="0"/>
        </w:sectPr>
      </w:pPr>
    </w:p>
    <w:bookmarkStart w:id="80" w:name="page81"/>
    <w:bookmarkEnd w:id="80"/>
    <w:p>
      <w:pPr>
        <w:jc w:val="right"/>
        <w:spacing w:after="0"/>
        <w:rPr>
          <w:sz w:val="20"/>
          <w:szCs w:val="20"/>
          <w:color w:val="auto"/>
        </w:rPr>
      </w:pPr>
      <w:r>
        <w:rPr>
          <w:rFonts w:ascii="Arial" w:cs="Arial" w:eastAsia="Arial" w:hAnsi="Arial"/>
          <w:sz w:val="14"/>
          <w:szCs w:val="14"/>
          <w:b w:val="1"/>
          <w:bCs w:val="1"/>
          <w:color w:val="auto"/>
        </w:rPr>
        <w:t>EXHIBIT 31.1</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OF PRINCIPAL EXECUTIVE OFFICER</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PURSUANT TO</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SECTION 302 OF THE SARBANES-OXLEY ACT OF 2002</w:t>
      </w:r>
    </w:p>
    <w:p>
      <w:pPr>
        <w:spacing w:after="0" w:line="187" w:lineRule="exact"/>
        <w:rPr>
          <w:sz w:val="20"/>
          <w:szCs w:val="20"/>
          <w:color w:val="auto"/>
        </w:rPr>
      </w:pPr>
    </w:p>
    <w:p>
      <w:pPr>
        <w:spacing w:after="0"/>
        <w:rPr>
          <w:sz w:val="20"/>
          <w:szCs w:val="20"/>
          <w:color w:val="auto"/>
        </w:rPr>
      </w:pPr>
      <w:r>
        <w:rPr>
          <w:rFonts w:ascii="Arial" w:cs="Arial" w:eastAsia="Arial" w:hAnsi="Arial"/>
          <w:sz w:val="13"/>
          <w:szCs w:val="13"/>
          <w:color w:val="auto"/>
        </w:rPr>
        <w:t>I, Joel S. Marcus, certify that:</w:t>
      </w:r>
    </w:p>
    <w:p>
      <w:pPr>
        <w:spacing w:after="0" w:line="162" w:lineRule="exact"/>
        <w:rPr>
          <w:sz w:val="20"/>
          <w:szCs w:val="20"/>
          <w:color w:val="auto"/>
        </w:rPr>
      </w:pPr>
    </w:p>
    <w:p>
      <w:pPr>
        <w:ind w:left="260" w:hanging="254"/>
        <w:spacing w:after="0"/>
        <w:tabs>
          <w:tab w:leader="none" w:pos="260" w:val="left"/>
        </w:tabs>
        <w:numPr>
          <w:ilvl w:val="0"/>
          <w:numId w:val="122"/>
        </w:numPr>
        <w:rPr>
          <w:rFonts w:ascii="Arial" w:cs="Arial" w:eastAsia="Arial" w:hAnsi="Arial"/>
          <w:sz w:val="13"/>
          <w:szCs w:val="13"/>
          <w:color w:val="auto"/>
        </w:rPr>
      </w:pPr>
      <w:r>
        <w:rPr>
          <w:rFonts w:ascii="Arial" w:cs="Arial" w:eastAsia="Arial" w:hAnsi="Arial"/>
          <w:sz w:val="13"/>
          <w:szCs w:val="13"/>
          <w:color w:val="auto"/>
        </w:rPr>
        <w:t>I have reviewed this Quarterly Report on Form 10-Q of Alexandria Real Estate Equities, Inc.;</w:t>
      </w:r>
    </w:p>
    <w:p>
      <w:pPr>
        <w:spacing w:after="0" w:line="161" w:lineRule="exact"/>
        <w:rPr>
          <w:rFonts w:ascii="Arial" w:cs="Arial" w:eastAsia="Arial" w:hAnsi="Arial"/>
          <w:sz w:val="13"/>
          <w:szCs w:val="13"/>
          <w:color w:val="auto"/>
        </w:rPr>
      </w:pPr>
    </w:p>
    <w:p>
      <w:pPr>
        <w:ind w:left="260" w:hanging="254"/>
        <w:spacing w:after="0" w:line="272" w:lineRule="auto"/>
        <w:tabs>
          <w:tab w:leader="none" w:pos="253" w:val="left"/>
        </w:tabs>
        <w:numPr>
          <w:ilvl w:val="0"/>
          <w:numId w:val="122"/>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3"/>
          <w:szCs w:val="13"/>
          <w:color w:val="auto"/>
        </w:rPr>
      </w:pPr>
    </w:p>
    <w:p>
      <w:pPr>
        <w:ind w:left="260" w:right="220" w:hanging="254"/>
        <w:spacing w:after="0" w:line="272" w:lineRule="auto"/>
        <w:tabs>
          <w:tab w:leader="none" w:pos="253" w:val="left"/>
        </w:tabs>
        <w:numPr>
          <w:ilvl w:val="0"/>
          <w:numId w:val="122"/>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3"/>
          <w:szCs w:val="13"/>
          <w:color w:val="auto"/>
        </w:rPr>
      </w:pPr>
    </w:p>
    <w:p>
      <w:pPr>
        <w:ind w:left="260" w:right="200" w:hanging="254"/>
        <w:spacing w:after="0" w:line="272" w:lineRule="auto"/>
        <w:tabs>
          <w:tab w:leader="none" w:pos="251" w:val="left"/>
        </w:tabs>
        <w:numPr>
          <w:ilvl w:val="0"/>
          <w:numId w:val="122"/>
        </w:numPr>
        <w:rPr>
          <w:rFonts w:ascii="Arial" w:cs="Arial" w:eastAsia="Arial" w:hAnsi="Arial"/>
          <w:sz w:val="13"/>
          <w:szCs w:val="13"/>
          <w:color w:val="auto"/>
        </w:rPr>
      </w:pPr>
      <w:r>
        <w:rPr>
          <w:rFonts w:ascii="Arial" w:cs="Arial" w:eastAsia="Arial" w:hAnsi="Arial"/>
          <w:sz w:val="13"/>
          <w:szCs w:val="13"/>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Arial" w:cs="Arial" w:eastAsia="Arial" w:hAnsi="Arial"/>
          <w:sz w:val="13"/>
          <w:szCs w:val="13"/>
          <w:color w:val="auto"/>
        </w:rPr>
      </w:pPr>
    </w:p>
    <w:p>
      <w:pPr>
        <w:ind w:left="520" w:right="120" w:hanging="256"/>
        <w:spacing w:after="0" w:line="272" w:lineRule="auto"/>
        <w:tabs>
          <w:tab w:leader="none" w:pos="513" w:val="left"/>
        </w:tabs>
        <w:numPr>
          <w:ilvl w:val="1"/>
          <w:numId w:val="122"/>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Arial" w:cs="Arial" w:eastAsia="Arial" w:hAnsi="Arial"/>
          <w:sz w:val="13"/>
          <w:szCs w:val="13"/>
          <w:color w:val="auto"/>
        </w:rPr>
      </w:pPr>
    </w:p>
    <w:p>
      <w:pPr>
        <w:ind w:left="520" w:right="420" w:hanging="256"/>
        <w:spacing w:after="0" w:line="333" w:lineRule="auto"/>
        <w:tabs>
          <w:tab w:leader="none" w:pos="513" w:val="left"/>
        </w:tabs>
        <w:numPr>
          <w:ilvl w:val="1"/>
          <w:numId w:val="122"/>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8" w:lineRule="exact"/>
        <w:rPr>
          <w:rFonts w:ascii="Arial" w:cs="Arial" w:eastAsia="Arial" w:hAnsi="Arial"/>
          <w:sz w:val="12"/>
          <w:szCs w:val="12"/>
          <w:color w:val="auto"/>
        </w:rPr>
      </w:pPr>
    </w:p>
    <w:p>
      <w:pPr>
        <w:ind w:left="520" w:right="540" w:hanging="256"/>
        <w:spacing w:after="0" w:line="289" w:lineRule="auto"/>
        <w:tabs>
          <w:tab w:leader="none" w:pos="506" w:val="left"/>
        </w:tabs>
        <w:numPr>
          <w:ilvl w:val="1"/>
          <w:numId w:val="122"/>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2" w:lineRule="exact"/>
        <w:rPr>
          <w:rFonts w:ascii="Arial" w:cs="Arial" w:eastAsia="Arial" w:hAnsi="Arial"/>
          <w:sz w:val="13"/>
          <w:szCs w:val="13"/>
          <w:color w:val="auto"/>
        </w:rPr>
      </w:pPr>
    </w:p>
    <w:p>
      <w:pPr>
        <w:ind w:left="520" w:right="360" w:hanging="256"/>
        <w:spacing w:after="0" w:line="272" w:lineRule="auto"/>
        <w:tabs>
          <w:tab w:leader="none" w:pos="513" w:val="left"/>
        </w:tabs>
        <w:numPr>
          <w:ilvl w:val="1"/>
          <w:numId w:val="122"/>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Arial" w:cs="Arial" w:eastAsia="Arial" w:hAnsi="Arial"/>
          <w:sz w:val="13"/>
          <w:szCs w:val="13"/>
          <w:color w:val="auto"/>
        </w:rPr>
      </w:pPr>
    </w:p>
    <w:p>
      <w:pPr>
        <w:ind w:left="260" w:right="120" w:hanging="254"/>
        <w:spacing w:after="0" w:line="272" w:lineRule="auto"/>
        <w:tabs>
          <w:tab w:leader="none" w:pos="251" w:val="left"/>
        </w:tabs>
        <w:numPr>
          <w:ilvl w:val="0"/>
          <w:numId w:val="122"/>
        </w:numPr>
        <w:rPr>
          <w:rFonts w:ascii="Arial" w:cs="Arial" w:eastAsia="Arial" w:hAnsi="Arial"/>
          <w:sz w:val="13"/>
          <w:szCs w:val="13"/>
          <w:color w:val="auto"/>
        </w:rPr>
      </w:pPr>
      <w:r>
        <w:rPr>
          <w:rFonts w:ascii="Arial" w:cs="Arial" w:eastAsia="Arial" w:hAnsi="Arial"/>
          <w:sz w:val="13"/>
          <w:szCs w:val="13"/>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Arial" w:cs="Arial" w:eastAsia="Arial" w:hAnsi="Arial"/>
          <w:sz w:val="13"/>
          <w:szCs w:val="13"/>
          <w:color w:val="auto"/>
        </w:rPr>
      </w:pPr>
    </w:p>
    <w:p>
      <w:pPr>
        <w:ind w:left="520" w:right="60" w:hanging="256"/>
        <w:spacing w:after="0" w:line="272" w:lineRule="auto"/>
        <w:tabs>
          <w:tab w:leader="none" w:pos="506" w:val="left"/>
        </w:tabs>
        <w:numPr>
          <w:ilvl w:val="1"/>
          <w:numId w:val="122"/>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Arial" w:cs="Arial" w:eastAsia="Arial" w:hAnsi="Arial"/>
          <w:sz w:val="13"/>
          <w:szCs w:val="13"/>
          <w:color w:val="auto"/>
        </w:rPr>
      </w:pPr>
    </w:p>
    <w:p>
      <w:pPr>
        <w:ind w:left="500" w:hanging="236"/>
        <w:spacing w:after="0"/>
        <w:tabs>
          <w:tab w:leader="none" w:pos="500" w:val="left"/>
        </w:tabs>
        <w:numPr>
          <w:ilvl w:val="1"/>
          <w:numId w:val="122"/>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Arial" w:cs="Arial" w:eastAsia="Arial" w:hAnsi="Arial"/>
          <w:sz w:val="13"/>
          <w:szCs w:val="13"/>
          <w:color w:val="auto"/>
        </w:rPr>
        <w:t>Date: July 22, 2024</w:t>
      </w:r>
    </w:p>
    <w:p>
      <w:pPr>
        <w:spacing w:after="0" w:line="194"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/s/ Joel S. Marcus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3570605</wp:posOffset>
            </wp:positionH>
            <wp:positionV relativeFrom="paragraph">
              <wp:posOffset>13970</wp:posOffset>
            </wp:positionV>
            <wp:extent cx="3566795" cy="698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3">
                      <a:extLst>
                        <a:ext uri="{28A0092B-C50C-407E-A947-70E740481C1C}"/>
                      </a:extLst>
                    </a:blip>
                    <a:srcRect/>
                    <a:stretch>
                      <a:fillRect/>
                    </a:stretch>
                  </pic:blipFill>
                  <pic:spPr bwMode="auto">
                    <a:xfrm>
                      <a:off x="0" y="0"/>
                      <a:ext cx="3566795" cy="6985"/>
                    </a:xfrm>
                    <a:prstGeom prst="rect">
                      <a:avLst/>
                    </a:prstGeom>
                    <a:noFill/>
                  </pic:spPr>
                </pic:pic>
              </a:graphicData>
            </a:graphic>
          </wp:anchor>
        </w:drawing>
      </w:r>
    </w:p>
    <w:p>
      <w:pPr>
        <w:spacing w:after="0" w:line="13"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Joel S. Marcus</w:t>
      </w:r>
    </w:p>
    <w:p>
      <w:pPr>
        <w:spacing w:after="0" w:line="22"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Executive Chairman</w:t>
      </w:r>
    </w:p>
    <w:p>
      <w:pPr>
        <w:sectPr>
          <w:pgSz w:w="11900" w:h="16838" w:orient="portrait"/>
          <w:cols w:equalWidth="0" w:num="1">
            <w:col w:w="11280"/>
          </w:cols>
          <w:pgMar w:left="300" w:top="737" w:right="319" w:bottom="1440" w:gutter="0" w:footer="0" w:header="0"/>
        </w:sectPr>
      </w:pPr>
    </w:p>
    <w:bookmarkStart w:id="81" w:name="page82"/>
    <w:bookmarkEnd w:id="81"/>
    <w:p>
      <w:pPr>
        <w:jc w:val="right"/>
        <w:spacing w:after="0"/>
        <w:rPr>
          <w:sz w:val="20"/>
          <w:szCs w:val="20"/>
          <w:color w:val="auto"/>
        </w:rPr>
      </w:pPr>
      <w:r>
        <w:rPr>
          <w:rFonts w:ascii="Arial" w:cs="Arial" w:eastAsia="Arial" w:hAnsi="Arial"/>
          <w:sz w:val="14"/>
          <w:szCs w:val="14"/>
          <w:b w:val="1"/>
          <w:bCs w:val="1"/>
          <w:color w:val="auto"/>
        </w:rPr>
        <w:t>EXHIBIT 31.2</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OF PRINCIPAL EXECUTIVE OFFICER</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PURSUANT TO</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SECTION 302 OF THE SARBANES-OXLEY ACT OF 2002</w:t>
      </w:r>
    </w:p>
    <w:p>
      <w:pPr>
        <w:spacing w:after="0" w:line="187" w:lineRule="exact"/>
        <w:rPr>
          <w:sz w:val="20"/>
          <w:szCs w:val="20"/>
          <w:color w:val="auto"/>
        </w:rPr>
      </w:pPr>
    </w:p>
    <w:p>
      <w:pPr>
        <w:spacing w:after="0"/>
        <w:rPr>
          <w:sz w:val="20"/>
          <w:szCs w:val="20"/>
          <w:color w:val="auto"/>
        </w:rPr>
      </w:pPr>
      <w:r>
        <w:rPr>
          <w:rFonts w:ascii="Arial" w:cs="Arial" w:eastAsia="Arial" w:hAnsi="Arial"/>
          <w:sz w:val="13"/>
          <w:szCs w:val="13"/>
          <w:color w:val="auto"/>
        </w:rPr>
        <w:t>I, Peter M. Moglia, certify that:</w:t>
      </w:r>
    </w:p>
    <w:p>
      <w:pPr>
        <w:spacing w:after="0" w:line="162" w:lineRule="exact"/>
        <w:rPr>
          <w:sz w:val="20"/>
          <w:szCs w:val="20"/>
          <w:color w:val="auto"/>
        </w:rPr>
      </w:pPr>
    </w:p>
    <w:p>
      <w:pPr>
        <w:ind w:left="260" w:hanging="254"/>
        <w:spacing w:after="0"/>
        <w:tabs>
          <w:tab w:leader="none" w:pos="260" w:val="left"/>
        </w:tabs>
        <w:numPr>
          <w:ilvl w:val="0"/>
          <w:numId w:val="123"/>
        </w:numPr>
        <w:rPr>
          <w:rFonts w:ascii="Arial" w:cs="Arial" w:eastAsia="Arial" w:hAnsi="Arial"/>
          <w:sz w:val="13"/>
          <w:szCs w:val="13"/>
          <w:color w:val="auto"/>
        </w:rPr>
      </w:pPr>
      <w:r>
        <w:rPr>
          <w:rFonts w:ascii="Arial" w:cs="Arial" w:eastAsia="Arial" w:hAnsi="Arial"/>
          <w:sz w:val="13"/>
          <w:szCs w:val="13"/>
          <w:color w:val="auto"/>
        </w:rPr>
        <w:t>I have reviewed this Quarterly Report on Form 10-Q of Alexandria Real Estate Equities, Inc.;</w:t>
      </w:r>
    </w:p>
    <w:p>
      <w:pPr>
        <w:spacing w:after="0" w:line="161" w:lineRule="exact"/>
        <w:rPr>
          <w:rFonts w:ascii="Arial" w:cs="Arial" w:eastAsia="Arial" w:hAnsi="Arial"/>
          <w:sz w:val="13"/>
          <w:szCs w:val="13"/>
          <w:color w:val="auto"/>
        </w:rPr>
      </w:pPr>
    </w:p>
    <w:p>
      <w:pPr>
        <w:ind w:left="260" w:hanging="254"/>
        <w:spacing w:after="0" w:line="272" w:lineRule="auto"/>
        <w:tabs>
          <w:tab w:leader="none" w:pos="253" w:val="left"/>
        </w:tabs>
        <w:numPr>
          <w:ilvl w:val="0"/>
          <w:numId w:val="123"/>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3"/>
          <w:szCs w:val="13"/>
          <w:color w:val="auto"/>
        </w:rPr>
      </w:pPr>
    </w:p>
    <w:p>
      <w:pPr>
        <w:ind w:left="260" w:right="220" w:hanging="254"/>
        <w:spacing w:after="0" w:line="272" w:lineRule="auto"/>
        <w:tabs>
          <w:tab w:leader="none" w:pos="253" w:val="left"/>
        </w:tabs>
        <w:numPr>
          <w:ilvl w:val="0"/>
          <w:numId w:val="123"/>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3"/>
          <w:szCs w:val="13"/>
          <w:color w:val="auto"/>
        </w:rPr>
      </w:pPr>
    </w:p>
    <w:p>
      <w:pPr>
        <w:ind w:left="260" w:right="200" w:hanging="254"/>
        <w:spacing w:after="0" w:line="272" w:lineRule="auto"/>
        <w:tabs>
          <w:tab w:leader="none" w:pos="251" w:val="left"/>
        </w:tabs>
        <w:numPr>
          <w:ilvl w:val="0"/>
          <w:numId w:val="123"/>
        </w:numPr>
        <w:rPr>
          <w:rFonts w:ascii="Arial" w:cs="Arial" w:eastAsia="Arial" w:hAnsi="Arial"/>
          <w:sz w:val="13"/>
          <w:szCs w:val="13"/>
          <w:color w:val="auto"/>
        </w:rPr>
      </w:pPr>
      <w:r>
        <w:rPr>
          <w:rFonts w:ascii="Arial" w:cs="Arial" w:eastAsia="Arial" w:hAnsi="Arial"/>
          <w:sz w:val="13"/>
          <w:szCs w:val="13"/>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Arial" w:cs="Arial" w:eastAsia="Arial" w:hAnsi="Arial"/>
          <w:sz w:val="13"/>
          <w:szCs w:val="13"/>
          <w:color w:val="auto"/>
        </w:rPr>
      </w:pPr>
    </w:p>
    <w:p>
      <w:pPr>
        <w:ind w:left="520" w:right="120" w:hanging="256"/>
        <w:spacing w:after="0" w:line="272" w:lineRule="auto"/>
        <w:tabs>
          <w:tab w:leader="none" w:pos="513" w:val="left"/>
        </w:tabs>
        <w:numPr>
          <w:ilvl w:val="1"/>
          <w:numId w:val="123"/>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Arial" w:cs="Arial" w:eastAsia="Arial" w:hAnsi="Arial"/>
          <w:sz w:val="13"/>
          <w:szCs w:val="13"/>
          <w:color w:val="auto"/>
        </w:rPr>
      </w:pPr>
    </w:p>
    <w:p>
      <w:pPr>
        <w:ind w:left="520" w:right="420" w:hanging="256"/>
        <w:spacing w:after="0" w:line="333" w:lineRule="auto"/>
        <w:tabs>
          <w:tab w:leader="none" w:pos="513" w:val="left"/>
        </w:tabs>
        <w:numPr>
          <w:ilvl w:val="1"/>
          <w:numId w:val="123"/>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8" w:lineRule="exact"/>
        <w:rPr>
          <w:rFonts w:ascii="Arial" w:cs="Arial" w:eastAsia="Arial" w:hAnsi="Arial"/>
          <w:sz w:val="12"/>
          <w:szCs w:val="12"/>
          <w:color w:val="auto"/>
        </w:rPr>
      </w:pPr>
    </w:p>
    <w:p>
      <w:pPr>
        <w:ind w:left="520" w:right="540" w:hanging="256"/>
        <w:spacing w:after="0" w:line="289" w:lineRule="auto"/>
        <w:tabs>
          <w:tab w:leader="none" w:pos="506" w:val="left"/>
        </w:tabs>
        <w:numPr>
          <w:ilvl w:val="1"/>
          <w:numId w:val="123"/>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2" w:lineRule="exact"/>
        <w:rPr>
          <w:rFonts w:ascii="Arial" w:cs="Arial" w:eastAsia="Arial" w:hAnsi="Arial"/>
          <w:sz w:val="13"/>
          <w:szCs w:val="13"/>
          <w:color w:val="auto"/>
        </w:rPr>
      </w:pPr>
    </w:p>
    <w:p>
      <w:pPr>
        <w:ind w:left="520" w:right="360" w:hanging="256"/>
        <w:spacing w:after="0" w:line="272" w:lineRule="auto"/>
        <w:tabs>
          <w:tab w:leader="none" w:pos="513" w:val="left"/>
        </w:tabs>
        <w:numPr>
          <w:ilvl w:val="1"/>
          <w:numId w:val="123"/>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Arial" w:cs="Arial" w:eastAsia="Arial" w:hAnsi="Arial"/>
          <w:sz w:val="13"/>
          <w:szCs w:val="13"/>
          <w:color w:val="auto"/>
        </w:rPr>
      </w:pPr>
    </w:p>
    <w:p>
      <w:pPr>
        <w:ind w:left="260" w:right="120" w:hanging="254"/>
        <w:spacing w:after="0" w:line="272" w:lineRule="auto"/>
        <w:tabs>
          <w:tab w:leader="none" w:pos="251" w:val="left"/>
        </w:tabs>
        <w:numPr>
          <w:ilvl w:val="0"/>
          <w:numId w:val="123"/>
        </w:numPr>
        <w:rPr>
          <w:rFonts w:ascii="Arial" w:cs="Arial" w:eastAsia="Arial" w:hAnsi="Arial"/>
          <w:sz w:val="13"/>
          <w:szCs w:val="13"/>
          <w:color w:val="auto"/>
        </w:rPr>
      </w:pPr>
      <w:r>
        <w:rPr>
          <w:rFonts w:ascii="Arial" w:cs="Arial" w:eastAsia="Arial" w:hAnsi="Arial"/>
          <w:sz w:val="13"/>
          <w:szCs w:val="13"/>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Arial" w:cs="Arial" w:eastAsia="Arial" w:hAnsi="Arial"/>
          <w:sz w:val="13"/>
          <w:szCs w:val="13"/>
          <w:color w:val="auto"/>
        </w:rPr>
      </w:pPr>
    </w:p>
    <w:p>
      <w:pPr>
        <w:ind w:left="520" w:right="60" w:hanging="256"/>
        <w:spacing w:after="0" w:line="272" w:lineRule="auto"/>
        <w:tabs>
          <w:tab w:leader="none" w:pos="506" w:val="left"/>
        </w:tabs>
        <w:numPr>
          <w:ilvl w:val="1"/>
          <w:numId w:val="123"/>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Arial" w:cs="Arial" w:eastAsia="Arial" w:hAnsi="Arial"/>
          <w:sz w:val="13"/>
          <w:szCs w:val="13"/>
          <w:color w:val="auto"/>
        </w:rPr>
      </w:pPr>
    </w:p>
    <w:p>
      <w:pPr>
        <w:ind w:left="500" w:hanging="236"/>
        <w:spacing w:after="0"/>
        <w:tabs>
          <w:tab w:leader="none" w:pos="500" w:val="left"/>
        </w:tabs>
        <w:numPr>
          <w:ilvl w:val="1"/>
          <w:numId w:val="123"/>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Arial" w:cs="Arial" w:eastAsia="Arial" w:hAnsi="Arial"/>
          <w:sz w:val="13"/>
          <w:szCs w:val="13"/>
          <w:color w:val="auto"/>
        </w:rPr>
        <w:t>Date: July 22, 2024</w:t>
      </w:r>
    </w:p>
    <w:p>
      <w:pPr>
        <w:spacing w:after="0" w:line="194"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/s/ Peter M. Moglia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3570605</wp:posOffset>
            </wp:positionH>
            <wp:positionV relativeFrom="paragraph">
              <wp:posOffset>13970</wp:posOffset>
            </wp:positionV>
            <wp:extent cx="3566795" cy="698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4">
                      <a:extLst>
                        <a:ext uri="{28A0092B-C50C-407E-A947-70E740481C1C}"/>
                      </a:extLst>
                    </a:blip>
                    <a:srcRect/>
                    <a:stretch>
                      <a:fillRect/>
                    </a:stretch>
                  </pic:blipFill>
                  <pic:spPr bwMode="auto">
                    <a:xfrm>
                      <a:off x="0" y="0"/>
                      <a:ext cx="3566795" cy="6985"/>
                    </a:xfrm>
                    <a:prstGeom prst="rect">
                      <a:avLst/>
                    </a:prstGeom>
                    <a:noFill/>
                  </pic:spPr>
                </pic:pic>
              </a:graphicData>
            </a:graphic>
          </wp:anchor>
        </w:drawing>
      </w:r>
    </w:p>
    <w:p>
      <w:pPr>
        <w:spacing w:after="0" w:line="13"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Peter M. Moglia</w:t>
      </w:r>
    </w:p>
    <w:p>
      <w:pPr>
        <w:spacing w:after="0" w:line="22"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Chief Executive Officer and Chief Investment Officer</w:t>
      </w:r>
    </w:p>
    <w:p>
      <w:pPr>
        <w:sectPr>
          <w:pgSz w:w="11900" w:h="16838" w:orient="portrait"/>
          <w:cols w:equalWidth="0" w:num="1">
            <w:col w:w="11280"/>
          </w:cols>
          <w:pgMar w:left="300" w:top="737" w:right="319" w:bottom="1440" w:gutter="0" w:footer="0" w:header="0"/>
        </w:sectPr>
      </w:pPr>
    </w:p>
    <w:bookmarkStart w:id="82" w:name="page83"/>
    <w:bookmarkEnd w:id="82"/>
    <w:p>
      <w:pPr>
        <w:jc w:val="right"/>
        <w:spacing w:after="0"/>
        <w:rPr>
          <w:sz w:val="20"/>
          <w:szCs w:val="20"/>
          <w:color w:val="auto"/>
        </w:rPr>
      </w:pPr>
      <w:r>
        <w:rPr>
          <w:rFonts w:ascii="Arial" w:cs="Arial" w:eastAsia="Arial" w:hAnsi="Arial"/>
          <w:sz w:val="14"/>
          <w:szCs w:val="14"/>
          <w:b w:val="1"/>
          <w:bCs w:val="1"/>
          <w:color w:val="auto"/>
        </w:rPr>
        <w:t>EXHIBIT 31.3</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OF PRINCIPAL FINANCIAL OFFICER</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PURSUANT TO</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SECTION 302 OF THE SARBANES-OXLEY ACT OF 2002</w:t>
      </w:r>
    </w:p>
    <w:p>
      <w:pPr>
        <w:spacing w:after="0" w:line="187" w:lineRule="exact"/>
        <w:rPr>
          <w:sz w:val="20"/>
          <w:szCs w:val="20"/>
          <w:color w:val="auto"/>
        </w:rPr>
      </w:pPr>
    </w:p>
    <w:p>
      <w:pPr>
        <w:spacing w:after="0"/>
        <w:rPr>
          <w:sz w:val="20"/>
          <w:szCs w:val="20"/>
          <w:color w:val="auto"/>
        </w:rPr>
      </w:pPr>
      <w:r>
        <w:rPr>
          <w:rFonts w:ascii="Arial" w:cs="Arial" w:eastAsia="Arial" w:hAnsi="Arial"/>
          <w:sz w:val="13"/>
          <w:szCs w:val="13"/>
          <w:color w:val="auto"/>
        </w:rPr>
        <w:t>I, Marc E. Binda, certify that:</w:t>
      </w:r>
    </w:p>
    <w:p>
      <w:pPr>
        <w:spacing w:after="0" w:line="162" w:lineRule="exact"/>
        <w:rPr>
          <w:sz w:val="20"/>
          <w:szCs w:val="20"/>
          <w:color w:val="auto"/>
        </w:rPr>
      </w:pPr>
    </w:p>
    <w:p>
      <w:pPr>
        <w:ind w:left="260" w:hanging="254"/>
        <w:spacing w:after="0"/>
        <w:tabs>
          <w:tab w:leader="none" w:pos="260" w:val="left"/>
        </w:tabs>
        <w:numPr>
          <w:ilvl w:val="0"/>
          <w:numId w:val="124"/>
        </w:numPr>
        <w:rPr>
          <w:rFonts w:ascii="Arial" w:cs="Arial" w:eastAsia="Arial" w:hAnsi="Arial"/>
          <w:sz w:val="13"/>
          <w:szCs w:val="13"/>
          <w:color w:val="auto"/>
        </w:rPr>
      </w:pPr>
      <w:r>
        <w:rPr>
          <w:rFonts w:ascii="Arial" w:cs="Arial" w:eastAsia="Arial" w:hAnsi="Arial"/>
          <w:sz w:val="13"/>
          <w:szCs w:val="13"/>
          <w:color w:val="auto"/>
        </w:rPr>
        <w:t>I have reviewed this Quarterly Report on Form 10-Q of Alexandria Real Estate Equities, Inc.;</w:t>
      </w:r>
    </w:p>
    <w:p>
      <w:pPr>
        <w:spacing w:after="0" w:line="161" w:lineRule="exact"/>
        <w:rPr>
          <w:rFonts w:ascii="Arial" w:cs="Arial" w:eastAsia="Arial" w:hAnsi="Arial"/>
          <w:sz w:val="13"/>
          <w:szCs w:val="13"/>
          <w:color w:val="auto"/>
        </w:rPr>
      </w:pPr>
    </w:p>
    <w:p>
      <w:pPr>
        <w:ind w:left="260" w:hanging="254"/>
        <w:spacing w:after="0" w:line="272" w:lineRule="auto"/>
        <w:tabs>
          <w:tab w:leader="none" w:pos="253" w:val="left"/>
        </w:tabs>
        <w:numPr>
          <w:ilvl w:val="0"/>
          <w:numId w:val="124"/>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3"/>
          <w:szCs w:val="13"/>
          <w:color w:val="auto"/>
        </w:rPr>
      </w:pPr>
    </w:p>
    <w:p>
      <w:pPr>
        <w:ind w:left="260" w:right="220" w:hanging="254"/>
        <w:spacing w:after="0" w:line="272" w:lineRule="auto"/>
        <w:tabs>
          <w:tab w:leader="none" w:pos="253" w:val="left"/>
        </w:tabs>
        <w:numPr>
          <w:ilvl w:val="0"/>
          <w:numId w:val="124"/>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3"/>
          <w:szCs w:val="13"/>
          <w:color w:val="auto"/>
        </w:rPr>
      </w:pPr>
    </w:p>
    <w:p>
      <w:pPr>
        <w:ind w:left="260" w:right="200" w:hanging="254"/>
        <w:spacing w:after="0" w:line="272" w:lineRule="auto"/>
        <w:tabs>
          <w:tab w:leader="none" w:pos="251" w:val="left"/>
        </w:tabs>
        <w:numPr>
          <w:ilvl w:val="0"/>
          <w:numId w:val="124"/>
        </w:numPr>
        <w:rPr>
          <w:rFonts w:ascii="Arial" w:cs="Arial" w:eastAsia="Arial" w:hAnsi="Arial"/>
          <w:sz w:val="13"/>
          <w:szCs w:val="13"/>
          <w:color w:val="auto"/>
        </w:rPr>
      </w:pPr>
      <w:r>
        <w:rPr>
          <w:rFonts w:ascii="Arial" w:cs="Arial" w:eastAsia="Arial" w:hAnsi="Arial"/>
          <w:sz w:val="13"/>
          <w:szCs w:val="13"/>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Arial" w:cs="Arial" w:eastAsia="Arial" w:hAnsi="Arial"/>
          <w:sz w:val="13"/>
          <w:szCs w:val="13"/>
          <w:color w:val="auto"/>
        </w:rPr>
      </w:pPr>
    </w:p>
    <w:p>
      <w:pPr>
        <w:ind w:left="520" w:right="120" w:hanging="256"/>
        <w:spacing w:after="0" w:line="272" w:lineRule="auto"/>
        <w:tabs>
          <w:tab w:leader="none" w:pos="513" w:val="left"/>
        </w:tabs>
        <w:numPr>
          <w:ilvl w:val="1"/>
          <w:numId w:val="124"/>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Arial" w:cs="Arial" w:eastAsia="Arial" w:hAnsi="Arial"/>
          <w:sz w:val="13"/>
          <w:szCs w:val="13"/>
          <w:color w:val="auto"/>
        </w:rPr>
      </w:pPr>
    </w:p>
    <w:p>
      <w:pPr>
        <w:ind w:left="520" w:right="420" w:hanging="256"/>
        <w:spacing w:after="0" w:line="333" w:lineRule="auto"/>
        <w:tabs>
          <w:tab w:leader="none" w:pos="513" w:val="left"/>
        </w:tabs>
        <w:numPr>
          <w:ilvl w:val="1"/>
          <w:numId w:val="124"/>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8" w:lineRule="exact"/>
        <w:rPr>
          <w:rFonts w:ascii="Arial" w:cs="Arial" w:eastAsia="Arial" w:hAnsi="Arial"/>
          <w:sz w:val="12"/>
          <w:szCs w:val="12"/>
          <w:color w:val="auto"/>
        </w:rPr>
      </w:pPr>
    </w:p>
    <w:p>
      <w:pPr>
        <w:ind w:left="520" w:right="540" w:hanging="256"/>
        <w:spacing w:after="0" w:line="289" w:lineRule="auto"/>
        <w:tabs>
          <w:tab w:leader="none" w:pos="506" w:val="left"/>
        </w:tabs>
        <w:numPr>
          <w:ilvl w:val="1"/>
          <w:numId w:val="124"/>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2" w:lineRule="exact"/>
        <w:rPr>
          <w:rFonts w:ascii="Arial" w:cs="Arial" w:eastAsia="Arial" w:hAnsi="Arial"/>
          <w:sz w:val="13"/>
          <w:szCs w:val="13"/>
          <w:color w:val="auto"/>
        </w:rPr>
      </w:pPr>
    </w:p>
    <w:p>
      <w:pPr>
        <w:ind w:left="520" w:right="360" w:hanging="256"/>
        <w:spacing w:after="0" w:line="272" w:lineRule="auto"/>
        <w:tabs>
          <w:tab w:leader="none" w:pos="513" w:val="left"/>
        </w:tabs>
        <w:numPr>
          <w:ilvl w:val="1"/>
          <w:numId w:val="124"/>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Arial" w:cs="Arial" w:eastAsia="Arial" w:hAnsi="Arial"/>
          <w:sz w:val="13"/>
          <w:szCs w:val="13"/>
          <w:color w:val="auto"/>
        </w:rPr>
      </w:pPr>
    </w:p>
    <w:p>
      <w:pPr>
        <w:ind w:left="260" w:right="120" w:hanging="254"/>
        <w:spacing w:after="0" w:line="272" w:lineRule="auto"/>
        <w:tabs>
          <w:tab w:leader="none" w:pos="251" w:val="left"/>
        </w:tabs>
        <w:numPr>
          <w:ilvl w:val="0"/>
          <w:numId w:val="124"/>
        </w:numPr>
        <w:rPr>
          <w:rFonts w:ascii="Arial" w:cs="Arial" w:eastAsia="Arial" w:hAnsi="Arial"/>
          <w:sz w:val="13"/>
          <w:szCs w:val="13"/>
          <w:color w:val="auto"/>
        </w:rPr>
      </w:pPr>
      <w:r>
        <w:rPr>
          <w:rFonts w:ascii="Arial" w:cs="Arial" w:eastAsia="Arial" w:hAnsi="Arial"/>
          <w:sz w:val="13"/>
          <w:szCs w:val="13"/>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Arial" w:cs="Arial" w:eastAsia="Arial" w:hAnsi="Arial"/>
          <w:sz w:val="13"/>
          <w:szCs w:val="13"/>
          <w:color w:val="auto"/>
        </w:rPr>
      </w:pPr>
    </w:p>
    <w:p>
      <w:pPr>
        <w:ind w:left="520" w:right="60" w:hanging="256"/>
        <w:spacing w:after="0" w:line="272" w:lineRule="auto"/>
        <w:tabs>
          <w:tab w:leader="none" w:pos="506" w:val="left"/>
        </w:tabs>
        <w:numPr>
          <w:ilvl w:val="1"/>
          <w:numId w:val="124"/>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Arial" w:cs="Arial" w:eastAsia="Arial" w:hAnsi="Arial"/>
          <w:sz w:val="13"/>
          <w:szCs w:val="13"/>
          <w:color w:val="auto"/>
        </w:rPr>
      </w:pPr>
    </w:p>
    <w:p>
      <w:pPr>
        <w:ind w:left="500" w:hanging="236"/>
        <w:spacing w:after="0"/>
        <w:tabs>
          <w:tab w:leader="none" w:pos="500" w:val="left"/>
        </w:tabs>
        <w:numPr>
          <w:ilvl w:val="1"/>
          <w:numId w:val="124"/>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Arial" w:cs="Arial" w:eastAsia="Arial" w:hAnsi="Arial"/>
          <w:sz w:val="13"/>
          <w:szCs w:val="13"/>
          <w:color w:val="auto"/>
        </w:rPr>
        <w:t>Date: July 22, 2024</w:t>
      </w:r>
    </w:p>
    <w:p>
      <w:pPr>
        <w:spacing w:after="0" w:line="194"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/s/ Marc E. Binda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3570605</wp:posOffset>
            </wp:positionH>
            <wp:positionV relativeFrom="paragraph">
              <wp:posOffset>13970</wp:posOffset>
            </wp:positionV>
            <wp:extent cx="3566795" cy="698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5">
                      <a:extLst>
                        <a:ext uri="{28A0092B-C50C-407E-A947-70E740481C1C}"/>
                      </a:extLst>
                    </a:blip>
                    <a:srcRect/>
                    <a:stretch>
                      <a:fillRect/>
                    </a:stretch>
                  </pic:blipFill>
                  <pic:spPr bwMode="auto">
                    <a:xfrm>
                      <a:off x="0" y="0"/>
                      <a:ext cx="3566795" cy="6985"/>
                    </a:xfrm>
                    <a:prstGeom prst="rect">
                      <a:avLst/>
                    </a:prstGeom>
                    <a:noFill/>
                  </pic:spPr>
                </pic:pic>
              </a:graphicData>
            </a:graphic>
          </wp:anchor>
        </w:drawing>
      </w:r>
    </w:p>
    <w:p>
      <w:pPr>
        <w:spacing w:after="0" w:line="13"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Marc E. Binda</w:t>
      </w:r>
    </w:p>
    <w:p>
      <w:pPr>
        <w:spacing w:after="0" w:line="22"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Chief Financial Officer and Treasurer</w:t>
      </w:r>
    </w:p>
    <w:p>
      <w:pPr>
        <w:sectPr>
          <w:pgSz w:w="11900" w:h="16838" w:orient="portrait"/>
          <w:cols w:equalWidth="0" w:num="1">
            <w:col w:w="11280"/>
          </w:cols>
          <w:pgMar w:left="300" w:top="737" w:right="319" w:bottom="1440" w:gutter="0" w:footer="0" w:header="0"/>
        </w:sectPr>
      </w:pPr>
    </w:p>
    <w:bookmarkStart w:id="83" w:name="page84"/>
    <w:bookmarkEnd w:id="83"/>
    <w:p>
      <w:pPr>
        <w:jc w:val="right"/>
        <w:spacing w:after="0"/>
        <w:rPr>
          <w:sz w:val="20"/>
          <w:szCs w:val="20"/>
          <w:color w:val="auto"/>
        </w:rPr>
      </w:pPr>
      <w:r>
        <w:rPr>
          <w:rFonts w:ascii="Arial" w:cs="Arial" w:eastAsia="Arial" w:hAnsi="Arial"/>
          <w:sz w:val="14"/>
          <w:szCs w:val="14"/>
          <w:b w:val="1"/>
          <w:bCs w:val="1"/>
          <w:color w:val="auto"/>
        </w:rPr>
        <w:t>EXHIBIT 32.0</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OF PRINCIPAL EXECUTIVE OFFICERS AND PRINCIPAL FINANCIAL OFFICER</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PURSUANT TO</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18 U.S.C. SECTION 1350.</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AS ADOPTED PURSUANT TO</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SECTION 906 OF THE SARBANES-OXLEY ACT OF 2002</w:t>
      </w:r>
    </w:p>
    <w:p>
      <w:pPr>
        <w:spacing w:after="0" w:line="187" w:lineRule="exact"/>
        <w:rPr>
          <w:sz w:val="20"/>
          <w:szCs w:val="20"/>
          <w:color w:val="auto"/>
        </w:rPr>
      </w:pPr>
    </w:p>
    <w:p>
      <w:pPr>
        <w:ind w:right="40"/>
        <w:spacing w:after="0" w:line="265" w:lineRule="auto"/>
        <w:rPr>
          <w:sz w:val="20"/>
          <w:szCs w:val="20"/>
          <w:color w:val="auto"/>
        </w:rPr>
      </w:pPr>
      <w:r>
        <w:rPr>
          <w:rFonts w:ascii="Arial" w:cs="Arial" w:eastAsia="Arial" w:hAnsi="Arial"/>
          <w:sz w:val="13"/>
          <w:szCs w:val="13"/>
          <w:color w:val="auto"/>
        </w:rPr>
        <w:t>I, Joel S. Marcus, certify, pursuant to 18 U.S.C. Section 1350, as adopted pursuant to Section 906 of the Sarbanes-Oxley Act of 2002, that the Quarterly Report on Form 10-Q of Alexandria Real Estate Equities, Inc. for the quarter ended June 30, 2024, fully complies with the requirements of Section 13(a) or 15(d) of the Securities Exchange Act of 1934, as amended, and that the information contained in such report fairly presents, in all material respects, the financial condition and results of operations of Alexandria Real Estate Equities, Inc.</w:t>
      </w:r>
    </w:p>
    <w:p>
      <w:pPr>
        <w:spacing w:after="0" w:line="160" w:lineRule="exact"/>
        <w:rPr>
          <w:sz w:val="20"/>
          <w:szCs w:val="20"/>
          <w:color w:val="auto"/>
        </w:rPr>
      </w:pPr>
    </w:p>
    <w:p>
      <w:pPr>
        <w:spacing w:after="0"/>
        <w:rPr>
          <w:sz w:val="20"/>
          <w:szCs w:val="20"/>
          <w:color w:val="auto"/>
        </w:rPr>
      </w:pPr>
      <w:r>
        <w:rPr>
          <w:rFonts w:ascii="Arial" w:cs="Arial" w:eastAsia="Arial" w:hAnsi="Arial"/>
          <w:sz w:val="13"/>
          <w:szCs w:val="13"/>
          <w:color w:val="auto"/>
        </w:rPr>
        <w:t>Date: July 22, 2024</w:t>
      </w:r>
    </w:p>
    <w:p>
      <w:pPr>
        <w:spacing w:after="0" w:line="130"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/s/ Joel S. Marcus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3570605</wp:posOffset>
            </wp:positionH>
            <wp:positionV relativeFrom="paragraph">
              <wp:posOffset>13970</wp:posOffset>
            </wp:positionV>
            <wp:extent cx="3566795" cy="698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6">
                      <a:extLst>
                        <a:ext uri="{28A0092B-C50C-407E-A947-70E740481C1C}"/>
                      </a:extLst>
                    </a:blip>
                    <a:srcRect/>
                    <a:stretch>
                      <a:fillRect/>
                    </a:stretch>
                  </pic:blipFill>
                  <pic:spPr bwMode="auto">
                    <a:xfrm>
                      <a:off x="0" y="0"/>
                      <a:ext cx="3566795" cy="6985"/>
                    </a:xfrm>
                    <a:prstGeom prst="rect">
                      <a:avLst/>
                    </a:prstGeom>
                    <a:noFill/>
                  </pic:spPr>
                </pic:pic>
              </a:graphicData>
            </a:graphic>
          </wp:anchor>
        </w:drawing>
      </w:r>
    </w:p>
    <w:p>
      <w:pPr>
        <w:spacing w:after="0" w:line="13"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Joel S. Marcus</w:t>
      </w:r>
    </w:p>
    <w:p>
      <w:pPr>
        <w:spacing w:after="0" w:line="22"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Executive Chairman</w:t>
      </w:r>
    </w:p>
    <w:p>
      <w:pPr>
        <w:spacing w:after="0" w:line="302" w:lineRule="exact"/>
        <w:rPr>
          <w:sz w:val="20"/>
          <w:szCs w:val="20"/>
          <w:color w:val="auto"/>
        </w:rPr>
      </w:pPr>
    </w:p>
    <w:p>
      <w:pPr>
        <w:ind w:right="40"/>
        <w:spacing w:after="0" w:line="265" w:lineRule="auto"/>
        <w:rPr>
          <w:sz w:val="20"/>
          <w:szCs w:val="20"/>
          <w:color w:val="auto"/>
        </w:rPr>
      </w:pPr>
      <w:r>
        <w:rPr>
          <w:rFonts w:ascii="Arial" w:cs="Arial" w:eastAsia="Arial" w:hAnsi="Arial"/>
          <w:sz w:val="13"/>
          <w:szCs w:val="13"/>
          <w:color w:val="auto"/>
        </w:rPr>
        <w:t>I, Peter M. Moglia, certify, pursuant to 18 U.S.C. Section 1350, as adopted pursuant to Section 906 of the Sarbanes-Oxley Act of 2002, that the Quarterly Report on Form 10-Q of Alexandria Real Estate Equities, Inc. for the quarter ended June 30, 2024, fully complies with the requirements of Section 13(a) or 15(d) of the Securities Exchange Act of 1934, as amended, and that the information contained in such report fairly presents, in all material respects, the financial condition and results of operations of Alexandria Real Estate Equities, Inc.</w:t>
      </w:r>
    </w:p>
    <w:p>
      <w:pPr>
        <w:spacing w:after="0" w:line="203" w:lineRule="exact"/>
        <w:rPr>
          <w:sz w:val="20"/>
          <w:szCs w:val="20"/>
          <w:color w:val="auto"/>
        </w:rPr>
      </w:pPr>
    </w:p>
    <w:p>
      <w:pPr>
        <w:spacing w:after="0"/>
        <w:rPr>
          <w:sz w:val="20"/>
          <w:szCs w:val="20"/>
          <w:color w:val="auto"/>
        </w:rPr>
      </w:pPr>
      <w:r>
        <w:rPr>
          <w:rFonts w:ascii="Arial" w:cs="Arial" w:eastAsia="Arial" w:hAnsi="Arial"/>
          <w:sz w:val="13"/>
          <w:szCs w:val="13"/>
          <w:color w:val="auto"/>
        </w:rPr>
        <w:t>Date: July 22, 2024</w:t>
      </w:r>
    </w:p>
    <w:p>
      <w:pPr>
        <w:spacing w:after="0" w:line="44"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/s/ Peter M. Moglia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3570605</wp:posOffset>
            </wp:positionH>
            <wp:positionV relativeFrom="paragraph">
              <wp:posOffset>13970</wp:posOffset>
            </wp:positionV>
            <wp:extent cx="3566795" cy="698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7">
                      <a:extLst>
                        <a:ext uri="{28A0092B-C50C-407E-A947-70E740481C1C}"/>
                      </a:extLst>
                    </a:blip>
                    <a:srcRect/>
                    <a:stretch>
                      <a:fillRect/>
                    </a:stretch>
                  </pic:blipFill>
                  <pic:spPr bwMode="auto">
                    <a:xfrm>
                      <a:off x="0" y="0"/>
                      <a:ext cx="3566795" cy="6985"/>
                    </a:xfrm>
                    <a:prstGeom prst="rect">
                      <a:avLst/>
                    </a:prstGeom>
                    <a:noFill/>
                  </pic:spPr>
                </pic:pic>
              </a:graphicData>
            </a:graphic>
          </wp:anchor>
        </w:drawing>
      </w:r>
    </w:p>
    <w:p>
      <w:pPr>
        <w:spacing w:after="0" w:line="13"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Peter M. Moglia</w:t>
      </w:r>
    </w:p>
    <w:p>
      <w:pPr>
        <w:spacing w:after="0" w:line="22"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Chief Executive Officer and Chief Investment Officer</w:t>
      </w:r>
    </w:p>
    <w:p>
      <w:pPr>
        <w:spacing w:after="0" w:line="302" w:lineRule="exact"/>
        <w:rPr>
          <w:sz w:val="20"/>
          <w:szCs w:val="20"/>
          <w:color w:val="auto"/>
        </w:rPr>
      </w:pPr>
    </w:p>
    <w:p>
      <w:pPr>
        <w:ind w:right="40"/>
        <w:spacing w:after="0" w:line="265" w:lineRule="auto"/>
        <w:rPr>
          <w:sz w:val="20"/>
          <w:szCs w:val="20"/>
          <w:color w:val="auto"/>
        </w:rPr>
      </w:pPr>
      <w:r>
        <w:rPr>
          <w:rFonts w:ascii="Arial" w:cs="Arial" w:eastAsia="Arial" w:hAnsi="Arial"/>
          <w:sz w:val="13"/>
          <w:szCs w:val="13"/>
          <w:color w:val="auto"/>
        </w:rPr>
        <w:t>I, Marc E. Binda, certify, pursuant to 18 U.S.C. Section 1350, as adopted pursuant to Section 906 of the Sarbanes-Oxley Act of 2002, that the Quarterly Report on Form 10-Q of Alexandria Real Estate Equities, Inc. for the quarter ended June 30, 2024, fully complies with the requirements of Section 13(a) or 15(d) of the Securities Exchange Act of 1934, as amended, and that the information contained in such report fairly presents, in all material respects, the financial condition and results of operations of Alexandria Real Estate Equities, Inc.</w:t>
      </w:r>
    </w:p>
    <w:p>
      <w:pPr>
        <w:spacing w:after="0" w:line="181" w:lineRule="exact"/>
        <w:rPr>
          <w:sz w:val="20"/>
          <w:szCs w:val="20"/>
          <w:color w:val="auto"/>
        </w:rPr>
      </w:pPr>
    </w:p>
    <w:p>
      <w:pPr>
        <w:spacing w:after="0"/>
        <w:rPr>
          <w:sz w:val="20"/>
          <w:szCs w:val="20"/>
          <w:color w:val="auto"/>
        </w:rPr>
      </w:pPr>
      <w:r>
        <w:rPr>
          <w:rFonts w:ascii="Arial" w:cs="Arial" w:eastAsia="Arial" w:hAnsi="Arial"/>
          <w:sz w:val="13"/>
          <w:szCs w:val="13"/>
          <w:color w:val="auto"/>
        </w:rPr>
        <w:t>Date: July 22, 2024</w:t>
      </w:r>
    </w:p>
    <w:p>
      <w:pPr>
        <w:spacing w:after="0" w:line="119"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/s/ Marc E. Binda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3570605</wp:posOffset>
            </wp:positionH>
            <wp:positionV relativeFrom="paragraph">
              <wp:posOffset>13970</wp:posOffset>
            </wp:positionV>
            <wp:extent cx="3566795" cy="698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8">
                      <a:extLst>
                        <a:ext uri="{28A0092B-C50C-407E-A947-70E740481C1C}"/>
                      </a:extLst>
                    </a:blip>
                    <a:srcRect/>
                    <a:stretch>
                      <a:fillRect/>
                    </a:stretch>
                  </pic:blipFill>
                  <pic:spPr bwMode="auto">
                    <a:xfrm>
                      <a:off x="0" y="0"/>
                      <a:ext cx="3566795" cy="6985"/>
                    </a:xfrm>
                    <a:prstGeom prst="rect">
                      <a:avLst/>
                    </a:prstGeom>
                    <a:noFill/>
                  </pic:spPr>
                </pic:pic>
              </a:graphicData>
            </a:graphic>
          </wp:anchor>
        </w:drawing>
      </w:r>
    </w:p>
    <w:p>
      <w:pPr>
        <w:spacing w:after="0" w:line="13"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Marc E. Binda</w:t>
      </w:r>
    </w:p>
    <w:p>
      <w:pPr>
        <w:spacing w:after="0" w:line="22"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Chief Financial Officer and Treasurer</w:t>
      </w:r>
    </w:p>
    <w:sectPr>
      <w:pgSz w:w="11900" w:h="16838" w:orient="portrait"/>
      <w:cols w:equalWidth="0" w:num="1">
        <w:col w:w="11280"/>
      </w:cols>
      <w:pgMar w:left="300" w:top="640"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E0C57B1"/>
    <w:multiLevelType w:val="hybridMultilevel"/>
    <w:lvl w:ilvl="0">
      <w:lvlJc w:val="left"/>
      <w:lvlText w:val="☒"/>
      <w:numFmt w:val="bullet"/>
      <w:start w:val="1"/>
    </w:lvl>
  </w:abstractNum>
  <w:abstractNum w:abstractNumId="1">
    <w:nsid w:val="77AE35EB"/>
    <w:multiLevelType w:val="hybridMultilevel"/>
    <w:lvl w:ilvl="0">
      <w:lvlJc w:val="left"/>
      <w:lvlText w:val="☐"/>
      <w:numFmt w:val="bullet"/>
      <w:start w:val="1"/>
    </w:lvl>
  </w:abstractNum>
  <w:abstractNum w:abstractNumId="2">
    <w:nsid w:val="579BE4F1"/>
    <w:multiLevelType w:val="hybridMultilevel"/>
    <w:lvl w:ilvl="0">
      <w:lvlJc w:val="left"/>
      <w:lvlText w:val="%1."/>
      <w:numFmt w:val="decimal"/>
      <w:start w:val="1"/>
    </w:lvl>
  </w:abstractNum>
  <w:abstractNum w:abstractNumId="3">
    <w:nsid w:val="310C50B3"/>
    <w:multiLevelType w:val="hybridMultilevel"/>
    <w:lvl w:ilvl="0">
      <w:lvlJc w:val="left"/>
      <w:lvlText w:val="%1."/>
      <w:numFmt w:val="decimal"/>
      <w:start w:val="2"/>
    </w:lvl>
  </w:abstractNum>
  <w:abstractNum w:abstractNumId="4">
    <w:nsid w:val="5FF87E05"/>
    <w:multiLevelType w:val="hybridMultilevel"/>
    <w:lvl w:ilvl="0">
      <w:lvlJc w:val="left"/>
      <w:lvlText w:val="•"/>
      <w:numFmt w:val="bullet"/>
      <w:start w:val="1"/>
    </w:lvl>
  </w:abstractNum>
  <w:abstractNum w:abstractNumId="5">
    <w:nsid w:val="2F305DEF"/>
    <w:multiLevelType w:val="hybridMultilevel"/>
    <w:lvl w:ilvl="0">
      <w:lvlJc w:val="left"/>
      <w:lvlText w:val="%1)"/>
      <w:numFmt w:val="decimal"/>
      <w:start w:val="1"/>
    </w:lvl>
    <w:lvl w:ilvl="1">
      <w:lvlJc w:val="left"/>
      <w:lvlText w:val="•"/>
      <w:numFmt w:val="bullet"/>
      <w:start w:val="1"/>
    </w:lvl>
    <w:lvl w:ilvl="2">
      <w:lvlJc w:val="left"/>
      <w:lvlText w:val="•"/>
      <w:numFmt w:val="bullet"/>
      <w:start w:val="1"/>
    </w:lvl>
  </w:abstractNum>
  <w:abstractNum w:abstractNumId="6">
    <w:nsid w:val="25A70BF7"/>
    <w:multiLevelType w:val="hybridMultilevel"/>
    <w:lvl w:ilvl="0">
      <w:lvlJc w:val="left"/>
      <w:lvlText w:val="%1."/>
      <w:numFmt w:val="decimal"/>
      <w:start w:val="2"/>
    </w:lvl>
  </w:abstractNum>
  <w:abstractNum w:abstractNumId="7">
    <w:nsid w:val="1DBABF00"/>
    <w:multiLevelType w:val="hybridMultilevel"/>
    <w:lvl w:ilvl="0">
      <w:lvlJc w:val="left"/>
      <w:lvlText w:val="•"/>
      <w:numFmt w:val="bullet"/>
      <w:start w:val="1"/>
    </w:lvl>
  </w:abstractNum>
  <w:abstractNum w:abstractNumId="8">
    <w:nsid w:val="4AD084E9"/>
    <w:multiLevelType w:val="hybridMultilevel"/>
    <w:lvl w:ilvl="0">
      <w:lvlJc w:val="left"/>
      <w:lvlText w:val="•"/>
      <w:numFmt w:val="bullet"/>
      <w:start w:val="1"/>
    </w:lvl>
  </w:abstractNum>
  <w:abstractNum w:abstractNumId="9">
    <w:nsid w:val="1F48EAA1"/>
    <w:multiLevelType w:val="hybridMultilevel"/>
    <w:lvl w:ilvl="0">
      <w:lvlJc w:val="left"/>
      <w:lvlText w:val="•"/>
      <w:numFmt w:val="bullet"/>
      <w:start w:val="1"/>
    </w:lvl>
  </w:abstractNum>
  <w:abstractNum w:abstractNumId="10">
    <w:nsid w:val="1381823A"/>
    <w:multiLevelType w:val="hybridMultilevel"/>
    <w:lvl w:ilvl="0">
      <w:lvlJc w:val="left"/>
      <w:lvlText w:val="%1."/>
      <w:numFmt w:val="decimal"/>
      <w:start w:val="2"/>
    </w:lvl>
  </w:abstractNum>
  <w:abstractNum w:abstractNumId="11">
    <w:nsid w:val="5DB70AE5"/>
    <w:multiLevelType w:val="hybridMultilevel"/>
    <w:lvl w:ilvl="0">
      <w:lvlJc w:val="left"/>
      <w:lvlText w:val="%1."/>
      <w:numFmt w:val="decimal"/>
      <w:start w:val="2"/>
    </w:lvl>
  </w:abstractNum>
  <w:abstractNum w:abstractNumId="12">
    <w:nsid w:val="100F8FCA"/>
    <w:multiLevelType w:val="hybridMultilevel"/>
    <w:lvl w:ilvl="0">
      <w:lvlJc w:val="left"/>
      <w:lvlText w:val="(%1)"/>
      <w:numFmt w:val="lowerRoman"/>
      <w:start w:val="6"/>
    </w:lvl>
  </w:abstractNum>
  <w:abstractNum w:abstractNumId="13">
    <w:nsid w:val="6590700B"/>
    <w:multiLevelType w:val="hybridMultilevel"/>
    <w:lvl w:ilvl="0">
      <w:lvlJc w:val="left"/>
      <w:lvlText w:val="%1."/>
      <w:numFmt w:val="decimal"/>
      <w:start w:val="2"/>
    </w:lvl>
  </w:abstractNum>
  <w:abstractNum w:abstractNumId="14">
    <w:nsid w:val="15014ACB"/>
    <w:multiLevelType w:val="hybridMultilevel"/>
    <w:lvl w:ilvl="0">
      <w:lvlJc w:val="left"/>
      <w:lvlText w:val="%1."/>
      <w:numFmt w:val="decimal"/>
      <w:start w:val="2"/>
    </w:lvl>
  </w:abstractNum>
  <w:abstractNum w:abstractNumId="15">
    <w:nsid w:val="5F5E7FD0"/>
    <w:multiLevelType w:val="hybridMultilevel"/>
    <w:lvl w:ilvl="0">
      <w:lvlJc w:val="left"/>
      <w:lvlText w:val="%1."/>
      <w:numFmt w:val="decimal"/>
      <w:start w:val="2"/>
    </w:lvl>
  </w:abstractNum>
  <w:abstractNum w:abstractNumId="16">
    <w:nsid w:val="98A3148"/>
    <w:multiLevelType w:val="hybridMultilevel"/>
    <w:lvl w:ilvl="0">
      <w:lvlJc w:val="left"/>
      <w:lvlText w:val="(%1)"/>
      <w:numFmt w:val="lowerRoman"/>
      <w:start w:val="1"/>
    </w:lvl>
  </w:abstractNum>
  <w:abstractNum w:abstractNumId="17">
    <w:nsid w:val="799D0247"/>
    <w:multiLevelType w:val="hybridMultilevel"/>
    <w:lvl w:ilvl="0">
      <w:lvlJc w:val="left"/>
      <w:lvlText w:val="(%1)"/>
      <w:numFmt w:val="lowerRoman"/>
      <w:start w:val="1"/>
    </w:lvl>
  </w:abstractNum>
  <w:abstractNum w:abstractNumId="18">
    <w:nsid w:val="6B94764"/>
    <w:multiLevelType w:val="hybridMultilevel"/>
    <w:lvl w:ilvl="0">
      <w:lvlJc w:val="left"/>
      <w:lvlText w:val="%1."/>
      <w:numFmt w:val="decimal"/>
      <w:start w:val="2"/>
    </w:lvl>
  </w:abstractNum>
  <w:abstractNum w:abstractNumId="19">
    <w:nsid w:val="42C296BD"/>
    <w:multiLevelType w:val="hybridMultilevel"/>
    <w:lvl w:ilvl="0">
      <w:lvlJc w:val="left"/>
      <w:lvlText w:val="(%1)"/>
      <w:numFmt w:val="lowerRoman"/>
      <w:start w:val="1"/>
    </w:lvl>
  </w:abstractNum>
  <w:abstractNum w:abstractNumId="20">
    <w:nsid w:val="168E121F"/>
    <w:multiLevelType w:val="hybridMultilevel"/>
    <w:lvl w:ilvl="0">
      <w:lvlJc w:val="left"/>
      <w:lvlText w:val="(%1)"/>
      <w:numFmt w:val="lowerRoman"/>
      <w:start w:val="1"/>
    </w:lvl>
  </w:abstractNum>
  <w:abstractNum w:abstractNumId="21">
    <w:nsid w:val="1EBA5D23"/>
    <w:multiLevelType w:val="hybridMultilevel"/>
    <w:lvl w:ilvl="0">
      <w:lvlJc w:val="left"/>
      <w:lvlText w:val="•"/>
      <w:numFmt w:val="bullet"/>
      <w:start w:val="1"/>
    </w:lvl>
  </w:abstractNum>
  <w:abstractNum w:abstractNumId="22">
    <w:nsid w:val="661E3F1E"/>
    <w:multiLevelType w:val="hybridMultilevel"/>
    <w:lvl w:ilvl="0">
      <w:lvlJc w:val="left"/>
      <w:lvlText w:val="(%1)"/>
      <w:numFmt w:val="lowerRoman"/>
      <w:start w:val="1"/>
    </w:lvl>
  </w:abstractNum>
  <w:abstractNum w:abstractNumId="23">
    <w:nsid w:val="5DC79EA8"/>
    <w:multiLevelType w:val="hybridMultilevel"/>
    <w:lvl w:ilvl="0">
      <w:lvlJc w:val="left"/>
      <w:lvlText w:val="%1."/>
      <w:numFmt w:val="decimal"/>
      <w:start w:val="2"/>
    </w:lvl>
  </w:abstractNum>
  <w:abstractNum w:abstractNumId="24">
    <w:nsid w:val="540A471C"/>
    <w:multiLevelType w:val="hybridMultilevel"/>
    <w:lvl w:ilvl="0">
      <w:lvlJc w:val="left"/>
      <w:lvlText w:val="(%1)"/>
      <w:numFmt w:val="lowerRoman"/>
      <w:start w:val="1"/>
    </w:lvl>
  </w:abstractNum>
  <w:abstractNum w:abstractNumId="25">
    <w:nsid w:val="7BD3EE7B"/>
    <w:multiLevelType w:val="hybridMultilevel"/>
    <w:lvl w:ilvl="0">
      <w:lvlJc w:val="left"/>
      <w:lvlText w:val="%1."/>
      <w:numFmt w:val="decimal"/>
      <w:start w:val="2"/>
    </w:lvl>
  </w:abstractNum>
  <w:abstractNum w:abstractNumId="26">
    <w:nsid w:val="51D9C564"/>
    <w:multiLevelType w:val="hybridMultilevel"/>
    <w:lvl w:ilvl="0">
      <w:lvlJc w:val="left"/>
      <w:lvlText w:val="(%1)"/>
      <w:numFmt w:val="lowerRoman"/>
      <w:start w:val="3"/>
    </w:lvl>
  </w:abstractNum>
  <w:abstractNum w:abstractNumId="27">
    <w:nsid w:val="613EFDC5"/>
    <w:multiLevelType w:val="hybridMultilevel"/>
    <w:lvl w:ilvl="0">
      <w:lvlJc w:val="left"/>
      <w:lvlText w:val="%1."/>
      <w:numFmt w:val="decimal"/>
      <w:start w:val="2"/>
    </w:lvl>
  </w:abstractNum>
  <w:abstractNum w:abstractNumId="28">
    <w:nsid w:val="BF72B14"/>
    <w:multiLevelType w:val="hybridMultilevel"/>
    <w:lvl w:ilvl="0">
      <w:lvlJc w:val="left"/>
      <w:lvlText w:val="(%1)"/>
      <w:numFmt w:val="lowerRoman"/>
      <w:start w:val="1"/>
    </w:lvl>
  </w:abstractNum>
  <w:abstractNum w:abstractNumId="29">
    <w:nsid w:val="11447B73"/>
    <w:multiLevelType w:val="hybridMultilevel"/>
    <w:lvl w:ilvl="0">
      <w:lvlJc w:val="left"/>
      <w:lvlText w:val="%1."/>
      <w:numFmt w:val="decimal"/>
      <w:start w:val="2"/>
    </w:lvl>
  </w:abstractNum>
  <w:abstractNum w:abstractNumId="30">
    <w:nsid w:val="42963E5A"/>
    <w:multiLevelType w:val="hybridMultilevel"/>
    <w:lvl w:ilvl="0">
      <w:lvlJc w:val="left"/>
      <w:lvlText w:val="%1."/>
      <w:numFmt w:val="decimal"/>
      <w:start w:val="3"/>
    </w:lvl>
  </w:abstractNum>
  <w:abstractNum w:abstractNumId="31">
    <w:nsid w:val="A0382C5"/>
    <w:multiLevelType w:val="hybridMultilevel"/>
    <w:lvl w:ilvl="0">
      <w:lvlJc w:val="left"/>
      <w:lvlText w:val="(%1)"/>
      <w:numFmt w:val="decimal"/>
      <w:start w:val="1"/>
    </w:lvl>
  </w:abstractNum>
  <w:abstractNum w:abstractNumId="32">
    <w:nsid w:val="8F2B15E"/>
    <w:multiLevelType w:val="hybridMultilevel"/>
    <w:lvl w:ilvl="0">
      <w:lvlJc w:val="left"/>
      <w:lvlText w:val="%1."/>
      <w:numFmt w:val="decimal"/>
      <w:start w:val="4"/>
    </w:lvl>
  </w:abstractNum>
  <w:abstractNum w:abstractNumId="33">
    <w:nsid w:val="1A32234B"/>
    <w:multiLevelType w:val="hybridMultilevel"/>
    <w:lvl w:ilvl="0">
      <w:lvlJc w:val="left"/>
      <w:lvlText w:val="(%1)"/>
      <w:numFmt w:val="decimal"/>
      <w:start w:val="1"/>
    </w:lvl>
  </w:abstractNum>
  <w:abstractNum w:abstractNumId="34">
    <w:nsid w:val="3B0FD379"/>
    <w:multiLevelType w:val="hybridMultilevel"/>
    <w:lvl w:ilvl="0">
      <w:lvlJc w:val="left"/>
      <w:lvlText w:val="%1."/>
      <w:numFmt w:val="decimal"/>
      <w:start w:val="4"/>
    </w:lvl>
  </w:abstractNum>
  <w:abstractNum w:abstractNumId="35">
    <w:nsid w:val="68EB2F63"/>
    <w:multiLevelType w:val="hybridMultilevel"/>
    <w:lvl w:ilvl="0">
      <w:lvlJc w:val="left"/>
      <w:lvlText w:val="(%1)"/>
      <w:numFmt w:val="decimal"/>
      <w:start w:val="1"/>
    </w:lvl>
  </w:abstractNum>
  <w:abstractNum w:abstractNumId="36">
    <w:nsid w:val="4962813B"/>
    <w:multiLevelType w:val="hybridMultilevel"/>
    <w:lvl w:ilvl="0">
      <w:lvlJc w:val="left"/>
      <w:lvlText w:val="%1."/>
      <w:numFmt w:val="decimal"/>
      <w:start w:val="4"/>
    </w:lvl>
  </w:abstractNum>
  <w:abstractNum w:abstractNumId="37">
    <w:nsid w:val="60B6DF70"/>
    <w:multiLevelType w:val="hybridMultilevel"/>
    <w:lvl w:ilvl="0">
      <w:lvlJc w:val="left"/>
      <w:lvlText w:val="%1."/>
      <w:numFmt w:val="decimal"/>
      <w:start w:val="4"/>
    </w:lvl>
  </w:abstractNum>
  <w:abstractNum w:abstractNumId="38">
    <w:nsid w:val="6A5EE64"/>
    <w:multiLevelType w:val="hybridMultilevel"/>
    <w:lvl w:ilvl="0">
      <w:lvlJc w:val="left"/>
      <w:lvlText w:val="(%1)"/>
      <w:numFmt w:val="decimal"/>
      <w:start w:val="1"/>
    </w:lvl>
  </w:abstractNum>
  <w:abstractNum w:abstractNumId="39">
    <w:nsid w:val="14330624"/>
    <w:multiLevelType w:val="hybridMultilevel"/>
    <w:lvl w:ilvl="0">
      <w:lvlJc w:val="left"/>
      <w:lvlText w:val="(%1)"/>
      <w:numFmt w:val="decimal"/>
      <w:start w:val="3"/>
    </w:lvl>
  </w:abstractNum>
  <w:abstractNum w:abstractNumId="40">
    <w:nsid w:val="7FFFCA11"/>
    <w:multiLevelType w:val="hybridMultilevel"/>
    <w:lvl w:ilvl="0">
      <w:lvlJc w:val="left"/>
      <w:lvlText w:val="%1."/>
      <w:numFmt w:val="decimal"/>
      <w:start w:val="5"/>
    </w:lvl>
  </w:abstractNum>
  <w:abstractNum w:abstractNumId="41">
    <w:nsid w:val="1A27709E"/>
    <w:multiLevelType w:val="hybridMultilevel"/>
    <w:lvl w:ilvl="0">
      <w:lvlJc w:val="left"/>
      <w:lvlText w:val="%1."/>
      <w:numFmt w:val="decimal"/>
      <w:start w:val="5"/>
    </w:lvl>
  </w:abstractNum>
  <w:abstractNum w:abstractNumId="42">
    <w:nsid w:val="71EA1109"/>
    <w:multiLevelType w:val="hybridMultilevel"/>
    <w:lvl w:ilvl="0">
      <w:lvlJc w:val="left"/>
      <w:lvlText w:val="%1."/>
      <w:numFmt w:val="decimal"/>
      <w:start w:val="5"/>
    </w:lvl>
  </w:abstractNum>
  <w:abstractNum w:abstractNumId="43">
    <w:nsid w:val="100F59DC"/>
    <w:multiLevelType w:val="hybridMultilevel"/>
    <w:lvl w:ilvl="0">
      <w:lvlJc w:val="left"/>
      <w:lvlText w:val="%1."/>
      <w:numFmt w:val="decimal"/>
      <w:start w:val="6"/>
    </w:lvl>
  </w:abstractNum>
  <w:abstractNum w:abstractNumId="44">
    <w:nsid w:val="7FB7E0AA"/>
    <w:multiLevelType w:val="hybridMultilevel"/>
    <w:lvl w:ilvl="0">
      <w:lvlJc w:val="left"/>
      <w:lvlText w:val="%1."/>
      <w:numFmt w:val="decimal"/>
      <w:start w:val="7"/>
    </w:lvl>
  </w:abstractNum>
  <w:abstractNum w:abstractNumId="45">
    <w:nsid w:val="6EB5BD4"/>
    <w:multiLevelType w:val="hybridMultilevel"/>
    <w:lvl w:ilvl="0">
      <w:lvlJc w:val="left"/>
      <w:lvlText w:val="%1."/>
      <w:numFmt w:val="decimal"/>
      <w:start w:val="7"/>
    </w:lvl>
  </w:abstractNum>
  <w:abstractNum w:abstractNumId="46">
    <w:nsid w:val="6F6DD9AC"/>
    <w:multiLevelType w:val="hybridMultilevel"/>
    <w:lvl w:ilvl="0">
      <w:lvlJc w:val="left"/>
      <w:lvlText w:val="(%1)"/>
      <w:numFmt w:val="lowerRoman"/>
      <w:start w:val="1"/>
    </w:lvl>
  </w:abstractNum>
  <w:abstractNum w:abstractNumId="47">
    <w:nsid w:val="94211F2"/>
    <w:multiLevelType w:val="hybridMultilevel"/>
    <w:lvl w:ilvl="0">
      <w:lvlJc w:val="left"/>
      <w:lvlText w:val="(%1)"/>
      <w:numFmt w:val="lowerRoman"/>
      <w:start w:val="1"/>
    </w:lvl>
  </w:abstractNum>
  <w:abstractNum w:abstractNumId="48">
    <w:nsid w:val="885E1B"/>
    <w:multiLevelType w:val="hybridMultilevel"/>
    <w:lvl w:ilvl="0">
      <w:lvlJc w:val="left"/>
      <w:lvlText w:val="%1."/>
      <w:numFmt w:val="decimal"/>
      <w:start w:val="7"/>
    </w:lvl>
  </w:abstractNum>
  <w:abstractNum w:abstractNumId="49">
    <w:nsid w:val="76272110"/>
    <w:multiLevelType w:val="hybridMultilevel"/>
    <w:lvl w:ilvl="0">
      <w:lvlJc w:val="left"/>
      <w:lvlText w:val="(%1)"/>
      <w:numFmt w:val="decimal"/>
      <w:start w:val="1"/>
    </w:lvl>
  </w:abstractNum>
  <w:abstractNum w:abstractNumId="50">
    <w:nsid w:val="4C04A8AF"/>
    <w:multiLevelType w:val="hybridMultilevel"/>
    <w:lvl w:ilvl="0">
      <w:lvlJc w:val="left"/>
      <w:lvlText w:val="%1."/>
      <w:numFmt w:val="decimal"/>
      <w:start w:val="8"/>
    </w:lvl>
  </w:abstractNum>
  <w:abstractNum w:abstractNumId="51">
    <w:nsid w:val="1716703B"/>
    <w:multiLevelType w:val="hybridMultilevel"/>
    <w:lvl w:ilvl="0">
      <w:lvlJc w:val="left"/>
      <w:lvlText w:val="%1."/>
      <w:numFmt w:val="decimal"/>
      <w:start w:val="9"/>
    </w:lvl>
  </w:abstractNum>
  <w:abstractNum w:abstractNumId="52">
    <w:nsid w:val="14E17E33"/>
    <w:multiLevelType w:val="hybridMultilevel"/>
    <w:lvl w:ilvl="0">
      <w:lvlJc w:val="left"/>
      <w:lvlText w:val="%1."/>
      <w:numFmt w:val="decimal"/>
      <w:start w:val="9"/>
    </w:lvl>
  </w:abstractNum>
  <w:abstractNum w:abstractNumId="53">
    <w:nsid w:val="3222E7CD"/>
    <w:multiLevelType w:val="hybridMultilevel"/>
    <w:lvl w:ilvl="0">
      <w:lvlJc w:val="left"/>
      <w:lvlText w:val="(%1)"/>
      <w:numFmt w:val="decimal"/>
      <w:start w:val="1"/>
    </w:lvl>
  </w:abstractNum>
  <w:abstractNum w:abstractNumId="54">
    <w:nsid w:val="74DE0EE3"/>
    <w:multiLevelType w:val="hybridMultilevel"/>
    <w:lvl w:ilvl="0">
      <w:lvlJc w:val="left"/>
      <w:lvlText w:val="%1."/>
      <w:numFmt w:val="decimal"/>
      <w:start w:val="9"/>
    </w:lvl>
  </w:abstractNum>
  <w:abstractNum w:abstractNumId="55">
    <w:nsid w:val="68EBC550"/>
    <w:multiLevelType w:val="hybridMultilevel"/>
    <w:lvl w:ilvl="0">
      <w:lvlJc w:val="left"/>
      <w:lvlText w:val="(%1)"/>
      <w:numFmt w:val="decimal"/>
      <w:start w:val="1"/>
    </w:lvl>
  </w:abstractNum>
  <w:abstractNum w:abstractNumId="56">
    <w:nsid w:val="2DF6D648"/>
    <w:multiLevelType w:val="hybridMultilevel"/>
    <w:lvl w:ilvl="0">
      <w:lvlJc w:val="left"/>
      <w:lvlText w:val="(%1)"/>
      <w:numFmt w:val="decimal"/>
      <w:start w:val="1"/>
    </w:lvl>
  </w:abstractNum>
  <w:abstractNum w:abstractNumId="57">
    <w:nsid w:val="46B7D447"/>
    <w:multiLevelType w:val="hybridMultilevel"/>
    <w:lvl w:ilvl="0">
      <w:lvlJc w:val="left"/>
      <w:lvlText w:val="%1."/>
      <w:numFmt w:val="decimal"/>
      <w:start w:val="10"/>
    </w:lvl>
  </w:abstractNum>
  <w:abstractNum w:abstractNumId="58">
    <w:nsid w:val="4A2AC315"/>
    <w:multiLevelType w:val="hybridMultilevel"/>
    <w:lvl w:ilvl="0">
      <w:lvlJc w:val="left"/>
      <w:lvlText w:val="%1."/>
      <w:numFmt w:val="decimal"/>
      <w:start w:val="13"/>
    </w:lvl>
  </w:abstractNum>
  <w:abstractNum w:abstractNumId="59">
    <w:nsid w:val="39EE015C"/>
    <w:multiLevelType w:val="hybridMultilevel"/>
    <w:lvl w:ilvl="0">
      <w:lvlJc w:val="left"/>
      <w:lvlText w:val="•"/>
      <w:numFmt w:val="bullet"/>
      <w:start w:val="1"/>
    </w:lvl>
  </w:abstractNum>
  <w:abstractNum w:abstractNumId="60">
    <w:nsid w:val="57FC4FBB"/>
    <w:multiLevelType w:val="hybridMultilevel"/>
    <w:lvl w:ilvl="0">
      <w:lvlJc w:val="left"/>
      <w:lvlText w:val="•"/>
      <w:numFmt w:val="bullet"/>
      <w:start w:val="1"/>
    </w:lvl>
  </w:abstractNum>
  <w:abstractNum w:abstractNumId="61">
    <w:nsid w:val="CC1016F"/>
    <w:multiLevelType w:val="hybridMultilevel"/>
    <w:lvl w:ilvl="0">
      <w:lvlJc w:val="left"/>
      <w:lvlText w:val="•"/>
      <w:numFmt w:val="bullet"/>
      <w:start w:val="1"/>
    </w:lvl>
  </w:abstractNum>
  <w:abstractNum w:abstractNumId="62">
    <w:nsid w:val="43F18422"/>
    <w:multiLevelType w:val="hybridMultilevel"/>
    <w:lvl w:ilvl="0">
      <w:lvlJc w:val="left"/>
      <w:lvlText w:val="•"/>
      <w:numFmt w:val="bullet"/>
      <w:start w:val="1"/>
    </w:lvl>
    <w:lvl w:ilvl="1">
      <w:lvlJc w:val="left"/>
      <w:lvlText w:val="•"/>
      <w:numFmt w:val="bullet"/>
      <w:start w:val="1"/>
    </w:lvl>
  </w:abstractNum>
  <w:abstractNum w:abstractNumId="63">
    <w:nsid w:val="60EF0119"/>
    <w:multiLevelType w:val="hybridMultilevel"/>
    <w:lvl w:ilvl="0">
      <w:lvlJc w:val="left"/>
      <w:lvlText w:val="•"/>
      <w:numFmt w:val="bullet"/>
      <w:start w:val="1"/>
    </w:lvl>
  </w:abstractNum>
  <w:abstractNum w:abstractNumId="64">
    <w:nsid w:val="26F324BA"/>
    <w:multiLevelType w:val="hybridMultilevel"/>
    <w:lvl w:ilvl="0">
      <w:lvlJc w:val="left"/>
      <w:lvlText w:val="•"/>
      <w:numFmt w:val="bullet"/>
      <w:start w:val="1"/>
    </w:lvl>
  </w:abstractNum>
  <w:abstractNum w:abstractNumId="65">
    <w:nsid w:val="7F01579B"/>
    <w:multiLevelType w:val="hybridMultilevel"/>
    <w:lvl w:ilvl="0">
      <w:lvlJc w:val="left"/>
      <w:lvlText w:val="•"/>
      <w:numFmt w:val="bullet"/>
      <w:start w:val="1"/>
    </w:lvl>
  </w:abstractNum>
  <w:abstractNum w:abstractNumId="66">
    <w:nsid w:val="49DA307D"/>
    <w:multiLevelType w:val="hybridMultilevel"/>
    <w:lvl w:ilvl="0">
      <w:lvlJc w:val="left"/>
      <w:lvlText w:val="(%1)"/>
      <w:numFmt w:val="decimal"/>
      <w:start w:val="1"/>
    </w:lvl>
  </w:abstractNum>
  <w:abstractNum w:abstractNumId="67">
    <w:nsid w:val="7055A5F5"/>
    <w:multiLevelType w:val="hybridMultilevel"/>
    <w:lvl w:ilvl="0">
      <w:lvlJc w:val="left"/>
      <w:lvlText w:val="•"/>
      <w:numFmt w:val="bullet"/>
      <w:start w:val="1"/>
    </w:lvl>
    <w:lvl w:ilvl="1">
      <w:lvlJc w:val="left"/>
      <w:lvlText w:val="•"/>
      <w:numFmt w:val="bullet"/>
      <w:start w:val="1"/>
    </w:lvl>
  </w:abstractNum>
  <w:abstractNum w:abstractNumId="68">
    <w:nsid w:val="5FB8370B"/>
    <w:multiLevelType w:val="hybridMultilevel"/>
    <w:lvl w:ilvl="0">
      <w:lvlJc w:val="left"/>
      <w:lvlText w:val="•"/>
      <w:numFmt w:val="bullet"/>
      <w:start w:val="1"/>
    </w:lvl>
  </w:abstractNum>
  <w:abstractNum w:abstractNumId="69">
    <w:nsid w:val="50801EE1"/>
    <w:multiLevelType w:val="hybridMultilevel"/>
    <w:lvl w:ilvl="0">
      <w:lvlJc w:val="left"/>
      <w:lvlText w:val="•"/>
      <w:numFmt w:val="bullet"/>
      <w:start w:val="1"/>
    </w:lvl>
    <w:lvl w:ilvl="1">
      <w:lvlJc w:val="left"/>
      <w:lvlText w:val="•"/>
      <w:numFmt w:val="bullet"/>
      <w:start w:val="1"/>
    </w:lvl>
  </w:abstractNum>
  <w:abstractNum w:abstractNumId="70">
    <w:nsid w:val="488AC1A"/>
    <w:multiLevelType w:val="hybridMultilevel"/>
    <w:lvl w:ilvl="0">
      <w:lvlJc w:val="left"/>
      <w:lvlText w:val="(%1)"/>
      <w:numFmt w:val="decimal"/>
      <w:start w:val="1"/>
    </w:lvl>
  </w:abstractNum>
  <w:abstractNum w:abstractNumId="71">
    <w:nsid w:val="5FB8011C"/>
    <w:multiLevelType w:val="hybridMultilevel"/>
    <w:lvl w:ilvl="0">
      <w:lvlJc w:val="left"/>
      <w:lvlText w:val="(%1)"/>
      <w:numFmt w:val="decimal"/>
      <w:start w:val="1"/>
    </w:lvl>
  </w:abstractNum>
  <w:abstractNum w:abstractNumId="72">
    <w:nsid w:val="6AA78F7F"/>
    <w:multiLevelType w:val="hybridMultilevel"/>
    <w:lvl w:ilvl="0">
      <w:lvlJc w:val="left"/>
      <w:lvlText w:val="(%1)"/>
      <w:numFmt w:val="decimal"/>
      <w:start w:val="1"/>
    </w:lvl>
  </w:abstractNum>
  <w:abstractNum w:abstractNumId="73">
    <w:nsid w:val="7672BD23"/>
    <w:multiLevelType w:val="hybridMultilevel"/>
    <w:lvl w:ilvl="0">
      <w:lvlJc w:val="left"/>
      <w:lvlText w:val="(%1)"/>
      <w:numFmt w:val="decimal"/>
      <w:start w:val="1"/>
    </w:lvl>
  </w:abstractNum>
  <w:abstractNum w:abstractNumId="74">
    <w:nsid w:val="6FC75AF8"/>
    <w:multiLevelType w:val="hybridMultilevel"/>
    <w:lvl w:ilvl="0">
      <w:lvlJc w:val="left"/>
      <w:lvlText w:val="(%1)"/>
      <w:numFmt w:val="decimal"/>
      <w:start w:val="1"/>
    </w:lvl>
  </w:abstractNum>
  <w:abstractNum w:abstractNumId="75">
    <w:nsid w:val="6A5F7029"/>
    <w:multiLevelType w:val="hybridMultilevel"/>
    <w:lvl w:ilvl="0">
      <w:lvlJc w:val="left"/>
      <w:lvlText w:val="(%1)"/>
      <w:numFmt w:val="decimal"/>
      <w:start w:val="1"/>
    </w:lvl>
  </w:abstractNum>
  <w:abstractNum w:abstractNumId="76">
    <w:nsid w:val="7D5E18F8"/>
    <w:multiLevelType w:val="hybridMultilevel"/>
    <w:lvl w:ilvl="0">
      <w:lvlJc w:val="left"/>
      <w:lvlText w:val="(%1)"/>
      <w:numFmt w:val="decimal"/>
      <w:start w:val="1"/>
    </w:lvl>
  </w:abstractNum>
  <w:abstractNum w:abstractNumId="77">
    <w:nsid w:val="5F3534A4"/>
    <w:multiLevelType w:val="hybridMultilevel"/>
    <w:lvl w:ilvl="0">
      <w:lvlJc w:val="left"/>
      <w:lvlText w:val="(%1)"/>
      <w:numFmt w:val="decimal"/>
      <w:start w:val="1"/>
    </w:lvl>
  </w:abstractNum>
  <w:abstractNum w:abstractNumId="78">
    <w:nsid w:val="73A1821B"/>
    <w:multiLevelType w:val="hybridMultilevel"/>
    <w:lvl w:ilvl="0">
      <w:lvlJc w:val="left"/>
      <w:lvlText w:val="(%1)"/>
      <w:numFmt w:val="decimal"/>
      <w:start w:val="1"/>
    </w:lvl>
  </w:abstractNum>
  <w:abstractNum w:abstractNumId="79">
    <w:nsid w:val="7DE67713"/>
    <w:multiLevelType w:val="hybridMultilevel"/>
    <w:lvl w:ilvl="0">
      <w:lvlJc w:val="left"/>
      <w:lvlText w:val="(%1)"/>
      <w:numFmt w:val="decimal"/>
      <w:start w:val="1"/>
    </w:lvl>
  </w:abstractNum>
  <w:abstractNum w:abstractNumId="80">
    <w:nsid w:val="555C55B5"/>
    <w:multiLevelType w:val="hybridMultilevel"/>
    <w:lvl w:ilvl="0">
      <w:lvlJc w:val="left"/>
      <w:lvlText w:val="(%1)"/>
      <w:numFmt w:val="decimal"/>
      <w:start w:val="1"/>
    </w:lvl>
  </w:abstractNum>
  <w:abstractNum w:abstractNumId="81">
    <w:nsid w:val="3FA62ACA"/>
    <w:multiLevelType w:val="hybridMultilevel"/>
    <w:lvl w:ilvl="0">
      <w:lvlJc w:val="left"/>
      <w:lvlText w:val="(%1)"/>
      <w:numFmt w:val="decimal"/>
      <w:start w:val="1"/>
    </w:lvl>
  </w:abstractNum>
  <w:abstractNum w:abstractNumId="82">
    <w:nsid w:val="14FCE74E"/>
    <w:multiLevelType w:val="hybridMultilevel"/>
    <w:lvl w:ilvl="0">
      <w:lvlJc w:val="left"/>
      <w:lvlText w:val="(%1)"/>
      <w:numFmt w:val="decimal"/>
      <w:start w:val="1"/>
    </w:lvl>
  </w:abstractNum>
  <w:abstractNum w:abstractNumId="83">
    <w:nsid w:val="6A3DD3E8"/>
    <w:multiLevelType w:val="hybridMultilevel"/>
    <w:lvl w:ilvl="0">
      <w:lvlJc w:val="left"/>
      <w:lvlText w:val="(%1)"/>
      <w:numFmt w:val="decimal"/>
      <w:start w:val="1"/>
    </w:lvl>
  </w:abstractNum>
  <w:abstractNum w:abstractNumId="84">
    <w:nsid w:val="71C91298"/>
    <w:multiLevelType w:val="hybridMultilevel"/>
    <w:lvl w:ilvl="0">
      <w:lvlJc w:val="left"/>
      <w:lvlText w:val="(%1)"/>
      <w:numFmt w:val="decimal"/>
      <w:start w:val="1"/>
    </w:lvl>
  </w:abstractNum>
  <w:abstractNum w:abstractNumId="85">
    <w:nsid w:val="9DAF632"/>
    <w:multiLevelType w:val="hybridMultilevel"/>
    <w:lvl w:ilvl="0">
      <w:lvlJc w:val="left"/>
      <w:lvlText w:val="(%1)"/>
      <w:numFmt w:val="decimal"/>
      <w:start w:val="1"/>
    </w:lvl>
  </w:abstractNum>
  <w:abstractNum w:abstractNumId="86">
    <w:nsid w:val="53299938"/>
    <w:multiLevelType w:val="hybridMultilevel"/>
    <w:lvl w:ilvl="0">
      <w:lvlJc w:val="left"/>
      <w:lvlText w:val="(%1)"/>
      <w:numFmt w:val="decimal"/>
      <w:start w:val="1"/>
    </w:lvl>
  </w:abstractNum>
  <w:abstractNum w:abstractNumId="87">
    <w:nsid w:val="1FBFE8E0"/>
    <w:multiLevelType w:val="hybridMultilevel"/>
    <w:lvl w:ilvl="0">
      <w:lvlJc w:val="left"/>
      <w:lvlText w:val="(%1)"/>
      <w:numFmt w:val="decimal"/>
      <w:start w:val="1"/>
    </w:lvl>
  </w:abstractNum>
  <w:abstractNum w:abstractNumId="88">
    <w:nsid w:val="5092CA79"/>
    <w:multiLevelType w:val="hybridMultilevel"/>
    <w:lvl w:ilvl="0">
      <w:lvlJc w:val="left"/>
      <w:lvlText w:val="(%1)"/>
      <w:numFmt w:val="decimal"/>
      <w:start w:val="1"/>
    </w:lvl>
  </w:abstractNum>
  <w:abstractNum w:abstractNumId="89">
    <w:nsid w:val="1D545C4D"/>
    <w:multiLevelType w:val="hybridMultilevel"/>
    <w:lvl w:ilvl="0">
      <w:lvlJc w:val="left"/>
      <w:lvlText w:val="(%1)"/>
      <w:numFmt w:val="decimal"/>
      <w:start w:val="1"/>
    </w:lvl>
  </w:abstractNum>
  <w:abstractNum w:abstractNumId="90">
    <w:nsid w:val="59ADEA3D"/>
    <w:multiLevelType w:val="hybridMultilevel"/>
    <w:lvl w:ilvl="0">
      <w:lvlJc w:val="left"/>
      <w:lvlText w:val="(%1)"/>
      <w:numFmt w:val="decimal"/>
      <w:start w:val="1"/>
    </w:lvl>
  </w:abstractNum>
  <w:abstractNum w:abstractNumId="91">
    <w:nsid w:val="288F1A34"/>
    <w:multiLevelType w:val="hybridMultilevel"/>
    <w:lvl w:ilvl="0">
      <w:lvlJc w:val="left"/>
      <w:lvlText w:val="(%1)"/>
      <w:numFmt w:val="decimal"/>
      <w:start w:val="1"/>
    </w:lvl>
  </w:abstractNum>
  <w:abstractNum w:abstractNumId="92">
    <w:nsid w:val="2A155DBC"/>
    <w:multiLevelType w:val="hybridMultilevel"/>
    <w:lvl w:ilvl="0">
      <w:lvlJc w:val="left"/>
      <w:lvlText w:val="(%1)"/>
      <w:numFmt w:val="decimal"/>
      <w:start w:val="1"/>
    </w:lvl>
  </w:abstractNum>
  <w:abstractNum w:abstractNumId="93">
    <w:nsid w:val="1D9F6E5F"/>
    <w:multiLevelType w:val="hybridMultilevel"/>
    <w:lvl w:ilvl="0">
      <w:lvlJc w:val="left"/>
      <w:lvlText w:val="(%1)"/>
      <w:numFmt w:val="lowerRoman"/>
      <w:start w:val="1"/>
    </w:lvl>
  </w:abstractNum>
  <w:abstractNum w:abstractNumId="94">
    <w:nsid w:val="97E1B4E"/>
    <w:multiLevelType w:val="hybridMultilevel"/>
    <w:lvl w:ilvl="0">
      <w:lvlJc w:val="left"/>
      <w:lvlText w:val="(%1)"/>
      <w:numFmt w:val="decimal"/>
      <w:start w:val="1"/>
    </w:lvl>
  </w:abstractNum>
  <w:abstractNum w:abstractNumId="95">
    <w:nsid w:val="51088277"/>
    <w:multiLevelType w:val="hybridMultilevel"/>
    <w:lvl w:ilvl="0">
      <w:lvlJc w:val="left"/>
      <w:lvlText w:val="(%1)"/>
      <w:numFmt w:val="decimal"/>
      <w:start w:val="1"/>
    </w:lvl>
  </w:abstractNum>
  <w:abstractNum w:abstractNumId="96">
    <w:nsid w:val="1CA0C5FA"/>
    <w:multiLevelType w:val="hybridMultilevel"/>
    <w:lvl w:ilvl="0">
      <w:lvlJc w:val="left"/>
      <w:lvlText w:val="(%1)"/>
      <w:numFmt w:val="decimal"/>
      <w:start w:val="1"/>
    </w:lvl>
  </w:abstractNum>
  <w:abstractNum w:abstractNumId="97">
    <w:nsid w:val="53584BCB"/>
    <w:multiLevelType w:val="hybridMultilevel"/>
    <w:lvl w:ilvl="0">
      <w:lvlJc w:val="left"/>
      <w:lvlText w:val="(%1)"/>
      <w:numFmt w:val="decimal"/>
      <w:start w:val="1"/>
    </w:lvl>
  </w:abstractNum>
  <w:abstractNum w:abstractNumId="98">
    <w:nsid w:val="415E286C"/>
    <w:multiLevelType w:val="hybridMultilevel"/>
    <w:lvl w:ilvl="0">
      <w:lvlJc w:val="left"/>
      <w:lvlText w:val="(%1)"/>
      <w:numFmt w:val="decimal"/>
      <w:start w:val="1"/>
    </w:lvl>
  </w:abstractNum>
  <w:abstractNum w:abstractNumId="99">
    <w:nsid w:val="7C58FD05"/>
    <w:multiLevelType w:val="hybridMultilevel"/>
    <w:lvl w:ilvl="0">
      <w:lvlJc w:val="left"/>
      <w:lvlText w:val="(%1)"/>
      <w:numFmt w:val="decimal"/>
      <w:start w:val="1"/>
    </w:lvl>
  </w:abstractNum>
  <w:abstractNum w:abstractNumId="100">
    <w:nsid w:val="23D86AAC"/>
    <w:multiLevelType w:val="hybridMultilevel"/>
    <w:lvl w:ilvl="0">
      <w:lvlJc w:val="left"/>
      <w:lvlText w:val="(%1)"/>
      <w:numFmt w:val="decimal"/>
      <w:start w:val="1"/>
    </w:lvl>
  </w:abstractNum>
  <w:abstractNum w:abstractNumId="101">
    <w:nsid w:val="45E6D486"/>
    <w:multiLevelType w:val="hybridMultilevel"/>
    <w:lvl w:ilvl="0">
      <w:lvlJc w:val="left"/>
      <w:lvlText w:val="(%1)"/>
      <w:numFmt w:val="decimal"/>
      <w:start w:val="1"/>
    </w:lvl>
  </w:abstractNum>
  <w:abstractNum w:abstractNumId="102">
    <w:nsid w:val="5C10FE21"/>
    <w:multiLevelType w:val="hybridMultilevel"/>
    <w:lvl w:ilvl="0">
      <w:lvlJc w:val="left"/>
      <w:lvlText w:val="(%1)"/>
      <w:numFmt w:val="decimal"/>
      <w:start w:val="1"/>
    </w:lvl>
  </w:abstractNum>
  <w:abstractNum w:abstractNumId="103">
    <w:nsid w:val="E7FFA2B"/>
    <w:multiLevelType w:val="hybridMultilevel"/>
    <w:lvl w:ilvl="0">
      <w:lvlJc w:val="left"/>
      <w:lvlText w:val="(%1)"/>
      <w:numFmt w:val="decimal"/>
      <w:start w:val="1"/>
    </w:lvl>
  </w:abstractNum>
  <w:abstractNum w:abstractNumId="104">
    <w:nsid w:val="3C5991AA"/>
    <w:multiLevelType w:val="hybridMultilevel"/>
    <w:lvl w:ilvl="0">
      <w:lvlJc w:val="left"/>
      <w:lvlText w:val="(%1)"/>
      <w:numFmt w:val="decimal"/>
      <w:start w:val="1"/>
    </w:lvl>
  </w:abstractNum>
  <w:abstractNum w:abstractNumId="105">
    <w:nsid w:val="4BD8591A"/>
    <w:multiLevelType w:val="hybridMultilevel"/>
    <w:lvl w:ilvl="0">
      <w:lvlJc w:val="left"/>
      <w:lvlText w:val="(%1)"/>
      <w:numFmt w:val="decimal"/>
      <w:start w:val="1"/>
    </w:lvl>
  </w:abstractNum>
  <w:abstractNum w:abstractNumId="106">
    <w:nsid w:val="78DF6A55"/>
    <w:multiLevelType w:val="hybridMultilevel"/>
    <w:lvl w:ilvl="0">
      <w:lvlJc w:val="left"/>
      <w:lvlText w:val="(%1)"/>
      <w:numFmt w:val="decimal"/>
      <w:start w:val="1"/>
    </w:lvl>
  </w:abstractNum>
  <w:abstractNum w:abstractNumId="107">
    <w:nsid w:val="39B7AAA2"/>
    <w:multiLevelType w:val="hybridMultilevel"/>
    <w:lvl w:ilvl="0">
      <w:lvlJc w:val="left"/>
      <w:lvlText w:val="(%1)"/>
      <w:numFmt w:val="decimal"/>
      <w:start w:val="1"/>
    </w:lvl>
  </w:abstractNum>
  <w:abstractNum w:abstractNumId="108">
    <w:nsid w:val="2B0D8DBE"/>
    <w:multiLevelType w:val="hybridMultilevel"/>
    <w:lvl w:ilvl="0">
      <w:lvlJc w:val="left"/>
      <w:lvlText w:val="(%1)"/>
      <w:numFmt w:val="decimal"/>
      <w:start w:val="5"/>
    </w:lvl>
  </w:abstractNum>
  <w:abstractNum w:abstractNumId="109">
    <w:nsid w:val="6C80EC70"/>
    <w:multiLevelType w:val="hybridMultilevel"/>
    <w:lvl w:ilvl="0">
      <w:lvlJc w:val="left"/>
      <w:lvlText w:val="(%1)"/>
      <w:numFmt w:val="decimal"/>
      <w:start w:val="1"/>
    </w:lvl>
  </w:abstractNum>
  <w:abstractNum w:abstractNumId="110">
    <w:nsid w:val="379E21B5"/>
    <w:multiLevelType w:val="hybridMultilevel"/>
    <w:lvl w:ilvl="0">
      <w:lvlJc w:val="left"/>
      <w:lvlText w:val="•"/>
      <w:numFmt w:val="bullet"/>
      <w:start w:val="1"/>
    </w:lvl>
  </w:abstractNum>
  <w:abstractNum w:abstractNumId="111">
    <w:nsid w:val="69E373"/>
    <w:multiLevelType w:val="hybridMultilevel"/>
    <w:lvl w:ilvl="0">
      <w:lvlJc w:val="left"/>
      <w:lvlText w:val="(%1)"/>
      <w:numFmt w:val="decimal"/>
      <w:start w:val="1"/>
    </w:lvl>
  </w:abstractNum>
  <w:abstractNum w:abstractNumId="112">
    <w:nsid w:val="2C27173B"/>
    <w:multiLevelType w:val="hybridMultilevel"/>
    <w:lvl w:ilvl="0">
      <w:lvlJc w:val="left"/>
      <w:lvlText w:val="(%1)"/>
      <w:numFmt w:val="decimal"/>
      <w:start w:val="1"/>
    </w:lvl>
  </w:abstractNum>
  <w:abstractNum w:abstractNumId="113">
    <w:nsid w:val="4C9B0904"/>
    <w:multiLevelType w:val="hybridMultilevel"/>
    <w:lvl w:ilvl="0">
      <w:lvlJc w:val="left"/>
      <w:lvlText w:val="(%1)"/>
      <w:numFmt w:val="decimal"/>
      <w:start w:val="1"/>
    </w:lvl>
  </w:abstractNum>
  <w:abstractNum w:abstractNumId="114">
    <w:nsid w:val="6AA7B75C"/>
    <w:multiLevelType w:val="hybridMultilevel"/>
    <w:lvl w:ilvl="0">
      <w:lvlJc w:val="left"/>
      <w:lvlText w:val="(%1)"/>
      <w:numFmt w:val="decimal"/>
      <w:start w:val="1"/>
    </w:lvl>
  </w:abstractNum>
  <w:abstractNum w:abstractNumId="115">
    <w:nsid w:val="1DF029D3"/>
    <w:multiLevelType w:val="hybridMultilevel"/>
    <w:lvl w:ilvl="0">
      <w:lvlJc w:val="left"/>
      <w:lvlText w:val="(%1)"/>
      <w:numFmt w:val="decimal"/>
      <w:start w:val="1"/>
    </w:lvl>
  </w:abstractNum>
  <w:abstractNum w:abstractNumId="116">
    <w:nsid w:val="5675FF36"/>
    <w:multiLevelType w:val="hybridMultilevel"/>
    <w:lvl w:ilvl="0">
      <w:lvlJc w:val="left"/>
      <w:lvlText w:val="(%1)"/>
      <w:numFmt w:val="decimal"/>
      <w:start w:val="1"/>
    </w:lvl>
  </w:abstractNum>
  <w:abstractNum w:abstractNumId="117">
    <w:nsid w:val="3DD15094"/>
    <w:multiLevelType w:val="hybridMultilevel"/>
    <w:lvl w:ilvl="0">
      <w:lvlJc w:val="left"/>
      <w:lvlText w:val="•"/>
      <w:numFmt w:val="bullet"/>
      <w:start w:val="1"/>
    </w:lvl>
  </w:abstractNum>
  <w:abstractNum w:abstractNumId="118">
    <w:nsid w:val="3DB012B3"/>
    <w:multiLevelType w:val="hybridMultilevel"/>
    <w:lvl w:ilvl="0">
      <w:lvlJc w:val="left"/>
      <w:lvlText w:val="(%1)"/>
      <w:numFmt w:val="decimal"/>
      <w:start w:val="1"/>
    </w:lvl>
  </w:abstractNum>
  <w:abstractNum w:abstractNumId="119">
    <w:nsid w:val="2708C9AF"/>
    <w:multiLevelType w:val="hybridMultilevel"/>
    <w:lvl w:ilvl="0">
      <w:lvlJc w:val="left"/>
      <w:lvlText w:val="(%1)"/>
      <w:numFmt w:val="decimal"/>
      <w:start w:val="1"/>
    </w:lvl>
  </w:abstractNum>
  <w:abstractNum w:abstractNumId="120">
    <w:nsid w:val="5B25ACE2"/>
    <w:multiLevelType w:val="hybridMultilevel"/>
    <w:lvl w:ilvl="0">
      <w:lvlJc w:val="left"/>
      <w:lvlText w:val="•"/>
      <w:numFmt w:val="bullet"/>
      <w:start w:val="1"/>
    </w:lvl>
  </w:abstractNum>
  <w:abstractNum w:abstractNumId="121">
    <w:nsid w:val="175DFCF0"/>
    <w:multiLevelType w:val="hybridMultilevel"/>
    <w:lvl w:ilvl="0">
      <w:lvlJc w:val="left"/>
      <w:lvlText w:val="%1."/>
      <w:numFmt w:val="decimal"/>
      <w:start w:val="1"/>
    </w:lvl>
    <w:lvl w:ilvl="1">
      <w:lvlJc w:val="left"/>
      <w:lvlText w:val="%2."/>
      <w:numFmt w:val="lowerLetter"/>
      <w:start w:val="1"/>
    </w:lvl>
  </w:abstractNum>
  <w:abstractNum w:abstractNumId="122">
    <w:nsid w:val="4F97E3E4"/>
    <w:multiLevelType w:val="hybridMultilevel"/>
    <w:lvl w:ilvl="0">
      <w:lvlJc w:val="left"/>
      <w:lvlText w:val="%1."/>
      <w:numFmt w:val="decimal"/>
      <w:start w:val="1"/>
    </w:lvl>
    <w:lvl w:ilvl="1">
      <w:lvlJc w:val="left"/>
      <w:lvlText w:val="%2."/>
      <w:numFmt w:val="lowerLetter"/>
      <w:start w:val="1"/>
    </w:lvl>
  </w:abstractNum>
  <w:abstractNum w:abstractNumId="123">
    <w:nsid w:val="53B0A9E"/>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21" Type="http://schemas.openxmlformats.org/officeDocument/2006/relationships/image" Target="media/image202.png"/><Relationship Id="rId222" Type="http://schemas.openxmlformats.org/officeDocument/2006/relationships/image" Target="media/image203.png"/><Relationship Id="rId223" Type="http://schemas.openxmlformats.org/officeDocument/2006/relationships/image" Target="media/image204.png"/><Relationship Id="rId224" Type="http://schemas.openxmlformats.org/officeDocument/2006/relationships/image" Target="media/image205.png"/><Relationship Id="rId225" Type="http://schemas.openxmlformats.org/officeDocument/2006/relationships/image" Target="media/image206.png"/><Relationship Id="rId226" Type="http://schemas.openxmlformats.org/officeDocument/2006/relationships/image" Target="media/image207.png"/><Relationship Id="rId227" Type="http://schemas.openxmlformats.org/officeDocument/2006/relationships/image" Target="media/image208.png"/><Relationship Id="rId228" Type="http://schemas.openxmlformats.org/officeDocument/2006/relationships/image" Target="media/image209.png"/><Relationship Id="rId209" Type="http://schemas.openxmlformats.org/officeDocument/2006/relationships/hyperlink" Target="https://www.sec.gov/Archives/edgar/data/1035443/0000898430-97-003430.txt" TargetMode="External"/><Relationship Id="rId210" Type="http://schemas.openxmlformats.org/officeDocument/2006/relationships/hyperlink" Target="https://www.sec.gov/Archives/edgar/data/1035443/000103544317000096/exhibit32-articlesofamendm.htm" TargetMode="External"/><Relationship Id="rId211" Type="http://schemas.openxmlformats.org/officeDocument/2006/relationships/hyperlink" Target="https://www.sec.gov/Archives/edgar/data/1035443/000103544322000166/a20228-kproxyresultsxex31.htm" TargetMode="External"/><Relationship Id="rId212" Type="http://schemas.openxmlformats.org/officeDocument/2006/relationships/hyperlink" Target="https://www.sec.gov/Archives/edgar/data/1035443/000104746999031959/0001047469-99-031959.txt" TargetMode="External"/><Relationship Id="rId213" Type="http://schemas.openxmlformats.org/officeDocument/2006/relationships/hyperlink" Target="https://www.sec.gov/Archives/edgar/data/1035443/000091205700005173/0000912057-00-005173.txt" TargetMode="External"/><Relationship Id="rId214" Type="http://schemas.openxmlformats.org/officeDocument/2006/relationships/hyperlink" Target="https://www.sec.gov/Archives/edgar/data/1035443/000091205702001962/a2068018zex-3_4.htm" TargetMode="External"/><Relationship Id="rId215" Type="http://schemas.openxmlformats.org/officeDocument/2006/relationships/hyperlink" Target="https://www.sec.gov/Archives/edgar/data/1035443/000104746904021772/a2139174zex-3_4.htm" TargetMode="External"/><Relationship Id="rId216" Type="http://schemas.openxmlformats.org/officeDocument/2006/relationships/hyperlink" Target="https://www.sec.gov/Archives/edgar/data/1035443/000110465908019527/a08-8916_1ex3d1.htm" TargetMode="External"/><Relationship Id="rId217" Type="http://schemas.openxmlformats.org/officeDocument/2006/relationships/hyperlink" Target="https://www.sec.gov/Archives/edgar/data/1035443/000110465912018256/a12-7118_1ex3d1.htm" TargetMode="External"/><Relationship Id="rId218" Type="http://schemas.openxmlformats.org/officeDocument/2006/relationships/hyperlink" Target="https://www.sec.gov/Archives/edgar/data/1035443/000103544317000096/exhibit31-articlessuppleme.htm" TargetMode="External"/><Relationship Id="rId219" Type="http://schemas.openxmlformats.org/officeDocument/2006/relationships/hyperlink" Target="https://www.sec.gov/ix?doc=/Archives/edgar/data/1035443/000110465923103189/tm2326383d1_8k.htm" TargetMode="External"/><Relationship Id="rId220" Type="http://schemas.openxmlformats.org/officeDocument/2006/relationships/hyperlink" Target="https://www.sec.gov/ix?doc=/Archives/edgar/data/1035443/000103544324000167/are-2024051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2024-07-22T15:28:18Z</dcterms:created>
  <dcterms:modified xsi:type="dcterms:W3CDTF">2024-07-22T15:28:18Z</dcterms:modified>
</cp:coreProperties>
</file>